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r>
        <w:rPr>
          <w:rFonts w:ascii="宋体" w:hAnsi="宋体"/>
          <w:b/>
          <w:sz w:val="36"/>
          <w:u w:val="single"/>
        </w:rPr>
        <w:t>202</w:t>
      </w:r>
      <w:r>
        <w:rPr>
          <w:rFonts w:hint="eastAsia" w:ascii="宋体" w:hAnsi="宋体"/>
          <w:b/>
          <w:sz w:val="36"/>
          <w:u w:val="single"/>
        </w:rPr>
        <w:t>4年国内版年鉴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r>
        <w:rPr>
          <w:rFonts w:ascii="宋体" w:hAnsi="宋体"/>
          <w:b/>
          <w:sz w:val="36"/>
          <w:u w:val="single"/>
        </w:rPr>
        <w:t xml:space="preserve">     </w:t>
      </w:r>
      <w:r>
        <w:rPr>
          <w:rFonts w:hint="eastAsia" w:ascii="宋体" w:hAnsi="宋体"/>
          <w:b/>
          <w:sz w:val="36"/>
          <w:u w:val="single"/>
        </w:rPr>
        <w:t xml:space="preserve">图书馆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ascii="宋体" w:hAnsi="宋体"/>
          <w:b/>
          <w:sz w:val="36"/>
          <w:u w:val="single"/>
        </w:rPr>
        <w:t xml:space="preserve">     202</w:t>
      </w:r>
      <w:r>
        <w:rPr>
          <w:rFonts w:hint="eastAsia" w:ascii="宋体" w:hAnsi="宋体"/>
          <w:b/>
          <w:sz w:val="36"/>
          <w:u w:val="single"/>
        </w:rPr>
        <w:t>4</w:t>
      </w:r>
      <w:r>
        <w:rPr>
          <w:rFonts w:ascii="宋体" w:hAnsi="宋体"/>
          <w:b/>
          <w:sz w:val="36"/>
          <w:u w:val="single"/>
        </w:rPr>
        <w:t>.</w:t>
      </w:r>
      <w:r>
        <w:rPr>
          <w:rFonts w:hint="eastAsia" w:ascii="宋体" w:hAnsi="宋体"/>
          <w:b/>
          <w:sz w:val="36"/>
          <w:u w:val="single"/>
        </w:rPr>
        <w:t>4</w:t>
      </w:r>
      <w:r>
        <w:rPr>
          <w:rFonts w:hint="eastAsia" w:ascii="宋体" w:hAnsi="宋体"/>
          <w:b/>
          <w:sz w:val="36"/>
          <w:u w:val="single"/>
          <w:lang w:val="en-US" w:eastAsia="zh-CN"/>
        </w:rPr>
        <w:t>.10</w:t>
      </w:r>
      <w:r>
        <w:rPr>
          <w:rFonts w:ascii="宋体" w:hAnsi="宋体"/>
          <w:b/>
          <w:sz w:val="36"/>
          <w:u w:val="single"/>
        </w:rPr>
        <w:t xml:space="preserve"> </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135"/>
      <w:bookmarkStart w:id="1" w:name="_Toc60236697"/>
      <w:bookmarkStart w:id="2" w:name="_Toc508103350"/>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ascii="宋体" w:hAnsi="宋体"/>
          <w:sz w:val="28"/>
          <w:szCs w:val="28"/>
        </w:rPr>
      </w:pPr>
      <w:r>
        <w:rPr>
          <w:rFonts w:ascii="宋体" w:hAnsi="宋体"/>
          <w:sz w:val="28"/>
          <w:szCs w:val="28"/>
        </w:rPr>
        <w:t>根据《广东财经大学校内分散采购实施</w:t>
      </w:r>
      <w:r>
        <w:rPr>
          <w:rFonts w:hint="eastAsia" w:ascii="宋体" w:hAnsi="宋体"/>
          <w:sz w:val="28"/>
          <w:szCs w:val="28"/>
        </w:rPr>
        <w:t>细则</w:t>
      </w:r>
      <w:r>
        <w:rPr>
          <w:rFonts w:ascii="宋体" w:hAnsi="宋体"/>
          <w:sz w:val="28"/>
          <w:szCs w:val="28"/>
        </w:rPr>
        <w:t>》有关规定，我校拟通过简易询价采购方式选定一家供应商负责提供</w:t>
      </w:r>
      <w:r>
        <w:rPr>
          <w:rFonts w:ascii="宋体" w:hAnsi="宋体"/>
          <w:b/>
          <w:bCs/>
          <w:sz w:val="28"/>
          <w:szCs w:val="28"/>
          <w:u w:val="single"/>
        </w:rPr>
        <w:t>202</w:t>
      </w:r>
      <w:r>
        <w:rPr>
          <w:rFonts w:hint="eastAsia" w:ascii="宋体" w:hAnsi="宋体"/>
          <w:b/>
          <w:bCs/>
          <w:sz w:val="28"/>
          <w:szCs w:val="28"/>
          <w:u w:val="single"/>
        </w:rPr>
        <w:t>4</w:t>
      </w:r>
      <w:r>
        <w:rPr>
          <w:rFonts w:ascii="宋体" w:hAnsi="宋体"/>
          <w:b/>
          <w:bCs/>
          <w:sz w:val="28"/>
          <w:szCs w:val="28"/>
          <w:u w:val="single"/>
        </w:rPr>
        <w:t>年国内版年鉴</w:t>
      </w:r>
      <w:r>
        <w:rPr>
          <w:rFonts w:ascii="宋体" w:hAnsi="宋体"/>
          <w:sz w:val="28"/>
          <w:szCs w:val="28"/>
        </w:rPr>
        <w:t>采购项目及相关服务</w:t>
      </w:r>
      <w:r>
        <w:rPr>
          <w:rFonts w:hint="eastAsia" w:ascii="宋体" w:hAnsi="宋体"/>
          <w:sz w:val="28"/>
          <w:szCs w:val="28"/>
        </w:rPr>
        <w:t>。</w:t>
      </w:r>
    </w:p>
    <w:p>
      <w:pPr>
        <w:spacing w:line="560" w:lineRule="exact"/>
        <w:ind w:firstLine="560" w:firstLineChars="200"/>
        <w:rPr>
          <w:rFonts w:ascii="宋体" w:hAnsi="宋体"/>
          <w:color w:val="FF0000"/>
          <w:sz w:val="28"/>
          <w:szCs w:val="28"/>
        </w:rPr>
      </w:pPr>
      <w:r>
        <w:rPr>
          <w:rFonts w:hint="eastAsia" w:ascii="宋体" w:hAnsi="宋体"/>
          <w:color w:val="FF0000"/>
          <w:sz w:val="28"/>
          <w:szCs w:val="28"/>
        </w:rPr>
        <w:t>本项目采购预算控制价</w:t>
      </w:r>
      <w:r>
        <w:rPr>
          <w:rFonts w:ascii="宋体" w:hAnsi="宋体"/>
          <w:color w:val="FF0000"/>
          <w:sz w:val="28"/>
          <w:szCs w:val="28"/>
        </w:rPr>
        <w:t>7</w:t>
      </w:r>
      <w:r>
        <w:rPr>
          <w:rFonts w:hint="eastAsia" w:ascii="宋体" w:hAnsi="宋体"/>
          <w:color w:val="FF0000"/>
          <w:sz w:val="28"/>
          <w:szCs w:val="28"/>
        </w:rPr>
        <w:t>0</w:t>
      </w:r>
      <w:r>
        <w:rPr>
          <w:rFonts w:ascii="宋体" w:hAnsi="宋体"/>
          <w:color w:val="FF0000"/>
          <w:sz w:val="28"/>
          <w:szCs w:val="28"/>
        </w:rPr>
        <w:t>000</w:t>
      </w:r>
      <w:r>
        <w:rPr>
          <w:rFonts w:hint="eastAsia" w:ascii="宋体" w:hAnsi="宋体"/>
          <w:color w:val="FF0000"/>
          <w:sz w:val="28"/>
          <w:szCs w:val="28"/>
        </w:rPr>
        <w:t>元，</w:t>
      </w:r>
      <w:r>
        <w:rPr>
          <w:rFonts w:ascii="宋体" w:hAnsi="宋体"/>
          <w:color w:val="FF0000"/>
          <w:sz w:val="28"/>
          <w:szCs w:val="28"/>
        </w:rPr>
        <w:t>资金已到位。</w:t>
      </w:r>
    </w:p>
    <w:p>
      <w:pPr>
        <w:pStyle w:val="3"/>
        <w:spacing w:line="560" w:lineRule="exact"/>
      </w:pPr>
      <w:bookmarkStart w:id="7" w:name="_Toc60236699"/>
      <w:bookmarkStart w:id="8" w:name="_Toc508103352"/>
      <w:bookmarkStart w:id="9" w:name="_Toc2882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11839"/>
      <w:bookmarkStart w:id="11" w:name="_Toc60236700"/>
      <w:bookmarkStart w:id="12" w:name="_Toc508103353"/>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20873"/>
      <w:bookmarkStart w:id="14" w:name="_Toc508103354"/>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投标折扣率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w:t>
      </w:r>
      <w:r>
        <w:rPr>
          <w:rFonts w:hint="eastAsia" w:ascii="宋体" w:hAnsi="宋体"/>
          <w:sz w:val="28"/>
          <w:szCs w:val="28"/>
        </w:rPr>
        <w:t>投标折扣率</w:t>
      </w:r>
      <w:r>
        <w:rPr>
          <w:rFonts w:ascii="宋体" w:hAnsi="宋体"/>
          <w:sz w:val="28"/>
          <w:szCs w:val="28"/>
        </w:rPr>
        <w:t>。</w:t>
      </w:r>
      <w:r>
        <w:rPr>
          <w:rFonts w:hint="eastAsia" w:ascii="宋体" w:hAnsi="宋体"/>
          <w:sz w:val="28"/>
          <w:szCs w:val="28"/>
        </w:rPr>
        <w:t>报价文件中只能提供唯一明确报价。</w:t>
      </w:r>
    </w:p>
    <w:p>
      <w:pPr>
        <w:pStyle w:val="3"/>
        <w:spacing w:line="560" w:lineRule="exact"/>
      </w:pPr>
      <w:bookmarkStart w:id="16" w:name="_Toc18253"/>
      <w:bookmarkStart w:id="17" w:name="_Toc60236702"/>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）“技术（服务）条款响应表”和“商务条款响应表”；</w:t>
      </w:r>
    </w:p>
    <w:p>
      <w:pPr>
        <w:spacing w:line="560" w:lineRule="exact"/>
        <w:ind w:firstLine="562" w:firstLineChars="200"/>
        <w:rPr>
          <w:rFonts w:ascii="宋体" w:hAnsi="宋体"/>
          <w:b/>
          <w:sz w:val="28"/>
          <w:szCs w:val="28"/>
        </w:rPr>
      </w:pP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）报价人声明及承诺；</w:t>
      </w:r>
    </w:p>
    <w:p>
      <w:pPr>
        <w:spacing w:line="560" w:lineRule="exact"/>
        <w:ind w:firstLine="562" w:firstLineChars="200"/>
        <w:rPr>
          <w:rFonts w:ascii="宋体" w:hAnsi="宋体"/>
          <w:b/>
          <w:bCs/>
          <w:sz w:val="28"/>
          <w:szCs w:val="28"/>
        </w:rPr>
      </w:pPr>
      <w:r>
        <w:rPr>
          <w:rFonts w:hint="eastAsia" w:ascii="宋体" w:hAnsi="宋体"/>
          <w:b/>
          <w:bCs/>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4.特殊情形处理：如果出现“报价一览表”中的大、小写折扣率不一致情形，以大写折扣率为准。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508103356"/>
      <w:bookmarkStart w:id="20" w:name="_Toc10890"/>
      <w:bookmarkStart w:id="21" w:name="_Toc60236703"/>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b/>
          <w:bCs/>
          <w:sz w:val="28"/>
          <w:szCs w:val="28"/>
          <w:u w:val="single"/>
        </w:rPr>
        <w:t>一</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bookmarkStart w:id="30" w:name="_GoBack"/>
            <w:bookmarkEnd w:id="30"/>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78" w:beforeLines="25" w:after="78"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rPr>
              <w:t>XX（取小数点后二位）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rPr>
              <w:t>XX</w:t>
            </w:r>
            <w:r>
              <w:rPr>
                <w:color w:val="FF0000"/>
                <w:szCs w:val="21"/>
              </w:rPr>
              <w:t>—</w:t>
            </w:r>
            <w:r>
              <w:rPr>
                <w:rFonts w:hint="eastAsia"/>
                <w:color w:val="FF0000"/>
                <w:szCs w:val="21"/>
              </w:rPr>
              <w:t>XX</w:t>
            </w:r>
            <w:r>
              <w:rPr>
                <w:color w:val="FF0000"/>
                <w:szCs w:val="21"/>
              </w:rPr>
              <w:t>分；评价较好得</w:t>
            </w:r>
            <w:r>
              <w:rPr>
                <w:rFonts w:hint="eastAsia"/>
                <w:color w:val="FF0000"/>
                <w:szCs w:val="21"/>
              </w:rPr>
              <w:t>XX</w:t>
            </w:r>
            <w:r>
              <w:rPr>
                <w:color w:val="FF0000"/>
                <w:szCs w:val="21"/>
              </w:rPr>
              <w:t>—</w:t>
            </w:r>
            <w:r>
              <w:rPr>
                <w:rFonts w:hint="eastAsia"/>
                <w:color w:val="FF0000"/>
                <w:szCs w:val="21"/>
              </w:rPr>
              <w:t>XX</w:t>
            </w:r>
            <w:r>
              <w:rPr>
                <w:color w:val="FF0000"/>
                <w:szCs w:val="21"/>
              </w:rPr>
              <w:t>分；评价一般得</w:t>
            </w:r>
            <w:r>
              <w:rPr>
                <w:rFonts w:hint="eastAsia"/>
                <w:color w:val="FF0000"/>
                <w:szCs w:val="21"/>
              </w:rPr>
              <w:t>XX</w:t>
            </w:r>
            <w:r>
              <w:rPr>
                <w:color w:val="FF0000"/>
                <w:szCs w:val="21"/>
              </w:rPr>
              <w:t>—</w:t>
            </w:r>
            <w:r>
              <w:rPr>
                <w:rFonts w:hint="eastAsia"/>
                <w:color w:val="FF0000"/>
                <w:szCs w:val="21"/>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25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77"/>
        <w:gridCol w:w="3119"/>
        <w:gridCol w:w="1561"/>
        <w:gridCol w:w="1561"/>
        <w:gridCol w:w="18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682"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1665"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833"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833"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c>
          <w:tcPr>
            <w:tcW w:w="988" w:type="pct"/>
            <w:tcBorders>
              <w:top w:val="single" w:color="000000" w:sz="4" w:space="0"/>
              <w:left w:val="nil"/>
              <w:bottom w:val="single" w:color="000000" w:sz="4" w:space="0"/>
              <w:right w:val="single" w:color="000000" w:sz="4" w:space="0"/>
            </w:tcBorders>
          </w:tcPr>
          <w:p>
            <w:pPr>
              <w:widowControl/>
              <w:spacing w:line="560" w:lineRule="exact"/>
              <w:jc w:val="center"/>
              <w:rPr>
                <w:rStyle w:val="30"/>
                <w:rFonts w:ascii="宋体" w:hAnsi="宋体" w:cs="宋体"/>
                <w:color w:val="333333"/>
                <w:kern w:val="0"/>
                <w:sz w:val="24"/>
              </w:rPr>
            </w:pPr>
            <w:r>
              <w:rPr>
                <w:rStyle w:val="30"/>
                <w:rFonts w:hint="eastAsia" w:ascii="宋体" w:hAnsi="宋体" w:cs="宋体"/>
                <w:color w:val="333333"/>
                <w:kern w:val="0"/>
                <w:sz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682"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color w:val="333333"/>
                <w:kern w:val="0"/>
                <w:sz w:val="28"/>
                <w:szCs w:val="28"/>
              </w:rPr>
              <w:t>1</w:t>
            </w:r>
          </w:p>
        </w:tc>
        <w:tc>
          <w:tcPr>
            <w:tcW w:w="1665"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cs="宋体" w:asciiTheme="minorEastAsia" w:hAnsiTheme="minorEastAsia" w:eastAsiaTheme="minorEastAsia"/>
                <w:sz w:val="28"/>
                <w:szCs w:val="28"/>
              </w:rPr>
            </w:pPr>
            <w:r>
              <w:rPr>
                <w:rFonts w:hint="eastAsia" w:cs="Calibri" w:asciiTheme="minorEastAsia" w:hAnsiTheme="minorEastAsia" w:eastAsiaTheme="minorEastAsia"/>
                <w:sz w:val="28"/>
                <w:szCs w:val="28"/>
              </w:rPr>
              <w:t>2024年国内版年鉴</w:t>
            </w:r>
          </w:p>
        </w:tc>
        <w:tc>
          <w:tcPr>
            <w:tcW w:w="83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种</w:t>
            </w:r>
          </w:p>
        </w:tc>
        <w:tc>
          <w:tcPr>
            <w:tcW w:w="833"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153</w:t>
            </w:r>
          </w:p>
        </w:tc>
        <w:tc>
          <w:tcPr>
            <w:tcW w:w="988" w:type="pct"/>
            <w:tcBorders>
              <w:top w:val="nil"/>
              <w:left w:val="nil"/>
              <w:bottom w:val="single" w:color="000000" w:sz="4" w:space="0"/>
              <w:right w:val="single" w:color="000000" w:sz="4" w:space="0"/>
            </w:tcBorders>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参考目录附后</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1</w:t>
      </w:r>
      <w:r>
        <w:rPr>
          <w:rFonts w:ascii="宋体" w:hAnsi="宋体"/>
          <w:b/>
          <w:bCs/>
          <w:kern w:val="0"/>
          <w:sz w:val="28"/>
          <w:szCs w:val="28"/>
        </w:rPr>
        <w:t>.</w:t>
      </w:r>
      <w:r>
        <w:rPr>
          <w:rFonts w:hint="eastAsia" w:ascii="宋体" w:hAnsi="宋体"/>
          <w:b/>
          <w:bCs/>
          <w:kern w:val="0"/>
          <w:sz w:val="28"/>
          <w:szCs w:val="28"/>
        </w:rPr>
        <w:t>质量要求</w:t>
      </w:r>
    </w:p>
    <w:p>
      <w:pPr>
        <w:spacing w:line="560" w:lineRule="exact"/>
        <w:ind w:firstLine="560" w:firstLineChars="200"/>
        <w:rPr>
          <w:rFonts w:ascii="宋体"/>
          <w:sz w:val="28"/>
          <w:szCs w:val="28"/>
        </w:rPr>
      </w:pPr>
      <w:r>
        <w:rPr>
          <w:rFonts w:hint="eastAsia" w:ascii="宋体" w:hAnsi="宋体"/>
          <w:kern w:val="0"/>
          <w:sz w:val="28"/>
          <w:szCs w:val="28"/>
        </w:rPr>
        <w:t>1</w:t>
      </w:r>
      <w:r>
        <w:rPr>
          <w:rFonts w:ascii="宋体" w:hAnsi="宋体"/>
          <w:kern w:val="0"/>
          <w:sz w:val="28"/>
          <w:szCs w:val="28"/>
        </w:rPr>
        <w:t>.</w:t>
      </w:r>
      <w:r>
        <w:rPr>
          <w:rFonts w:hint="eastAsia" w:ascii="宋体"/>
          <w:sz w:val="28"/>
          <w:szCs w:val="28"/>
        </w:rPr>
        <w:t>投标人必须具有相关部门颁发的《出版物经营许可证》，提供原装、全新、合法取得并有权出售的正版图书，如提供的图书发生版权纠纷，投标人承担全部法律责任，并赔偿由此给采购人造成的一切经济损失。如提供非正版的图书，投标人承担可能发生的全部责任，且采购人有权拒付全部书款、单方面立即终止合同，相关损失由投标人赔偿。并向学校采购中心建议列入黑名单，禁止其以后参加本单位的采购招投标。</w:t>
      </w:r>
    </w:p>
    <w:p>
      <w:pPr>
        <w:spacing w:line="560" w:lineRule="exact"/>
        <w:ind w:firstLine="560" w:firstLineChars="200"/>
        <w:rPr>
          <w:rFonts w:ascii="宋体"/>
          <w:sz w:val="28"/>
          <w:szCs w:val="28"/>
        </w:rPr>
      </w:pPr>
      <w:r>
        <w:rPr>
          <w:rFonts w:ascii="宋体"/>
          <w:sz w:val="28"/>
          <w:szCs w:val="28"/>
        </w:rPr>
        <w:t>2.</w:t>
      </w:r>
      <w:r>
        <w:rPr>
          <w:rFonts w:hint="eastAsia" w:ascii="宋体"/>
          <w:sz w:val="28"/>
          <w:szCs w:val="28"/>
        </w:rPr>
        <w:t>对有质量问题的图书，无论加工与否中标人须无条件在</w:t>
      </w:r>
      <w:r>
        <w:rPr>
          <w:rFonts w:hint="eastAsia" w:ascii="宋体"/>
          <w:sz w:val="28"/>
          <w:szCs w:val="28"/>
          <w:u w:val="single"/>
        </w:rPr>
        <w:t>20</w:t>
      </w:r>
      <w:r>
        <w:rPr>
          <w:rFonts w:hint="eastAsia" w:ascii="宋体"/>
          <w:sz w:val="28"/>
          <w:szCs w:val="28"/>
        </w:rPr>
        <w:t>个工作日内及时更换，所产生的费用由中标人承担。</w:t>
      </w:r>
    </w:p>
    <w:p>
      <w:pPr>
        <w:spacing w:line="560" w:lineRule="exact"/>
        <w:ind w:firstLine="562" w:firstLineChars="200"/>
        <w:rPr>
          <w:rFonts w:ascii="宋体"/>
          <w:b/>
          <w:bCs/>
          <w:sz w:val="28"/>
          <w:szCs w:val="28"/>
        </w:rPr>
      </w:pPr>
      <w:r>
        <w:rPr>
          <w:rFonts w:hint="eastAsia" w:ascii="宋体"/>
          <w:b/>
          <w:bCs/>
          <w:sz w:val="28"/>
          <w:szCs w:val="28"/>
        </w:rPr>
        <w:t>2</w:t>
      </w:r>
      <w:r>
        <w:rPr>
          <w:rFonts w:ascii="宋体"/>
          <w:b/>
          <w:bCs/>
          <w:sz w:val="28"/>
          <w:szCs w:val="28"/>
        </w:rPr>
        <w:t>.</w:t>
      </w:r>
      <w:r>
        <w:rPr>
          <w:rFonts w:hint="eastAsia" w:ascii="宋体"/>
          <w:b/>
          <w:bCs/>
          <w:sz w:val="28"/>
          <w:szCs w:val="28"/>
        </w:rPr>
        <w:t>服务要求</w:t>
      </w:r>
    </w:p>
    <w:p>
      <w:pPr>
        <w:spacing w:line="560" w:lineRule="exact"/>
        <w:ind w:firstLine="560" w:firstLineChars="200"/>
        <w:rPr>
          <w:rFonts w:ascii="宋体" w:hAnsi="宋体"/>
          <w:kern w:val="0"/>
          <w:sz w:val="28"/>
          <w:szCs w:val="28"/>
        </w:rPr>
      </w:pPr>
      <w:r>
        <w:rPr>
          <w:rFonts w:ascii="宋体" w:hAnsi="宋体"/>
          <w:kern w:val="0"/>
          <w:sz w:val="28"/>
          <w:szCs w:val="28"/>
        </w:rPr>
        <w:t>1.</w:t>
      </w:r>
      <w:r>
        <w:rPr>
          <w:rFonts w:hint="eastAsia" w:ascii="宋体" w:hAnsi="宋体"/>
          <w:kern w:val="0"/>
          <w:sz w:val="28"/>
          <w:szCs w:val="28"/>
        </w:rPr>
        <w:t>送货：中标人免费送货，送货前通知采购人，所送年鉴要进行防湿、防破损等包装处理，并提供免费卸货、搬运等服务，送到采购人指定的年鉴加工编目室。随货附送与货物品种相符、数量相符、价格相符的纸质清单和汇总单（并附电子清单）。</w:t>
      </w:r>
    </w:p>
    <w:p>
      <w:pPr>
        <w:spacing w:line="560" w:lineRule="exact"/>
        <w:ind w:firstLine="560" w:firstLineChars="200"/>
        <w:rPr>
          <w:rFonts w:ascii="宋体" w:hAnsi="宋体"/>
          <w:kern w:val="0"/>
          <w:sz w:val="28"/>
          <w:szCs w:val="28"/>
        </w:rPr>
      </w:pPr>
      <w:r>
        <w:rPr>
          <w:rFonts w:hint="eastAsia" w:ascii="宋体" w:hAnsi="宋体"/>
          <w:kern w:val="0"/>
          <w:sz w:val="28"/>
          <w:szCs w:val="28"/>
        </w:rPr>
        <w:t>2</w:t>
      </w:r>
      <w:r>
        <w:rPr>
          <w:rFonts w:ascii="宋体" w:hAnsi="宋体"/>
          <w:kern w:val="0"/>
          <w:sz w:val="28"/>
          <w:szCs w:val="28"/>
        </w:rPr>
        <w:t>.</w:t>
      </w:r>
      <w:r>
        <w:rPr>
          <w:rFonts w:hint="eastAsia" w:ascii="宋体" w:hAnsi="宋体"/>
          <w:kern w:val="0"/>
          <w:sz w:val="28"/>
          <w:szCs w:val="28"/>
        </w:rPr>
        <w:t>所有年鉴的品种及复本量均由采购人决定，投标人应按照采购人订购的年鉴目录按期及时供货，不得自行搭配和追加非采购人确认订购的品种和复本量。否则，无论加工与否，采购人皆有权退货，所产生的费用由中标人承担。</w:t>
      </w:r>
    </w:p>
    <w:p>
      <w:pPr>
        <w:spacing w:line="560" w:lineRule="exact"/>
        <w:ind w:firstLine="560" w:firstLineChars="200"/>
        <w:rPr>
          <w:rFonts w:ascii="宋体" w:hAnsi="宋体"/>
          <w:kern w:val="0"/>
          <w:sz w:val="28"/>
          <w:szCs w:val="28"/>
        </w:rPr>
      </w:pPr>
      <w:r>
        <w:rPr>
          <w:rFonts w:ascii="宋体" w:hAnsi="宋体"/>
          <w:kern w:val="0"/>
          <w:sz w:val="28"/>
          <w:szCs w:val="28"/>
        </w:rPr>
        <w:t>3.</w:t>
      </w:r>
      <w:r>
        <w:rPr>
          <w:rFonts w:hint="eastAsia" w:ascii="宋体" w:hAnsi="宋体"/>
          <w:kern w:val="0"/>
          <w:sz w:val="28"/>
          <w:szCs w:val="28"/>
        </w:rPr>
        <w:t>▲年鉴出版后一个月之内应到货。到货率不低于95%。对于不能到货的年鉴，如果是由于出版社停刊的原因，需及时提供书面证明材料。</w:t>
      </w:r>
    </w:p>
    <w:p>
      <w:pPr>
        <w:spacing w:line="560" w:lineRule="exact"/>
        <w:ind w:firstLine="560" w:firstLineChars="200"/>
        <w:rPr>
          <w:rFonts w:ascii="宋体" w:hAnsi="宋体"/>
          <w:kern w:val="0"/>
          <w:sz w:val="28"/>
          <w:szCs w:val="28"/>
        </w:rPr>
      </w:pPr>
      <w:r>
        <w:rPr>
          <w:rFonts w:ascii="宋体" w:hAnsi="宋体"/>
          <w:kern w:val="0"/>
          <w:sz w:val="28"/>
          <w:szCs w:val="28"/>
        </w:rPr>
        <w:t>4.</w:t>
      </w:r>
      <w:r>
        <w:rPr>
          <w:rFonts w:hint="eastAsia" w:ascii="宋体" w:hAnsi="宋体"/>
          <w:kern w:val="0"/>
          <w:sz w:val="28"/>
          <w:szCs w:val="28"/>
        </w:rPr>
        <w:t>投标人在年中和年末需对年鉴到货情况进行汇总并提供给采购人，对未到年鉴进行书面形式分析说明原因。如无正当理由，将对未到年鉴将按照违约责任条款操作。</w:t>
      </w:r>
    </w:p>
    <w:p>
      <w:pPr>
        <w:spacing w:line="560" w:lineRule="exact"/>
        <w:ind w:firstLine="560" w:firstLineChars="200"/>
        <w:rPr>
          <w:rFonts w:ascii="宋体" w:hAnsi="宋体"/>
          <w:kern w:val="0"/>
          <w:sz w:val="28"/>
          <w:szCs w:val="28"/>
        </w:rPr>
      </w:pPr>
      <w:r>
        <w:rPr>
          <w:rFonts w:ascii="宋体" w:hAnsi="宋体"/>
          <w:kern w:val="0"/>
          <w:sz w:val="28"/>
          <w:szCs w:val="28"/>
        </w:rPr>
        <w:t>5.</w:t>
      </w:r>
      <w:r>
        <w:rPr>
          <w:rFonts w:hint="eastAsia" w:ascii="宋体" w:hAnsi="宋体"/>
          <w:kern w:val="0"/>
          <w:sz w:val="28"/>
          <w:szCs w:val="28"/>
        </w:rPr>
        <w:t>投标人需按采购人的要求提供符合CNMARC标准电子编目数据。编目数据以电子邮件方式提供，由采购人负责转入本馆系统，且保证能在用户计算机系统上运行使用。如无法使用须由投标人在三天内负责解决。每批到馆图书编目数据出错率应控制在5％以下，如超过5％则该批图书数据全部退回重做。</w:t>
      </w:r>
    </w:p>
    <w:p>
      <w:pPr>
        <w:spacing w:line="560" w:lineRule="exact"/>
        <w:ind w:firstLine="560" w:firstLineChars="200"/>
        <w:rPr>
          <w:rFonts w:ascii="宋体" w:hAnsi="宋体"/>
          <w:kern w:val="0"/>
          <w:sz w:val="28"/>
          <w:szCs w:val="28"/>
        </w:rPr>
      </w:pPr>
      <w:r>
        <w:rPr>
          <w:rFonts w:ascii="宋体" w:hAnsi="宋体"/>
          <w:kern w:val="0"/>
          <w:sz w:val="28"/>
          <w:szCs w:val="28"/>
        </w:rPr>
        <w:t>6.</w:t>
      </w:r>
      <w:r>
        <w:rPr>
          <w:rFonts w:hint="eastAsia" w:ascii="宋体" w:hAnsi="宋体"/>
          <w:kern w:val="0"/>
          <w:sz w:val="28"/>
          <w:szCs w:val="28"/>
        </w:rPr>
        <w:t>投标人承诺可以提供增值服务，包括但不限于为采购人提供馆藏或学科分析服务。</w:t>
      </w:r>
    </w:p>
    <w:p>
      <w:pPr>
        <w:spacing w:line="560" w:lineRule="exact"/>
        <w:ind w:firstLine="560" w:firstLineChars="200"/>
        <w:rPr>
          <w:rFonts w:ascii="宋体" w:hAnsi="宋体"/>
          <w:kern w:val="0"/>
          <w:sz w:val="28"/>
          <w:szCs w:val="28"/>
        </w:rPr>
      </w:pPr>
      <w:r>
        <w:rPr>
          <w:rFonts w:ascii="宋体" w:hAnsi="宋体"/>
          <w:kern w:val="0"/>
          <w:sz w:val="28"/>
          <w:szCs w:val="28"/>
        </w:rPr>
        <w:t>7.</w:t>
      </w:r>
      <w:r>
        <w:rPr>
          <w:rFonts w:hint="eastAsia" w:ascii="宋体" w:hAnsi="宋体"/>
          <w:kern w:val="0"/>
          <w:sz w:val="28"/>
          <w:szCs w:val="28"/>
        </w:rPr>
        <w:t>▲投标人具有独立经营管理网站并提供年鉴相关服务。以提供有效网址及网站首页截屏并加盖投标人公章为准。</w:t>
      </w:r>
    </w:p>
    <w:p>
      <w:pPr>
        <w:spacing w:line="560" w:lineRule="exact"/>
        <w:ind w:firstLine="560" w:firstLineChars="200"/>
        <w:rPr>
          <w:rFonts w:ascii="宋体" w:hAnsi="宋体"/>
          <w:kern w:val="0"/>
          <w:sz w:val="28"/>
          <w:szCs w:val="28"/>
        </w:rPr>
      </w:pPr>
      <w:r>
        <w:rPr>
          <w:rFonts w:ascii="宋体" w:hAnsi="宋体"/>
          <w:kern w:val="0"/>
          <w:sz w:val="28"/>
          <w:szCs w:val="28"/>
        </w:rPr>
        <w:t>8.</w:t>
      </w:r>
      <w:r>
        <w:rPr>
          <w:rFonts w:hint="eastAsia" w:ascii="宋体" w:hAnsi="宋体"/>
          <w:kern w:val="0"/>
          <w:sz w:val="28"/>
          <w:szCs w:val="28"/>
        </w:rPr>
        <w:t>▲投标人进货渠道多，与出版社合作渠道畅通，服务经验丰富，服务效果好。投标人提供近三年（20</w:t>
      </w:r>
      <w:r>
        <w:rPr>
          <w:rFonts w:ascii="宋体" w:hAnsi="宋体"/>
          <w:kern w:val="0"/>
          <w:sz w:val="28"/>
          <w:szCs w:val="28"/>
        </w:rPr>
        <w:t>2</w:t>
      </w:r>
      <w:r>
        <w:rPr>
          <w:rFonts w:hint="eastAsia" w:ascii="宋体" w:hAnsi="宋体"/>
          <w:kern w:val="0"/>
          <w:sz w:val="28"/>
          <w:szCs w:val="28"/>
        </w:rPr>
        <w:t>1年至2023年）10份以上满足项目涉及的专业出版社的合作协议（或合同）复印件或者授权书等有效证明文件并加盖投标人公章。</w:t>
      </w:r>
    </w:p>
    <w:p>
      <w:pPr>
        <w:spacing w:line="560" w:lineRule="exact"/>
        <w:ind w:firstLine="560" w:firstLineChars="200"/>
        <w:rPr>
          <w:rFonts w:ascii="宋体" w:hAnsi="宋体"/>
          <w:kern w:val="0"/>
          <w:sz w:val="28"/>
          <w:szCs w:val="28"/>
        </w:rPr>
      </w:pPr>
      <w:r>
        <w:rPr>
          <w:rFonts w:ascii="宋体" w:hAnsi="宋体"/>
          <w:kern w:val="0"/>
          <w:sz w:val="28"/>
          <w:szCs w:val="28"/>
        </w:rPr>
        <w:t>9.</w:t>
      </w:r>
      <w:r>
        <w:rPr>
          <w:rFonts w:hint="eastAsia" w:ascii="宋体" w:hAnsi="宋体"/>
          <w:kern w:val="0"/>
          <w:sz w:val="28"/>
          <w:szCs w:val="28"/>
        </w:rPr>
        <w:t>▲投标人项目服务团队的组织架构、人员配备合理，工作人员的数量、资质与工作经验能保证沟通顺畅和项目顺利实施。投标人必须提供项目服务团队的</w:t>
      </w:r>
      <w:r>
        <w:rPr>
          <w:rFonts w:ascii="宋体" w:hAnsi="宋体"/>
          <w:kern w:val="0"/>
          <w:sz w:val="28"/>
          <w:szCs w:val="28"/>
        </w:rPr>
        <w:t>出版物发行证书</w:t>
      </w:r>
      <w:r>
        <w:rPr>
          <w:rFonts w:hint="eastAsia" w:ascii="宋体" w:hAnsi="宋体"/>
          <w:kern w:val="0"/>
          <w:sz w:val="28"/>
          <w:szCs w:val="28"/>
        </w:rPr>
        <w:t>、</w:t>
      </w:r>
      <w:r>
        <w:rPr>
          <w:rFonts w:ascii="宋体" w:hAnsi="宋体"/>
          <w:kern w:val="0"/>
          <w:sz w:val="28"/>
          <w:szCs w:val="28"/>
        </w:rPr>
        <w:t>编目员证书</w:t>
      </w:r>
      <w:r>
        <w:rPr>
          <w:rFonts w:hint="eastAsia" w:ascii="宋体" w:hAnsi="宋体"/>
          <w:kern w:val="0"/>
          <w:sz w:val="28"/>
          <w:szCs w:val="28"/>
        </w:rPr>
        <w:t>、</w:t>
      </w:r>
      <w:r>
        <w:rPr>
          <w:rFonts w:ascii="宋体" w:hAnsi="宋体"/>
          <w:kern w:val="0"/>
          <w:sz w:val="28"/>
          <w:szCs w:val="28"/>
        </w:rPr>
        <w:t>会计证书</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ascii="宋体" w:hAnsi="宋体"/>
          <w:kern w:val="0"/>
          <w:sz w:val="28"/>
          <w:szCs w:val="28"/>
        </w:rPr>
        <w:t>10.</w:t>
      </w:r>
      <w:r>
        <w:rPr>
          <w:rFonts w:hint="eastAsia" w:ascii="宋体" w:hAnsi="宋体"/>
          <w:kern w:val="0"/>
          <w:sz w:val="28"/>
          <w:szCs w:val="28"/>
        </w:rPr>
        <w:t>投标人的技术状况、履约能力强，履约所需软硬件设施种类丰富、数量多、满足本项目需要。投标人提供近三年（20</w:t>
      </w:r>
      <w:r>
        <w:rPr>
          <w:rFonts w:ascii="宋体" w:hAnsi="宋体"/>
          <w:kern w:val="0"/>
          <w:sz w:val="28"/>
          <w:szCs w:val="28"/>
        </w:rPr>
        <w:t>2</w:t>
      </w:r>
      <w:r>
        <w:rPr>
          <w:rFonts w:hint="eastAsia" w:ascii="宋体" w:hAnsi="宋体"/>
          <w:kern w:val="0"/>
          <w:sz w:val="28"/>
          <w:szCs w:val="28"/>
        </w:rPr>
        <w:t>1年至2023年）10份以上以往类似项目履约验收通过的证明文件（</w:t>
      </w:r>
      <w:r>
        <w:rPr>
          <w:rFonts w:ascii="宋体" w:hAnsi="宋体"/>
          <w:kern w:val="0"/>
          <w:sz w:val="28"/>
          <w:szCs w:val="28"/>
        </w:rPr>
        <w:t>供货率</w:t>
      </w:r>
      <w:r>
        <w:rPr>
          <w:rFonts w:hint="eastAsia" w:ascii="宋体" w:hAnsi="宋体"/>
          <w:kern w:val="0"/>
          <w:sz w:val="28"/>
          <w:szCs w:val="28"/>
        </w:rPr>
        <w:t>达到95%以上）。</w:t>
      </w:r>
    </w:p>
    <w:p>
      <w:pPr>
        <w:spacing w:line="560" w:lineRule="exact"/>
        <w:ind w:firstLine="560" w:firstLineChars="200"/>
        <w:rPr>
          <w:rFonts w:ascii="宋体" w:hAnsi="宋体"/>
          <w:kern w:val="0"/>
          <w:sz w:val="28"/>
          <w:szCs w:val="28"/>
        </w:rPr>
      </w:pPr>
      <w:r>
        <w:rPr>
          <w:rFonts w:ascii="宋体" w:hAnsi="宋体"/>
          <w:kern w:val="0"/>
          <w:sz w:val="28"/>
          <w:szCs w:val="28"/>
        </w:rPr>
        <w:t>11.</w:t>
      </w:r>
      <w:r>
        <w:rPr>
          <w:rFonts w:hint="eastAsia" w:ascii="宋体" w:hAnsi="宋体"/>
          <w:kern w:val="0"/>
          <w:sz w:val="28"/>
          <w:szCs w:val="28"/>
        </w:rPr>
        <w:t>▲投标人销售内地版年鉴项目业绩好，投标人提供近三年（20</w:t>
      </w:r>
      <w:r>
        <w:rPr>
          <w:rFonts w:ascii="宋体" w:hAnsi="宋体"/>
          <w:kern w:val="0"/>
          <w:sz w:val="28"/>
          <w:szCs w:val="28"/>
        </w:rPr>
        <w:t>2</w:t>
      </w:r>
      <w:r>
        <w:rPr>
          <w:rFonts w:hint="eastAsia" w:ascii="宋体" w:hAnsi="宋体"/>
          <w:kern w:val="0"/>
          <w:sz w:val="28"/>
          <w:szCs w:val="28"/>
        </w:rPr>
        <w:t>1年至2023年）10份以上与年鉴服务相关的合同复印件（包括但不限于合同首页、金额页、签字盖章页）并加盖用户单位公章为有效证明文件。</w:t>
      </w:r>
    </w:p>
    <w:p>
      <w:pPr>
        <w:spacing w:line="560" w:lineRule="exact"/>
        <w:ind w:firstLine="560" w:firstLineChars="200"/>
        <w:rPr>
          <w:rFonts w:ascii="宋体" w:hAnsi="宋体"/>
          <w:kern w:val="0"/>
          <w:sz w:val="28"/>
          <w:szCs w:val="28"/>
        </w:rPr>
      </w:pPr>
      <w:r>
        <w:rPr>
          <w:rFonts w:ascii="宋体" w:hAnsi="宋体"/>
          <w:kern w:val="0"/>
          <w:sz w:val="28"/>
          <w:szCs w:val="28"/>
        </w:rPr>
        <w:t>1</w:t>
      </w:r>
      <w:r>
        <w:rPr>
          <w:rFonts w:hint="eastAsia" w:ascii="宋体" w:hAnsi="宋体"/>
          <w:kern w:val="0"/>
          <w:sz w:val="28"/>
          <w:szCs w:val="28"/>
        </w:rPr>
        <w:t>2</w:t>
      </w:r>
      <w:r>
        <w:rPr>
          <w:rFonts w:ascii="宋体" w:hAnsi="宋体"/>
          <w:kern w:val="0"/>
          <w:sz w:val="28"/>
          <w:szCs w:val="28"/>
        </w:rPr>
        <w:t>.</w:t>
      </w:r>
      <w:r>
        <w:rPr>
          <w:rFonts w:hint="eastAsia" w:ascii="宋体" w:hAnsi="宋体"/>
          <w:kern w:val="0"/>
          <w:sz w:val="28"/>
          <w:szCs w:val="28"/>
        </w:rPr>
        <w:t>退换：如果货物到馆后，因质量问题或其他原因不适合收藏的，应全部无条件退换（退货或换货）。</w:t>
      </w:r>
    </w:p>
    <w:p>
      <w:pPr>
        <w:spacing w:line="560" w:lineRule="exact"/>
        <w:ind w:firstLine="560" w:firstLineChars="200"/>
        <w:rPr>
          <w:rFonts w:ascii="宋体" w:hAnsi="宋体"/>
          <w:kern w:val="0"/>
          <w:sz w:val="28"/>
          <w:szCs w:val="28"/>
        </w:rPr>
      </w:pPr>
      <w:r>
        <w:rPr>
          <w:rFonts w:ascii="宋体" w:hAnsi="宋体"/>
          <w:kern w:val="0"/>
          <w:sz w:val="28"/>
          <w:szCs w:val="28"/>
        </w:rPr>
        <w:t>13.</w:t>
      </w:r>
      <w:r>
        <w:rPr>
          <w:rFonts w:hint="eastAsia" w:ascii="宋体" w:hAnsi="宋体"/>
          <w:kern w:val="0"/>
          <w:sz w:val="28"/>
          <w:szCs w:val="28"/>
        </w:rPr>
        <w:t>验收：由采购人、中标人双方共同进行货物验收，如投标人不到场，则以采购方验收结果为准。</w:t>
      </w: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的为“实质性响应指标”。“实质性响应指标”不允许“负偏离”，否则报价无效。产品技术指标/规格型号中带“▲”的为“关键指标”。“非实质性响应指标”允许“负偏离”，但不能超出偏离范围，否则报价无效。</w:t>
      </w:r>
    </w:p>
    <w:p>
      <w:pPr>
        <w:pStyle w:val="3"/>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（一）送货要求及供货期限</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交货地点：广东财经大学图书馆(广州市海珠区仑头路21号)。</w:t>
      </w:r>
    </w:p>
    <w:p>
      <w:pPr>
        <w:adjustRightInd w:val="0"/>
        <w:snapToGrid w:val="0"/>
        <w:spacing w:line="560" w:lineRule="exact"/>
        <w:ind w:firstLine="638" w:firstLineChars="228"/>
        <w:rPr>
          <w:rFonts w:ascii="宋体" w:hAnsi="宋体"/>
          <w:sz w:val="28"/>
          <w:szCs w:val="28"/>
        </w:rPr>
      </w:pPr>
      <w:r>
        <w:rPr>
          <w:rFonts w:ascii="宋体" w:hAnsi="宋体"/>
          <w:sz w:val="28"/>
          <w:szCs w:val="28"/>
        </w:rPr>
        <w:t>2.</w:t>
      </w:r>
      <w:r>
        <w:rPr>
          <w:rFonts w:hint="eastAsia" w:ascii="宋体" w:hAnsi="宋体"/>
          <w:sz w:val="28"/>
          <w:szCs w:val="28"/>
        </w:rPr>
        <w:t>送货要求：送到采购人指定的地点。</w:t>
      </w:r>
    </w:p>
    <w:p>
      <w:pPr>
        <w:adjustRightInd w:val="0"/>
        <w:snapToGrid w:val="0"/>
        <w:spacing w:line="560" w:lineRule="exact"/>
        <w:ind w:firstLine="638" w:firstLineChars="228"/>
        <w:rPr>
          <w:rFonts w:ascii="宋体" w:hAnsi="宋体"/>
          <w:sz w:val="28"/>
          <w:szCs w:val="28"/>
        </w:rPr>
      </w:pPr>
      <w:r>
        <w:rPr>
          <w:rFonts w:ascii="宋体" w:hAnsi="宋体"/>
          <w:sz w:val="28"/>
          <w:szCs w:val="28"/>
        </w:rPr>
        <w:t>3.</w:t>
      </w:r>
      <w:r>
        <w:rPr>
          <w:rFonts w:hint="eastAsia" w:ascii="宋体" w:hAnsi="宋体"/>
          <w:sz w:val="28"/>
          <w:szCs w:val="28"/>
        </w:rPr>
        <w:t>供货期限：供货服务从合同签订日起至2024年10月31日止</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 结算及支付方式</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采购人对所购图书验收合格，办妥差、错图书的退换手续后，中标人出具国家税务部门监制的盖有中标人财务章的正式销售发票，并提供盖有中标人单位公章的图书销售清单，采购人在收到中标人提供的发票和图书清单后60个工作日（遇法定节假日或寒暑假顺延）内按实洋结算。</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 xml:space="preserve"> 最终结算金额以实际采购数量结算，结算方式即：实际结算价格=年鉴类图书标价×投标折扣率。</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履约保证金</w:t>
      </w:r>
    </w:p>
    <w:p>
      <w:pPr>
        <w:adjustRightInd w:val="0"/>
        <w:snapToGrid w:val="0"/>
        <w:spacing w:line="560" w:lineRule="exact"/>
        <w:ind w:firstLine="638" w:firstLineChars="228"/>
        <w:rPr>
          <w:rFonts w:ascii="宋体" w:hAnsi="宋体"/>
          <w:sz w:val="28"/>
          <w:szCs w:val="28"/>
        </w:rPr>
      </w:pPr>
      <w:bookmarkStart w:id="28" w:name="_Hlk58397011"/>
      <w:r>
        <w:rPr>
          <w:rFonts w:hint="eastAsia" w:ascii="宋体" w:hAnsi="宋体"/>
          <w:sz w:val="28"/>
          <w:szCs w:val="28"/>
        </w:rPr>
        <w:t>履约保证金为合同总金额的5%，合同签订后5个工作日内中标人需交付履约保证金，履约保证金通过银行转入学校指定账号，也可以通过正规银行开具的金额对应的银行保函。该保证金在合同执行完毕验收合格后，在收到中标人提供的退质保金申请和保证金收据后15个工作日（遇法定节假日或寒暑假顺延）内无息退还</w:t>
      </w:r>
      <w:bookmarkEnd w:id="28"/>
      <w:r>
        <w:rPr>
          <w:rFonts w:hint="eastAsia" w:ascii="宋体" w:hAnsi="宋体"/>
          <w:sz w:val="28"/>
          <w:szCs w:val="28"/>
        </w:rPr>
        <w:t>或者在银行保函到期之后自动失效。</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中标人应保证销售正版图书。对盗版、翻版和特价书或以次充好的图书，采购人有权拒绝验收，中标人必须无条件退货，并以正版图书码洋的10 倍金额支付违约金，违约金从履约保证金和图书结算款（保证金扣完后）中扣除。同时，采购人有权终止中标人的供货资格，并由中标人承担由此而引起的一切法律责任。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如中标人在年鉴正式出版后2-3个月内交货，则中标人按该年鉴码洋的10％支付违约金，违约金从履约保证金和图书结算款（保证金扣完后）中扣除。在年鉴正式出版后4-6个月内交货，则中标人按该年鉴码洋的 20％支付违约金，违约金从履约保证金和图书结算款（保证金扣完后）中扣除。采购人所订图书在已出版发行6个月后尚未到货，采购人有权通过其他途径购买这些图书，对此中标人以该年鉴码洋的2</w:t>
      </w:r>
      <w:r>
        <w:rPr>
          <w:rFonts w:ascii="宋体" w:hAnsi="宋体"/>
          <w:sz w:val="28"/>
          <w:szCs w:val="28"/>
        </w:rPr>
        <w:t>0</w:t>
      </w:r>
      <w:r>
        <w:rPr>
          <w:rFonts w:hint="eastAsia" w:ascii="宋体" w:hAnsi="宋体"/>
          <w:sz w:val="28"/>
          <w:szCs w:val="28"/>
        </w:rPr>
        <w:t>0％支付违约金，违约金从履约保证金和图书结算款（保证金扣完后）中扣除。</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投标人应保证销售正版年鉴。对盗版、翻版和特价年鉴，采购人有权拒绝验收，投标人必须无条件接受退货，并以该图书正版码洋的10倍金额支付违约金，违约金从履约保证金和年鉴结算款（保证金扣完后）中扣除。同时，可无条件终止中标人的供货资格，并由中标人承担由此而引起的一切法律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投标人应保证所提供的MARC数据准确率在95％以上，若采购方人员发现其错误率超过5％，则按每条数据5元支付违约金，从履约保证金和年鉴结算款（保证金扣完后）中扣除。</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其它违约责任按《中华人民共和国民法典》处理。</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widowControl/>
        <w:jc w:val="left"/>
        <w:rPr>
          <w:rFonts w:ascii="宋体" w:hAnsi="宋体"/>
          <w:sz w:val="32"/>
          <w:szCs w:val="32"/>
        </w:rPr>
      </w:pPr>
      <w:r>
        <w:rPr>
          <w:rFonts w:ascii="宋体" w:hAnsi="宋体"/>
          <w:sz w:val="32"/>
          <w:szCs w:val="32"/>
        </w:rPr>
        <w:br w:type="page"/>
      </w:r>
    </w:p>
    <w:p>
      <w:pPr>
        <w:spacing w:line="360" w:lineRule="auto"/>
        <w:ind w:left="600" w:hanging="600" w:hangingChars="200"/>
        <w:rPr>
          <w:sz w:val="30"/>
          <w:szCs w:val="30"/>
        </w:rPr>
      </w:pPr>
      <w:r>
        <w:rPr>
          <w:rFonts w:hint="eastAsia" w:ascii="宋体"/>
          <w:sz w:val="30"/>
          <w:szCs w:val="30"/>
        </w:rPr>
        <w:t>参考目录：</w:t>
      </w:r>
    </w:p>
    <w:tbl>
      <w:tblPr>
        <w:tblStyle w:val="27"/>
        <w:tblW w:w="71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4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年鉴名称</w:t>
            </w:r>
          </w:p>
        </w:tc>
        <w:tc>
          <w:tcPr>
            <w:tcW w:w="1320"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IAI广告作品与数字营销年鉴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北京统计年鉴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大中型批发零售和住宿餐饮企业统计年鉴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广东财政年鉴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广东发展报告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广东法院年鉴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广东工业统计年鉴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广东建设年鉴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广东教育年鉴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广东经济年鉴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广东经济普查年鉴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广东科技年鉴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广东年鉴  </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广东农村统计年鉴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广东企业年鉴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广东知识产权年鉴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广州民营经济年鉴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广州年鉴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广州统计年鉴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国际农产品贸易统计年鉴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国际统计年鉴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国家统计调查制度</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旅游抽样调查资料</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南方人才年度广东地区薪酬调查报告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全球城市竞争力年鉴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上海统计年鉴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上海证券交易所统计年鉴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深圳统计年鉴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世界华文传媒年鉴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世界经济年鉴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世界知识年鉴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粤港澳大湾区城市群年鉴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34</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长江经济带统计年鉴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中国版权年鉴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中国保险年鉴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中国财政年鉴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38</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中国彩票年鉴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中国餐饮年鉴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中国产权市场年鉴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中国城市发展报告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中国城市经济年鉴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中国城市年鉴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中国城市统计年鉴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中国出版年鉴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中国大宗商品市场年鉴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中国低碳循环年鉴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中国第三产业统计年鉴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中国电子信息产业统计年鉴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中国-东盟统计年鉴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中国动画年鉴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中国法律年鉴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中国法律援助年鉴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中国反垄断与规制经济学学术年鉴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中国房地产金融报告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中国房地产年鉴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中国房地产统计年鉴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中国改革年鉴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59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中国港口年鉴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中国高技术产业统计年鉴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中国工业统计年鉴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中国广播电视年鉴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中国广播电视视听年鉴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中国广告案例年鉴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中国广告年鉴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中国国际经济合作年鉴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中国国际收支报告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中国国际收支报告（上半年）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69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中国国有资产监督管理年鉴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中国海关统计年鉴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中国互联网产业发展年鉴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中国互联网发展报告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中国环境统计年鉴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中国会计年鉴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中国货币政策执行报告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中国价格统计年鉴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中国教育经费统计年鉴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中国教育统计年鉴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79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中国金融年鉴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中国金融市场发展报告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中国金融稳定报告（中文版）</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中国经济贸易年鉴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中国经济年鉴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84</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中国精神文明建设年鉴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中国开发区年鉴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中国科技统计年鉴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87</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中国口岸年鉴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中国跨境电商发展年鉴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89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中国快递年鉴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中国劳动统计年鉴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中国连锁经营年鉴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中国零售和餐饮连锁企业统计年鉴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中国旅游财务信息年鉴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中国旅游景区发展报告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中国贸易外经统计年鉴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中国-南亚商务年鉴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中国能源统计年鉴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中国农产品价格调查年鉴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中国农村统计年鉴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中国期货市场年鉴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中国期刊年鉴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中国企业集团财务公司年鉴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中国企业年鉴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中国企业文化年鉴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中国汽车市场年鉴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中国人口和就业统计年鉴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中国人力资源和社会保障年鉴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中国商标年鉴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109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中国商品交易市场统计年鉴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中国商务年鉴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中国上市公司年鉴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112</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中国设计红星奖年鉴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中国设计年鉴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中国社会统计年鉴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中国审计年鉴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中国省市经济发展年鉴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中国世界贸易组织年鉴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中国税收季度报告</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119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中国税务稽查年鉴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中国税务年鉴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中国体育年鉴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中国投资领域统计年鉴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中国投资年鉴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中国图书馆年鉴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中国文化和旅游年鉴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中国文化及相关产业统计年鉴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中国文化文物和旅游统计年鉴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129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中国物价年鉴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中国物流年鉴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中国物业管理行业年鉴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中国县域统计年鉴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中国新闻传播教育年鉴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中国新闻传播学年鉴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中国新闻年鉴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中国信托业年鉴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中国信息安全年鉴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中国信息产业年鉴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139</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中国信息年鉴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140</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中国一带一路年鉴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中国证券期货统计年鉴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142</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中国证券投资基金年鉴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143</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中国知识产权年鉴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144</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中国知识产权司法保护年鉴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145</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中国中小企业年鉴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146</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中国住户调查年鉴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147</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中国自然资源年鉴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148</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中国自然资源统计年鉴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149</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中华全国工商业联合会年鉴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150</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中华人民共和国海关进出口税则</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151</w:t>
            </w:r>
          </w:p>
        </w:tc>
        <w:tc>
          <w:tcPr>
            <w:tcW w:w="4720" w:type="dxa"/>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中华人民共和国年鉴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152</w:t>
            </w:r>
          </w:p>
        </w:tc>
        <w:tc>
          <w:tcPr>
            <w:tcW w:w="4720" w:type="dxa"/>
            <w:shd w:val="clear" w:color="auto" w:fill="auto"/>
            <w:noWrap/>
            <w:vAlign w:val="bottom"/>
          </w:tcPr>
          <w:p>
            <w:pPr>
              <w:widowControl/>
              <w:jc w:val="left"/>
              <w:rPr>
                <w:rFonts w:hint="eastAsia" w:ascii="宋体" w:hAnsi="宋体" w:cs="宋体"/>
                <w:kern w:val="0"/>
                <w:sz w:val="24"/>
              </w:rPr>
            </w:pPr>
            <w:r>
              <w:rPr>
                <w:rFonts w:hint="eastAsia" w:ascii="宋体" w:hAnsi="宋体" w:cs="宋体"/>
                <w:kern w:val="0"/>
                <w:sz w:val="24"/>
              </w:rPr>
              <w:t>中文核心期刊要目总览</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153</w:t>
            </w:r>
          </w:p>
        </w:tc>
        <w:tc>
          <w:tcPr>
            <w:tcW w:w="4720" w:type="dxa"/>
            <w:shd w:val="clear" w:color="auto" w:fill="auto"/>
            <w:noWrap/>
            <w:vAlign w:val="bottom"/>
          </w:tcPr>
          <w:p>
            <w:pPr>
              <w:widowControl/>
              <w:jc w:val="left"/>
              <w:rPr>
                <w:rFonts w:hint="eastAsia" w:ascii="宋体" w:hAnsi="宋体" w:cs="宋体"/>
                <w:color w:val="000000"/>
                <w:kern w:val="0"/>
                <w:sz w:val="24"/>
              </w:rPr>
            </w:pPr>
            <w:r>
              <w:rPr>
                <w:rFonts w:hint="eastAsia" w:ascii="宋体" w:hAnsi="宋体" w:cs="宋体"/>
                <w:color w:val="000000"/>
                <w:kern w:val="0"/>
                <w:sz w:val="24"/>
              </w:rPr>
              <w:t>珠海统计年鉴</w:t>
            </w:r>
          </w:p>
        </w:tc>
        <w:tc>
          <w:tcPr>
            <w:tcW w:w="1320" w:type="dxa"/>
            <w:shd w:val="clear" w:color="auto" w:fill="auto"/>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w:t>
            </w:r>
          </w:p>
        </w:tc>
      </w:tr>
    </w:tbl>
    <w:p>
      <w:pPr>
        <w:spacing w:line="400" w:lineRule="exact"/>
        <w:rPr>
          <w:rFonts w:hint="eastAsia" w:ascii="宋体" w:hAnsi="宋体"/>
          <w:sz w:val="28"/>
          <w:szCs w:val="28"/>
        </w:rPr>
      </w:pPr>
    </w:p>
    <w:p>
      <w:pPr>
        <w:pStyle w:val="2"/>
      </w:pPr>
      <w:bookmarkStart w:id="29" w:name="_Toc14310"/>
      <w:r>
        <w:rPr>
          <w:rFonts w:hint="eastAsia"/>
        </w:rPr>
        <w:t>第三部分  报价文件格式</w:t>
      </w:r>
      <w:bookmarkEnd w:id="29"/>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w:t>
      </w:r>
      <w:r>
        <w:rPr>
          <w:rFonts w:ascii="宋体" w:hAnsi="宋体" w:cs="宋体"/>
          <w:b/>
          <w:bCs/>
          <w:spacing w:val="30"/>
          <w:sz w:val="28"/>
          <w:szCs w:val="28"/>
        </w:rPr>
        <w:t xml:space="preserve"> </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w:t>
      </w:r>
      <w:r>
        <w:rPr>
          <w:rFonts w:ascii="宋体" w:hAnsi="宋体" w:cs="宋体"/>
          <w:b/>
          <w:bCs/>
          <w:spacing w:val="30"/>
          <w:sz w:val="28"/>
          <w:szCs w:val="28"/>
        </w:rPr>
        <w:t xml:space="preserve">   </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 xml:space="preserve">技术（服务）条款响应表 </w:t>
      </w:r>
      <w:r>
        <w:rPr>
          <w:rFonts w:ascii="宋体" w:hAnsi="宋体" w:cs="宋体"/>
          <w:b/>
          <w:bCs/>
          <w:spacing w:val="30"/>
          <w:sz w:val="28"/>
          <w:szCs w:val="28"/>
        </w:rPr>
        <w:t xml:space="preserve">                 </w:t>
      </w:r>
      <w:r>
        <w:rPr>
          <w:rFonts w:hint="eastAsia" w:ascii="宋体" w:hAnsi="宋体" w:cs="宋体"/>
          <w:b/>
          <w:bCs/>
          <w:spacing w:val="30"/>
          <w:sz w:val="28"/>
          <w:szCs w:val="28"/>
        </w:rPr>
        <w:t>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 xml:space="preserve">商务条款响应表 </w:t>
      </w:r>
      <w:r>
        <w:rPr>
          <w:rFonts w:ascii="宋体" w:hAnsi="宋体" w:cs="宋体"/>
          <w:b/>
          <w:bCs/>
          <w:spacing w:val="30"/>
          <w:sz w:val="28"/>
          <w:szCs w:val="28"/>
        </w:rPr>
        <w:t xml:space="preserve">                        </w:t>
      </w:r>
      <w:r>
        <w:rPr>
          <w:rFonts w:hint="eastAsia" w:ascii="宋体" w:hAnsi="宋体" w:cs="宋体"/>
          <w:b/>
          <w:bCs/>
          <w:spacing w:val="30"/>
          <w:sz w:val="28"/>
          <w:szCs w:val="28"/>
        </w:rPr>
        <w:t>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adjustRightInd w:val="0"/>
        <w:snapToGrid w:val="0"/>
        <w:jc w:val="right"/>
        <w:rPr>
          <w:rFonts w:ascii="宋体" w:hAnsi="宋体"/>
          <w:sz w:val="24"/>
        </w:rPr>
      </w:pP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投标折扣率</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小写：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8"/>
        </w:numPr>
        <w:spacing w:line="0" w:lineRule="atLeast"/>
        <w:rPr>
          <w:rFonts w:hAnsi="宋体"/>
          <w:sz w:val="28"/>
          <w:szCs w:val="28"/>
        </w:rPr>
      </w:pPr>
      <w:r>
        <w:rPr>
          <w:rFonts w:hint="eastAsia" w:hAnsi="宋体"/>
          <w:sz w:val="28"/>
          <w:szCs w:val="28"/>
        </w:rPr>
        <w:t>最终结算金额以实际采购数量结算，结算方式为：实际结算价格=年鉴类图书标价×投标折扣率。</w:t>
      </w:r>
    </w:p>
    <w:p>
      <w:pPr>
        <w:pStyle w:val="13"/>
        <w:numPr>
          <w:ilvl w:val="0"/>
          <w:numId w:val="8"/>
        </w:numPr>
        <w:spacing w:line="0" w:lineRule="atLeast"/>
        <w:rPr>
          <w:rFonts w:hAnsi="宋体"/>
          <w:sz w:val="28"/>
          <w:szCs w:val="28"/>
        </w:rPr>
      </w:pPr>
      <w:r>
        <w:rPr>
          <w:rFonts w:hint="eastAsia" w:hAnsi="宋体"/>
          <w:sz w:val="28"/>
          <w:szCs w:val="28"/>
        </w:rPr>
        <w:t>表中报价总价小写折扣率与大写折扣率不一致的，以大写为准。</w:t>
      </w:r>
    </w:p>
    <w:p>
      <w:pPr>
        <w:pStyle w:val="13"/>
        <w:numPr>
          <w:ilvl w:val="0"/>
          <w:numId w:val="8"/>
        </w:numPr>
        <w:spacing w:line="0" w:lineRule="atLeast"/>
        <w:rPr>
          <w:rFonts w:hAnsi="宋体"/>
          <w:sz w:val="28"/>
          <w:szCs w:val="28"/>
        </w:rPr>
      </w:pPr>
      <w:r>
        <w:rPr>
          <w:rFonts w:hint="eastAsia"/>
          <w:sz w:val="28"/>
          <w:szCs w:val="28"/>
        </w:rPr>
        <w:t>填写此表时不得改变表格的形式。</w:t>
      </w:r>
    </w:p>
    <w:p>
      <w:pPr>
        <w:pStyle w:val="13"/>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156"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autoSpaceDE w:val="0"/>
        <w:autoSpaceDN w:val="0"/>
        <w:adjustRightInd w:val="0"/>
        <w:spacing w:line="640" w:lineRule="exact"/>
        <w:ind w:left="420"/>
        <w:rPr>
          <w:rFonts w:ascii="宋体" w:hAnsi="宋体" w:cs="宋体"/>
          <w:b/>
          <w:bCs/>
          <w:spacing w:val="30"/>
          <w:sz w:val="44"/>
          <w:szCs w:val="44"/>
        </w:rPr>
      </w:pPr>
    </w:p>
    <w:p>
      <w:pPr>
        <w:autoSpaceDE w:val="0"/>
        <w:autoSpaceDN w:val="0"/>
        <w:adjustRightInd w:val="0"/>
        <w:spacing w:line="640" w:lineRule="exact"/>
        <w:ind w:left="420"/>
        <w:rPr>
          <w:rFonts w:ascii="宋体" w:hAnsi="宋体" w:cs="宋体"/>
          <w:b/>
          <w:bCs/>
          <w:spacing w:val="30"/>
          <w:sz w:val="44"/>
          <w:szCs w:val="44"/>
        </w:rPr>
      </w:pP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5B4AE6-3CF9-4912-B6F0-921593059A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2C648B-7839-471A-B480-DF463B78C49C}"/>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B5A59A90-8773-4294-BE51-A16B98838283}"/>
  </w:font>
  <w:font w:name="楷体_GB2312">
    <w:altName w:val="楷体"/>
    <w:panose1 w:val="00000000000000000000"/>
    <w:charset w:val="86"/>
    <w:family w:val="modern"/>
    <w:pitch w:val="default"/>
    <w:sig w:usb0="00000000" w:usb1="00000000" w:usb2="00000010" w:usb3="00000000" w:csb0="00040000" w:csb1="00000000"/>
    <w:embedRegular r:id="rId4" w:fontKey="{023B1061-366B-455E-89B3-B8B1C4A9D8DC}"/>
  </w:font>
  <w:font w:name="楷体">
    <w:panose1 w:val="02010609060101010101"/>
    <w:charset w:val="86"/>
    <w:family w:val="modern"/>
    <w:pitch w:val="default"/>
    <w:sig w:usb0="800002BF" w:usb1="38CF7CFA" w:usb2="00000016" w:usb3="00000000" w:csb0="00040001" w:csb1="00000000"/>
    <w:embedRegular r:id="rId5" w:fontKey="{ED24ADAF-52B8-4A9B-BD28-AC08247DCA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4AAF"/>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58"/>
    <w:rsid w:val="001657EB"/>
    <w:rsid w:val="001668FE"/>
    <w:rsid w:val="00166F7B"/>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754"/>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0F51"/>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19C"/>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47EDB"/>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76CB0"/>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6BEC"/>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55E9"/>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3E37"/>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8"/>
    <w:rsid w:val="004F534D"/>
    <w:rsid w:val="004F5A3F"/>
    <w:rsid w:val="004F5FD0"/>
    <w:rsid w:val="004F6001"/>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3C2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5DD4"/>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CDA"/>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2F89"/>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A3B"/>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3ED7"/>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05"/>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06D"/>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10"/>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19CC"/>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6A08"/>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797"/>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140"/>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746"/>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3E72"/>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8734B"/>
    <w:rsid w:val="00C87947"/>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6F9C"/>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4E14"/>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2D89"/>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54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E74F8"/>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863"/>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DCA"/>
    <w:rsid w:val="00FD5E04"/>
    <w:rsid w:val="00FD5F42"/>
    <w:rsid w:val="00FD6650"/>
    <w:rsid w:val="00FD690A"/>
    <w:rsid w:val="00FD7963"/>
    <w:rsid w:val="00FD798D"/>
    <w:rsid w:val="00FE07FF"/>
    <w:rsid w:val="00FE10C1"/>
    <w:rsid w:val="00FE14E4"/>
    <w:rsid w:val="00FE18BB"/>
    <w:rsid w:val="00FE248A"/>
    <w:rsid w:val="00FE3646"/>
    <w:rsid w:val="00FE3C98"/>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82B"/>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4E361F5"/>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autoRedefine/>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autoRedefine/>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autoRedefine/>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autoRedefine/>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46"/>
    <w:autoRedefine/>
    <w:qFormat/>
    <w:uiPriority w:val="0"/>
    <w:pPr>
      <w:ind w:firstLine="420"/>
    </w:pPr>
    <w:rPr>
      <w:rFonts w:ascii="Calibri" w:hAnsi="Calibri"/>
      <w:kern w:val="0"/>
      <w:sz w:val="20"/>
      <w:szCs w:val="20"/>
    </w:rPr>
  </w:style>
  <w:style w:type="paragraph" w:styleId="7">
    <w:name w:val="Document Map"/>
    <w:basedOn w:val="1"/>
    <w:link w:val="61"/>
    <w:autoRedefine/>
    <w:semiHidden/>
    <w:qFormat/>
    <w:uiPriority w:val="0"/>
    <w:pPr>
      <w:shd w:val="clear" w:color="auto" w:fill="000080"/>
    </w:pPr>
    <w:rPr>
      <w:kern w:val="0"/>
      <w:sz w:val="20"/>
    </w:rPr>
  </w:style>
  <w:style w:type="paragraph" w:styleId="8">
    <w:name w:val="annotation text"/>
    <w:basedOn w:val="1"/>
    <w:next w:val="9"/>
    <w:link w:val="64"/>
    <w:autoRedefine/>
    <w:qFormat/>
    <w:uiPriority w:val="0"/>
    <w:pPr>
      <w:spacing w:line="280" w:lineRule="exact"/>
      <w:jc w:val="left"/>
    </w:pPr>
    <w:rPr>
      <w:sz w:val="24"/>
    </w:rPr>
  </w:style>
  <w:style w:type="paragraph" w:styleId="9">
    <w:name w:val="Balloon Text"/>
    <w:basedOn w:val="1"/>
    <w:link w:val="40"/>
    <w:autoRedefine/>
    <w:semiHidden/>
    <w:qFormat/>
    <w:uiPriority w:val="0"/>
    <w:pPr>
      <w:adjustRightInd w:val="0"/>
      <w:snapToGrid w:val="0"/>
    </w:pPr>
    <w:rPr>
      <w:sz w:val="28"/>
      <w:szCs w:val="18"/>
    </w:rPr>
  </w:style>
  <w:style w:type="paragraph" w:styleId="10">
    <w:name w:val="Body Text Indent"/>
    <w:basedOn w:val="1"/>
    <w:link w:val="54"/>
    <w:autoRedefine/>
    <w:qFormat/>
    <w:uiPriority w:val="0"/>
    <w:pPr>
      <w:ind w:firstLine="570"/>
    </w:pPr>
    <w:rPr>
      <w:rFonts w:ascii="宋体" w:hAnsi="宋体"/>
      <w:kern w:val="0"/>
      <w:sz w:val="24"/>
    </w:rPr>
  </w:style>
  <w:style w:type="paragraph" w:styleId="11">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autoRedefine/>
    <w:qFormat/>
    <w:uiPriority w:val="39"/>
    <w:pPr>
      <w:ind w:left="840" w:leftChars="400"/>
    </w:pPr>
  </w:style>
  <w:style w:type="paragraph" w:styleId="13">
    <w:name w:val="Plain Text"/>
    <w:basedOn w:val="1"/>
    <w:link w:val="41"/>
    <w:autoRedefine/>
    <w:qFormat/>
    <w:uiPriority w:val="0"/>
    <w:rPr>
      <w:rFonts w:ascii="宋体" w:hAnsi="Courier New"/>
      <w:kern w:val="0"/>
      <w:sz w:val="20"/>
    </w:rPr>
  </w:style>
  <w:style w:type="paragraph" w:styleId="14">
    <w:name w:val="Date"/>
    <w:basedOn w:val="1"/>
    <w:next w:val="1"/>
    <w:link w:val="38"/>
    <w:autoRedefine/>
    <w:qFormat/>
    <w:uiPriority w:val="0"/>
    <w:pPr>
      <w:ind w:left="100" w:leftChars="2500"/>
    </w:pPr>
    <w:rPr>
      <w:kern w:val="0"/>
      <w:sz w:val="28"/>
    </w:rPr>
  </w:style>
  <w:style w:type="paragraph" w:styleId="15">
    <w:name w:val="Body Text Indent 2"/>
    <w:basedOn w:val="1"/>
    <w:link w:val="59"/>
    <w:autoRedefine/>
    <w:qFormat/>
    <w:uiPriority w:val="0"/>
    <w:pPr>
      <w:spacing w:line="300" w:lineRule="auto"/>
      <w:ind w:firstLine="540" w:firstLineChars="225"/>
    </w:pPr>
    <w:rPr>
      <w:rFonts w:ascii="宋体" w:hAnsi="宋体"/>
      <w:color w:val="000000"/>
      <w:kern w:val="0"/>
      <w:sz w:val="24"/>
    </w:rPr>
  </w:style>
  <w:style w:type="paragraph" w:styleId="16">
    <w:name w:val="footer"/>
    <w:basedOn w:val="1"/>
    <w:link w:val="55"/>
    <w:autoRedefine/>
    <w:qFormat/>
    <w:uiPriority w:val="0"/>
    <w:pPr>
      <w:tabs>
        <w:tab w:val="center" w:pos="4153"/>
        <w:tab w:val="right" w:pos="8306"/>
      </w:tabs>
      <w:snapToGrid w:val="0"/>
      <w:jc w:val="left"/>
    </w:pPr>
    <w:rPr>
      <w:kern w:val="0"/>
      <w:sz w:val="18"/>
      <w:szCs w:val="18"/>
    </w:rPr>
  </w:style>
  <w:style w:type="paragraph" w:styleId="17">
    <w:name w:val="header"/>
    <w:basedOn w:val="1"/>
    <w:link w:val="50"/>
    <w:autoRedefine/>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autoRedefine/>
    <w:qFormat/>
    <w:uiPriority w:val="39"/>
  </w:style>
  <w:style w:type="paragraph" w:styleId="19">
    <w:name w:val="index heading"/>
    <w:basedOn w:val="1"/>
    <w:next w:val="20"/>
    <w:autoRedefine/>
    <w:semiHidden/>
    <w:qFormat/>
    <w:uiPriority w:val="0"/>
    <w:rPr>
      <w:szCs w:val="20"/>
    </w:rPr>
  </w:style>
  <w:style w:type="paragraph" w:styleId="20">
    <w:name w:val="index 1"/>
    <w:basedOn w:val="1"/>
    <w:next w:val="1"/>
    <w:autoRedefine/>
    <w:semiHidden/>
    <w:qFormat/>
    <w:uiPriority w:val="0"/>
  </w:style>
  <w:style w:type="paragraph" w:styleId="21">
    <w:name w:val="Subtitle"/>
    <w:basedOn w:val="1"/>
    <w:next w:val="1"/>
    <w:link w:val="37"/>
    <w:autoRedefine/>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autoRedefine/>
    <w:qFormat/>
    <w:uiPriority w:val="0"/>
    <w:pPr>
      <w:snapToGrid w:val="0"/>
      <w:jc w:val="left"/>
    </w:pPr>
    <w:rPr>
      <w:kern w:val="0"/>
      <w:sz w:val="18"/>
      <w:szCs w:val="18"/>
    </w:rPr>
  </w:style>
  <w:style w:type="paragraph" w:styleId="23">
    <w:name w:val="Body Text Indent 3"/>
    <w:basedOn w:val="1"/>
    <w:link w:val="45"/>
    <w:autoRedefine/>
    <w:qFormat/>
    <w:uiPriority w:val="0"/>
    <w:pPr>
      <w:snapToGrid w:val="0"/>
      <w:spacing w:after="120" w:line="360" w:lineRule="auto"/>
      <w:ind w:firstLine="1365"/>
    </w:pPr>
    <w:rPr>
      <w:rFonts w:ascii="宋体"/>
      <w:kern w:val="0"/>
      <w:sz w:val="28"/>
      <w:szCs w:val="20"/>
    </w:rPr>
  </w:style>
  <w:style w:type="paragraph" w:styleId="24">
    <w:name w:val="toc 2"/>
    <w:basedOn w:val="1"/>
    <w:next w:val="1"/>
    <w:autoRedefine/>
    <w:qFormat/>
    <w:uiPriority w:val="39"/>
    <w:pPr>
      <w:ind w:left="420" w:leftChars="200"/>
    </w:pPr>
  </w:style>
  <w:style w:type="paragraph" w:styleId="25">
    <w:name w:val="Normal (Web)"/>
    <w:basedOn w:val="1"/>
    <w:autoRedefine/>
    <w:qFormat/>
    <w:uiPriority w:val="0"/>
    <w:rPr>
      <w:rFonts w:ascii="Calibri" w:hAnsi="Calibri"/>
      <w:sz w:val="24"/>
      <w:szCs w:val="22"/>
    </w:rPr>
  </w:style>
  <w:style w:type="paragraph" w:styleId="26">
    <w:name w:val="annotation subject"/>
    <w:basedOn w:val="8"/>
    <w:next w:val="8"/>
    <w:link w:val="62"/>
    <w:autoRedefine/>
    <w:semiHidden/>
    <w:qFormat/>
    <w:uiPriority w:val="0"/>
    <w:rPr>
      <w:b/>
      <w:bCs/>
      <w:kern w:val="0"/>
      <w:sz w:val="20"/>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bCs/>
    </w:rPr>
  </w:style>
  <w:style w:type="character" w:styleId="31">
    <w:name w:val="page number"/>
    <w:basedOn w:val="29"/>
    <w:autoRedefine/>
    <w:qFormat/>
    <w:uiPriority w:val="0"/>
  </w:style>
  <w:style w:type="character" w:styleId="32">
    <w:name w:val="FollowedHyperlink"/>
    <w:autoRedefine/>
    <w:qFormat/>
    <w:uiPriority w:val="0"/>
    <w:rPr>
      <w:color w:val="800080"/>
      <w:u w:val="single"/>
    </w:rPr>
  </w:style>
  <w:style w:type="character" w:styleId="33">
    <w:name w:val="Emphasis"/>
    <w:basedOn w:val="29"/>
    <w:autoRedefine/>
    <w:qFormat/>
    <w:uiPriority w:val="20"/>
    <w:rPr>
      <w:color w:val="CC0000"/>
    </w:rPr>
  </w:style>
  <w:style w:type="character" w:styleId="34">
    <w:name w:val="Hyperlink"/>
    <w:autoRedefine/>
    <w:qFormat/>
    <w:uiPriority w:val="99"/>
    <w:rPr>
      <w:color w:val="0000FF"/>
      <w:u w:val="single"/>
    </w:rPr>
  </w:style>
  <w:style w:type="character" w:styleId="35">
    <w:name w:val="annotation reference"/>
    <w:autoRedefine/>
    <w:semiHidden/>
    <w:qFormat/>
    <w:uiPriority w:val="0"/>
    <w:rPr>
      <w:sz w:val="21"/>
      <w:szCs w:val="21"/>
    </w:rPr>
  </w:style>
  <w:style w:type="character" w:styleId="36">
    <w:name w:val="footnote reference"/>
    <w:autoRedefine/>
    <w:qFormat/>
    <w:uiPriority w:val="0"/>
    <w:rPr>
      <w:vertAlign w:val="superscript"/>
    </w:rPr>
  </w:style>
  <w:style w:type="character" w:customStyle="1" w:styleId="37">
    <w:name w:val="副标题 字符"/>
    <w:link w:val="21"/>
    <w:autoRedefine/>
    <w:qFormat/>
    <w:uiPriority w:val="0"/>
    <w:rPr>
      <w:rFonts w:ascii="Cambria" w:hAnsi="Cambria" w:eastAsia="宋体" w:cs="Times New Roman"/>
      <w:b/>
      <w:bCs/>
      <w:kern w:val="28"/>
      <w:sz w:val="32"/>
      <w:szCs w:val="32"/>
    </w:rPr>
  </w:style>
  <w:style w:type="character" w:customStyle="1" w:styleId="38">
    <w:name w:val="日期 字符"/>
    <w:link w:val="14"/>
    <w:autoRedefine/>
    <w:qFormat/>
    <w:uiPriority w:val="0"/>
    <w:rPr>
      <w:rFonts w:ascii="Times New Roman" w:hAnsi="Times New Roman" w:eastAsia="宋体" w:cs="Times New Roman"/>
      <w:sz w:val="28"/>
      <w:szCs w:val="24"/>
    </w:rPr>
  </w:style>
  <w:style w:type="character" w:customStyle="1" w:styleId="39">
    <w:name w:val="脚注文本 字符"/>
    <w:link w:val="22"/>
    <w:autoRedefine/>
    <w:qFormat/>
    <w:uiPriority w:val="0"/>
    <w:rPr>
      <w:rFonts w:ascii="Times New Roman" w:hAnsi="Times New Roman" w:eastAsia="宋体" w:cs="Times New Roman"/>
      <w:sz w:val="18"/>
      <w:szCs w:val="18"/>
    </w:rPr>
  </w:style>
  <w:style w:type="character" w:customStyle="1" w:styleId="40">
    <w:name w:val="批注框文本 字符"/>
    <w:link w:val="9"/>
    <w:autoRedefine/>
    <w:semiHidden/>
    <w:qFormat/>
    <w:uiPriority w:val="0"/>
    <w:rPr>
      <w:rFonts w:ascii="Times New Roman" w:hAnsi="Times New Roman"/>
      <w:kern w:val="2"/>
      <w:sz w:val="28"/>
      <w:szCs w:val="18"/>
    </w:rPr>
  </w:style>
  <w:style w:type="character" w:customStyle="1" w:styleId="41">
    <w:name w:val="纯文本 字符"/>
    <w:link w:val="13"/>
    <w:autoRedefine/>
    <w:qFormat/>
    <w:uiPriority w:val="0"/>
    <w:rPr>
      <w:rFonts w:ascii="宋体" w:hAnsi="Courier New" w:eastAsia="宋体"/>
      <w:szCs w:val="24"/>
    </w:rPr>
  </w:style>
  <w:style w:type="character" w:customStyle="1" w:styleId="42">
    <w:name w:val="列出段落 Char"/>
    <w:link w:val="43"/>
    <w:autoRedefine/>
    <w:qFormat/>
    <w:locked/>
    <w:uiPriority w:val="99"/>
    <w:rPr>
      <w:rFonts w:ascii="Times New Roman" w:hAnsi="Times New Roman"/>
      <w:kern w:val="2"/>
      <w:sz w:val="21"/>
      <w:szCs w:val="24"/>
    </w:rPr>
  </w:style>
  <w:style w:type="paragraph" w:customStyle="1" w:styleId="43">
    <w:name w:val="列出段落2"/>
    <w:basedOn w:val="1"/>
    <w:link w:val="42"/>
    <w:autoRedefine/>
    <w:qFormat/>
    <w:uiPriority w:val="99"/>
    <w:pPr>
      <w:ind w:firstLine="420" w:firstLineChars="200"/>
    </w:pPr>
  </w:style>
  <w:style w:type="character" w:customStyle="1" w:styleId="44">
    <w:name w:val="纯文本 Char1"/>
    <w:autoRedefine/>
    <w:semiHidden/>
    <w:qFormat/>
    <w:uiPriority w:val="99"/>
    <w:rPr>
      <w:rFonts w:ascii="宋体" w:hAnsi="Courier New" w:eastAsia="宋体" w:cs="Courier New"/>
      <w:szCs w:val="21"/>
    </w:rPr>
  </w:style>
  <w:style w:type="character" w:customStyle="1" w:styleId="45">
    <w:name w:val="正文文本缩进 3 字符"/>
    <w:link w:val="23"/>
    <w:autoRedefine/>
    <w:qFormat/>
    <w:uiPriority w:val="0"/>
    <w:rPr>
      <w:rFonts w:ascii="宋体" w:hAnsi="Times New Roman" w:eastAsia="宋体" w:cs="Times New Roman"/>
      <w:sz w:val="28"/>
      <w:szCs w:val="20"/>
    </w:rPr>
  </w:style>
  <w:style w:type="character" w:customStyle="1" w:styleId="46">
    <w:name w:val="正文缩进 字符"/>
    <w:link w:val="6"/>
    <w:autoRedefine/>
    <w:qFormat/>
    <w:uiPriority w:val="0"/>
    <w:rPr>
      <w:rFonts w:eastAsia="宋体"/>
    </w:rPr>
  </w:style>
  <w:style w:type="character" w:customStyle="1" w:styleId="47">
    <w:name w:val="标题 2 字符"/>
    <w:link w:val="3"/>
    <w:autoRedefine/>
    <w:qFormat/>
    <w:uiPriority w:val="0"/>
    <w:rPr>
      <w:rFonts w:ascii="Arial" w:hAnsi="Arial" w:eastAsia="宋体" w:cs="Times New Roman"/>
      <w:b/>
      <w:bCs/>
      <w:sz w:val="28"/>
      <w:szCs w:val="32"/>
    </w:rPr>
  </w:style>
  <w:style w:type="character" w:customStyle="1" w:styleId="48">
    <w:name w:val="页眉1 Char"/>
    <w:link w:val="49"/>
    <w:autoRedefine/>
    <w:qFormat/>
    <w:uiPriority w:val="0"/>
    <w:rPr>
      <w:sz w:val="18"/>
      <w:szCs w:val="18"/>
    </w:rPr>
  </w:style>
  <w:style w:type="paragraph" w:customStyle="1" w:styleId="49">
    <w:name w:val="页眉1"/>
    <w:basedOn w:val="17"/>
    <w:link w:val="48"/>
    <w:autoRedefine/>
    <w:qFormat/>
    <w:uiPriority w:val="0"/>
    <w:pPr>
      <w:pBdr>
        <w:bottom w:val="none" w:color="auto" w:sz="0" w:space="0"/>
      </w:pBdr>
      <w:jc w:val="both"/>
    </w:pPr>
  </w:style>
  <w:style w:type="character" w:customStyle="1" w:styleId="50">
    <w:name w:val="页眉 字符"/>
    <w:link w:val="17"/>
    <w:autoRedefine/>
    <w:qFormat/>
    <w:uiPriority w:val="0"/>
    <w:rPr>
      <w:sz w:val="18"/>
      <w:szCs w:val="18"/>
    </w:rPr>
  </w:style>
  <w:style w:type="character" w:customStyle="1" w:styleId="51">
    <w:name w:val="标题 3 字符"/>
    <w:link w:val="4"/>
    <w:autoRedefine/>
    <w:qFormat/>
    <w:uiPriority w:val="0"/>
    <w:rPr>
      <w:rFonts w:ascii="Times New Roman" w:hAnsi="Times New Roman" w:eastAsia="宋体" w:cs="Times New Roman"/>
      <w:b/>
      <w:bCs/>
      <w:sz w:val="24"/>
      <w:szCs w:val="32"/>
    </w:rPr>
  </w:style>
  <w:style w:type="character" w:customStyle="1" w:styleId="52">
    <w:name w:val="h2"/>
    <w:autoRedefine/>
    <w:qFormat/>
    <w:uiPriority w:val="0"/>
    <w:rPr>
      <w:color w:val="000000"/>
      <w:sz w:val="24"/>
      <w:szCs w:val="24"/>
    </w:rPr>
  </w:style>
  <w:style w:type="character" w:customStyle="1" w:styleId="53">
    <w:name w:val="unnamed1"/>
    <w:basedOn w:val="29"/>
    <w:autoRedefine/>
    <w:qFormat/>
    <w:uiPriority w:val="0"/>
  </w:style>
  <w:style w:type="character" w:customStyle="1" w:styleId="54">
    <w:name w:val="正文文本缩进 字符"/>
    <w:link w:val="10"/>
    <w:autoRedefine/>
    <w:qFormat/>
    <w:uiPriority w:val="0"/>
    <w:rPr>
      <w:rFonts w:ascii="宋体" w:hAnsi="宋体" w:eastAsia="宋体" w:cs="Times New Roman"/>
      <w:sz w:val="24"/>
      <w:szCs w:val="24"/>
    </w:rPr>
  </w:style>
  <w:style w:type="character" w:customStyle="1" w:styleId="55">
    <w:name w:val="页脚 字符"/>
    <w:link w:val="16"/>
    <w:autoRedefine/>
    <w:qFormat/>
    <w:uiPriority w:val="0"/>
    <w:rPr>
      <w:rFonts w:ascii="Times New Roman" w:hAnsi="Times New Roman" w:eastAsia="宋体" w:cs="Times New Roman"/>
      <w:sz w:val="18"/>
      <w:szCs w:val="18"/>
    </w:rPr>
  </w:style>
  <w:style w:type="character" w:customStyle="1" w:styleId="56">
    <w:name w:val="标题 4 字符"/>
    <w:link w:val="5"/>
    <w:autoRedefine/>
    <w:semiHidden/>
    <w:qFormat/>
    <w:uiPriority w:val="9"/>
    <w:rPr>
      <w:rFonts w:ascii="Cambria" w:hAnsi="Cambria" w:eastAsia="宋体" w:cs="Times New Roman"/>
      <w:b/>
      <w:bCs/>
      <w:sz w:val="28"/>
      <w:szCs w:val="28"/>
    </w:rPr>
  </w:style>
  <w:style w:type="character" w:customStyle="1" w:styleId="57">
    <w:name w:val="font101"/>
    <w:autoRedefine/>
    <w:qFormat/>
    <w:uiPriority w:val="0"/>
    <w:rPr>
      <w:rFonts w:hint="eastAsia" w:ascii="黑体" w:hAnsi="宋体" w:eastAsia="黑体" w:cs="黑体"/>
      <w:color w:val="000000"/>
      <w:sz w:val="20"/>
      <w:szCs w:val="20"/>
      <w:u w:val="none"/>
    </w:rPr>
  </w:style>
  <w:style w:type="character" w:customStyle="1" w:styleId="58">
    <w:name w:val="标题 1 字符"/>
    <w:link w:val="2"/>
    <w:autoRedefine/>
    <w:qFormat/>
    <w:uiPriority w:val="0"/>
    <w:rPr>
      <w:rFonts w:ascii="Times New Roman" w:hAnsi="Times New Roman" w:eastAsia="宋体" w:cs="Times New Roman"/>
      <w:b/>
      <w:bCs/>
      <w:kern w:val="44"/>
      <w:sz w:val="44"/>
      <w:szCs w:val="44"/>
    </w:rPr>
  </w:style>
  <w:style w:type="character" w:customStyle="1" w:styleId="59">
    <w:name w:val="正文文本缩进 2 字符"/>
    <w:link w:val="15"/>
    <w:autoRedefine/>
    <w:qFormat/>
    <w:uiPriority w:val="0"/>
    <w:rPr>
      <w:rFonts w:ascii="宋体" w:hAnsi="宋体" w:eastAsia="宋体" w:cs="Times New Roman"/>
      <w:color w:val="000000"/>
      <w:sz w:val="24"/>
      <w:szCs w:val="24"/>
    </w:rPr>
  </w:style>
  <w:style w:type="character" w:customStyle="1" w:styleId="60">
    <w:name w:val="font61"/>
    <w:autoRedefine/>
    <w:qFormat/>
    <w:uiPriority w:val="0"/>
    <w:rPr>
      <w:rFonts w:hint="eastAsia" w:ascii="宋体" w:hAnsi="宋体" w:eastAsia="宋体" w:cs="宋体"/>
      <w:color w:val="000000"/>
      <w:sz w:val="20"/>
      <w:szCs w:val="20"/>
      <w:u w:val="none"/>
    </w:rPr>
  </w:style>
  <w:style w:type="character" w:customStyle="1" w:styleId="61">
    <w:name w:val="文档结构图 字符"/>
    <w:link w:val="7"/>
    <w:autoRedefine/>
    <w:semiHidden/>
    <w:qFormat/>
    <w:uiPriority w:val="0"/>
    <w:rPr>
      <w:rFonts w:ascii="Times New Roman" w:hAnsi="Times New Roman" w:eastAsia="宋体" w:cs="Times New Roman"/>
      <w:szCs w:val="24"/>
      <w:shd w:val="clear" w:color="auto" w:fill="000080"/>
    </w:rPr>
  </w:style>
  <w:style w:type="character" w:customStyle="1" w:styleId="62">
    <w:name w:val="批注主题 字符"/>
    <w:link w:val="26"/>
    <w:autoRedefine/>
    <w:semiHidden/>
    <w:qFormat/>
    <w:uiPriority w:val="0"/>
    <w:rPr>
      <w:rFonts w:ascii="Times New Roman" w:hAnsi="Times New Roman" w:eastAsia="宋体" w:cs="Times New Roman"/>
      <w:b/>
      <w:bCs/>
      <w:szCs w:val="24"/>
    </w:rPr>
  </w:style>
  <w:style w:type="character" w:customStyle="1" w:styleId="63">
    <w:name w:val="页眉 Char1"/>
    <w:autoRedefine/>
    <w:semiHidden/>
    <w:qFormat/>
    <w:uiPriority w:val="99"/>
    <w:rPr>
      <w:rFonts w:ascii="Times New Roman" w:hAnsi="Times New Roman" w:eastAsia="宋体" w:cs="Times New Roman"/>
      <w:sz w:val="18"/>
      <w:szCs w:val="18"/>
    </w:rPr>
  </w:style>
  <w:style w:type="character" w:customStyle="1" w:styleId="64">
    <w:name w:val="批注文字 字符"/>
    <w:link w:val="8"/>
    <w:autoRedefine/>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autoRedefine/>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autoRedefine/>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autoRedefine/>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2">
    <w:name w:val="md-plain"/>
    <w:basedOn w:val="29"/>
    <w:autoRedefine/>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2121</Words>
  <Characters>12096</Characters>
  <Lines>100</Lines>
  <Paragraphs>28</Paragraphs>
  <TotalTime>430</TotalTime>
  <ScaleCrop>false</ScaleCrop>
  <LinksUpToDate>false</LinksUpToDate>
  <CharactersWithSpaces>14189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2024-04-10T08:52:24Z</dcterms:modified>
  <cp:revision>971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F90E824227D444BFA626A01BBCC08368</vt:lpwstr>
  </property>
</Properties>
</file>