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hint="eastAsia"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广东财经大学2023年标准化考场系统维修和保养服务采购项目  </w:t>
      </w:r>
    </w:p>
    <w:p>
      <w:pPr>
        <w:spacing w:line="760" w:lineRule="exact"/>
        <w:ind w:firstLine="1084" w:firstLineChars="300"/>
        <w:rPr>
          <w:rFonts w:hint="eastAsia" w:ascii="宋体" w:hAnsi="宋体"/>
          <w:b/>
          <w:sz w:val="36"/>
          <w:u w:val="single"/>
        </w:rPr>
      </w:pPr>
      <w:r>
        <w:rPr>
          <w:rFonts w:hint="eastAsia"/>
          <w:b/>
          <w:sz w:val="36"/>
          <w:szCs w:val="36"/>
        </w:rPr>
        <w:t>采购单位：</w:t>
      </w:r>
      <w:r>
        <w:rPr>
          <w:rFonts w:hint="eastAsia" w:ascii="宋体" w:hAnsi="宋体"/>
          <w:b/>
          <w:sz w:val="36"/>
          <w:u w:val="single"/>
        </w:rPr>
        <w:t xml:space="preserve">   </w:t>
      </w:r>
      <w:r>
        <w:rPr>
          <w:rFonts w:hint="eastAsia" w:ascii="宋体" w:hAnsi="宋体"/>
          <w:b/>
          <w:sz w:val="36"/>
          <w:u w:val="single"/>
          <w:lang w:val="en-US" w:eastAsia="zh-CN"/>
        </w:rPr>
        <w:t>广东财经大学招生考试处</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r>
        <w:rPr>
          <w:rFonts w:hint="eastAsia" w:ascii="宋体" w:hAnsi="宋体"/>
          <w:b/>
          <w:sz w:val="36"/>
          <w:u w:val="single"/>
          <w:lang w:val="en-US" w:eastAsia="zh-CN"/>
        </w:rPr>
        <w:t>2023年8月2日</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jc w:val="center"/>
        <w:rPr>
          <w:b/>
          <w:sz w:val="52"/>
          <w:szCs w:val="52"/>
        </w:rPr>
      </w:pPr>
      <w:r>
        <w:rPr>
          <w:rFonts w:hint="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350"/>
      <w:bookmarkStart w:id="1" w:name="_Toc60236697"/>
      <w:bookmarkStart w:id="2" w:name="_Toc508103135"/>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ascii="宋体" w:hAnsi="宋体"/>
          <w:color w:val="FF0000"/>
          <w:sz w:val="28"/>
          <w:szCs w:val="28"/>
        </w:rPr>
      </w:pPr>
      <w:r>
        <w:rPr>
          <w:rFonts w:hint="eastAsia" w:ascii="宋体" w:hAnsi="宋体"/>
          <w:color w:val="FF0000"/>
          <w:sz w:val="28"/>
          <w:szCs w:val="28"/>
        </w:rPr>
        <w:t>广东财经大学2023年标准化考场系统维修和保养服务采购项目</w:t>
      </w:r>
      <w:r>
        <w:rPr>
          <w:rFonts w:hint="eastAsia" w:ascii="宋体" w:hAnsi="宋体"/>
          <w:color w:val="FF0000"/>
          <w:sz w:val="28"/>
          <w:szCs w:val="28"/>
          <w:lang w:eastAsia="zh-CN"/>
        </w:rPr>
        <w:t>，</w:t>
      </w:r>
      <w:r>
        <w:rPr>
          <w:rFonts w:hint="eastAsia" w:ascii="宋体" w:hAnsi="宋体"/>
          <w:color w:val="FF0000"/>
          <w:sz w:val="28"/>
          <w:szCs w:val="28"/>
        </w:rPr>
        <w:t>本项目采购预算控制价</w:t>
      </w:r>
      <w:r>
        <w:rPr>
          <w:rFonts w:hint="eastAsia" w:ascii="宋体" w:hAnsi="宋体"/>
          <w:color w:val="FF0000"/>
          <w:sz w:val="28"/>
          <w:szCs w:val="28"/>
          <w:lang w:val="en-US" w:eastAsia="zh-CN"/>
        </w:rPr>
        <w:t>5</w:t>
      </w:r>
      <w:r>
        <w:rPr>
          <w:rFonts w:hint="eastAsia" w:ascii="宋体" w:hAnsi="宋体"/>
          <w:color w:val="FF0000"/>
          <w:sz w:val="28"/>
          <w:szCs w:val="28"/>
        </w:rPr>
        <w:t>万元，</w:t>
      </w:r>
      <w:r>
        <w:rPr>
          <w:rFonts w:ascii="宋体" w:hAnsi="宋体"/>
          <w:color w:val="FF0000"/>
          <w:sz w:val="28"/>
          <w:szCs w:val="28"/>
        </w:rPr>
        <w:t>资金已到位。</w:t>
      </w:r>
    </w:p>
    <w:p>
      <w:pPr>
        <w:pStyle w:val="3"/>
        <w:spacing w:line="560" w:lineRule="exact"/>
      </w:pPr>
      <w:bookmarkStart w:id="7" w:name="_Toc60236699"/>
      <w:bookmarkStart w:id="8" w:name="_Toc508103352"/>
      <w:bookmarkStart w:id="9" w:name="_Toc28829"/>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508103353"/>
      <w:bookmarkStart w:id="11" w:name="_Toc60236700"/>
      <w:bookmarkStart w:id="12" w:name="_Toc11839"/>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spacing w:line="560" w:lineRule="exact"/>
        <w:ind w:firstLine="560" w:firstLineChars="200"/>
        <w:rPr>
          <w:rFonts w:hint="eastAsia" w:ascii="宋体" w:hAnsi="宋体"/>
          <w:sz w:val="28"/>
          <w:szCs w:val="28"/>
        </w:rPr>
      </w:pPr>
      <w:r>
        <w:rPr>
          <w:rFonts w:hint="eastAsia" w:ascii="宋体" w:hAnsi="宋体"/>
          <w:sz w:val="28"/>
          <w:szCs w:val="28"/>
          <w:lang w:val="en-US" w:eastAsia="zh-CN"/>
        </w:rPr>
        <w:t>（三）</w:t>
      </w:r>
      <w:r>
        <w:rPr>
          <w:rFonts w:hint="eastAsia" w:ascii="宋体" w:hAnsi="宋体"/>
          <w:sz w:val="28"/>
          <w:szCs w:val="28"/>
        </w:rPr>
        <w:t>、服务商需中标过高校标准化考场系统或标准化考场服务类似项目不少于2个（需提供合同复印件，须含合同签字或盖章页并能证明以上所述的章页内容，如含设备名称、合同日期等信息），本项目不接受联合体投标。</w:t>
      </w:r>
    </w:p>
    <w:p>
      <w:pPr>
        <w:pStyle w:val="3"/>
        <w:spacing w:line="560" w:lineRule="exact"/>
      </w:pPr>
      <w:bookmarkStart w:id="13" w:name="_Toc60236701"/>
      <w:bookmarkStart w:id="14" w:name="_Toc20873"/>
      <w:bookmarkStart w:id="15" w:name="_Toc508103354"/>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60236702"/>
      <w:bookmarkStart w:id="17" w:name="_Toc18253"/>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60236703"/>
      <w:bookmarkStart w:id="20" w:name="_Toc10890"/>
      <w:bookmarkStart w:id="21" w:name="_Toc508103356"/>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r>
        <w:rPr>
          <w:rFonts w:hint="eastAsia" w:ascii="宋体" w:hAnsi="宋体"/>
          <w:sz w:val="28"/>
          <w:szCs w:val="28"/>
          <w:u w:val="single"/>
          <w:lang w:val="en-US" w:eastAsia="zh-CN"/>
        </w:rPr>
        <w:t>一</w:t>
      </w:r>
      <w:r>
        <w:rPr>
          <w:rFonts w:hint="eastAsia" w:ascii="宋体" w:hAnsi="宋体"/>
          <w:sz w:val="28"/>
          <w:szCs w:val="28"/>
          <w:u w:val="single"/>
        </w:rPr>
        <w:t xml:space="preserve">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服务商需中标过高校标准化考场系统或标准化考场服务类似项目不少于2个（需提供合同复印件，须含合同签字或盖章页并</w:t>
            </w:r>
            <w:bookmarkStart w:id="33" w:name="_GoBack"/>
            <w:bookmarkEnd w:id="33"/>
            <w:r>
              <w:rPr>
                <w:rFonts w:hint="eastAsia" w:ascii="宋体" w:hAnsi="宋体"/>
                <w:sz w:val="28"/>
                <w:szCs w:val="28"/>
              </w:rPr>
              <w:t>能证明以上所述的章页内容，如含设备名称、合同日期等信息），本项目不接受联合体投标。</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color w:val="000000"/>
              </w:rPr>
            </w:pPr>
            <w:r>
              <w:rPr>
                <w:rFonts w:hint="eastAsia"/>
                <w:color w:val="000000"/>
              </w:rPr>
              <w:t>XX</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lang w:val="en-US" w:eastAsia="zh-CN"/>
              </w:rPr>
              <w:t>XX</w:t>
            </w:r>
            <w:r>
              <w:rPr>
                <w:rFonts w:hint="eastAsia"/>
                <w:color w:val="000000"/>
              </w:rPr>
              <w:t>（取小数点后二位）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FF0000"/>
              </w:rPr>
              <w:t>技术指标</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lang w:val="en-US" w:eastAsia="zh-CN"/>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性能及品质</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分；评价较好得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分；评价一般得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r>
              <w:rPr>
                <w:rFonts w:hint="eastAsia"/>
                <w:color w:val="FF0000"/>
              </w:rPr>
              <w:t>.</w:t>
            </w:r>
          </w:p>
        </w:tc>
        <w:tc>
          <w:tcPr>
            <w:tcW w:w="1080" w:type="dxa"/>
            <w:noWrap/>
            <w:vAlign w:val="center"/>
          </w:tcPr>
          <w:p>
            <w:pPr>
              <w:jc w:val="center"/>
              <w:rPr>
                <w:rFonts w:hint="eastAsia"/>
                <w:color w:val="FF0000"/>
              </w:rPr>
            </w:pPr>
            <w:r>
              <w:rPr>
                <w:color w:val="FF0000"/>
              </w:rPr>
              <w:t>……</w:t>
            </w:r>
            <w:r>
              <w:rPr>
                <w:rFonts w:hint="eastAsia"/>
                <w:color w:val="FF0000"/>
              </w:rPr>
              <w:t>.</w:t>
            </w:r>
          </w:p>
        </w:tc>
        <w:tc>
          <w:tcPr>
            <w:tcW w:w="5400" w:type="dxa"/>
            <w:noWrap/>
            <w:vAlign w:val="center"/>
          </w:tcPr>
          <w:p>
            <w:pPr>
              <w:rPr>
                <w:color w:val="FF0000"/>
                <w:szCs w:val="21"/>
              </w:rPr>
            </w:pPr>
            <w:r>
              <w:rPr>
                <w:color w:val="FF0000"/>
              </w:rPr>
              <w:t>……</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FF0000"/>
              </w:rPr>
              <w:t>保修期</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服务承诺</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业   绩</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报价人近3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rFonts w:hint="eastAsia"/>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8"/>
        <w:gridCol w:w="4946"/>
        <w:gridCol w:w="2378"/>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r>
              <w:rPr>
                <w:rFonts w:hint="eastAsia" w:ascii="宋体" w:hAnsi="宋体" w:cs="宋体"/>
                <w:sz w:val="24"/>
              </w:rPr>
              <w:t>广东财经大学2023年标准化考场系统维修和保养服务采购</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项</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widowControl/>
        <w:adjustRightInd w:val="0"/>
        <w:snapToGrid w:val="0"/>
        <w:spacing w:before="100" w:beforeAutospacing="1" w:after="100" w:afterAutospacing="1"/>
        <w:ind w:firstLine="480"/>
        <w:jc w:val="left"/>
        <w:rPr>
          <w:rFonts w:hint="eastAsia" w:ascii="宋体" w:hAnsi="宋体" w:eastAsia="宋体" w:cs="宋体"/>
          <w:b/>
          <w:bCs/>
          <w:color w:val="auto"/>
          <w:kern w:val="0"/>
          <w:sz w:val="24"/>
          <w:szCs w:val="24"/>
          <w:highlight w:val="none"/>
          <w:lang w:val="en-US" w:eastAsia="zh-CN"/>
        </w:rPr>
      </w:pPr>
      <w:r>
        <w:rPr>
          <w:rFonts w:hint="eastAsia"/>
          <w:color w:val="auto"/>
          <w:sz w:val="28"/>
        </w:rPr>
        <w:t>★</w:t>
      </w:r>
      <w:r>
        <w:rPr>
          <w:rFonts w:hint="eastAsia" w:ascii="宋体" w:hAnsi="宋体" w:eastAsia="宋体" w:cs="宋体"/>
          <w:b/>
          <w:bCs/>
          <w:color w:val="auto"/>
          <w:kern w:val="0"/>
          <w:sz w:val="24"/>
          <w:szCs w:val="24"/>
          <w:highlight w:val="none"/>
        </w:rPr>
        <w:t>为用户考前定期上门服务一次，重要国家</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由于我校要承接大量的校外考试，不分校内外）考试</w:t>
      </w:r>
      <w:r>
        <w:rPr>
          <w:rFonts w:hint="eastAsia" w:ascii="宋体" w:hAnsi="宋体" w:eastAsia="宋体" w:cs="宋体"/>
          <w:b/>
          <w:bCs/>
          <w:color w:val="auto"/>
          <w:kern w:val="0"/>
          <w:sz w:val="24"/>
          <w:szCs w:val="24"/>
          <w:highlight w:val="none"/>
        </w:rPr>
        <w:t>需提供至少2名技术人员（指派专业且具有从事过五年以上高校考场项目工作经验）驻场保障，</w:t>
      </w:r>
      <w:r>
        <w:rPr>
          <w:rFonts w:hint="eastAsia" w:ascii="宋体" w:hAnsi="宋体" w:eastAsia="宋体" w:cs="宋体"/>
          <w:b/>
          <w:bCs/>
          <w:color w:val="auto"/>
          <w:kern w:val="0"/>
          <w:sz w:val="24"/>
          <w:szCs w:val="24"/>
          <w:highlight w:val="none"/>
          <w:lang w:val="en-US" w:eastAsia="zh-CN"/>
        </w:rPr>
        <w:t>每次需要用到人脸识别设备（设备型号JF-IDVM1880F）的考试需要对人脸识别的数据进行处理和技术保障，负责人脸识别设备数据的导入、和上传工作，并且需要至少2名技术人员到场负责保障工作，以及设备的收发工作（数据处理的服务费用由中标供应商承担）。</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每次的维护范围包括：</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.1合同签订后对所有设备进行检查，对拾音器、硬盘等有问题的设备进行与合同型号一样的设备免费更换。听取并解决广东财经大学在半个月中遇到的技术问题；</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.2检查硬盘录像机嵌入型的检查机器的稳定性，检查硬盘是否正常，有无坏道。</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.3检查系统使用情况，若有故障就马上修正；</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.4检查整理网络及通信线路；检查系统运行情况，包括主机系统，查杀电脑病毒，检查服务器备份情况，如有异常马上修复问题。检查关键部位的摄像机情况，如发现问题及时处理。</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5检查摄像机、摄像机电源、拾音器、交换机、巡考网关、硬盘录像主机NVR、工作站、电视墙等巡查系统中其他相关设备工作是否正常，若有异常当场调整；如设备需要更换的，双方协商确定价格。设备需要维修的，一切人工费用由服务商承担。</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.6为设备清洁灰尘及巡检是否工作正常，包括摄像机等巡查系统相关设备，在研究生考试前一周内进行，以保证考试正常运行。</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.7回答用户在使用中遇到的技术问题；保养及维修服务期内, 设备故障报修响应，响应时段为7×24×1,即一个星期7天,每天24小时,在市区内1小时响应。2小时内派技术人员到现场处理，4小时排除故障。如果设备故障在检修4小时后还未能排除,服务商在72小时内提供不低于故障设备规格型号文件的备用设备供系统使用，直至故障设备修复。</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.8保养与维修制度采用维修记录制。每次保养或维修时均把维修工作内容记录下来，双方经办人在的维修卡上签名，以便日后可以检查维修工作的履行，便于双方互相监督合作。</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.9凡是免费提供的设备材料均提供3个月的免费保修期（人为损坏除外）；</w:t>
      </w:r>
    </w:p>
    <w:p>
      <w:pPr>
        <w:widowControl/>
        <w:adjustRightInd w:val="0"/>
        <w:snapToGrid w:val="0"/>
        <w:spacing w:before="100" w:beforeAutospacing="1" w:after="100" w:afterAutospacing="1"/>
        <w:ind w:firstLine="480"/>
        <w:jc w:val="left"/>
        <w:rPr>
          <w:rFonts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.10</w:t>
      </w:r>
      <w:bookmarkStart w:id="26" w:name="_Toc171314448"/>
      <w:r>
        <w:rPr>
          <w:rFonts w:hint="eastAsia" w:ascii="宋体" w:hAnsi="宋体" w:eastAsia="宋体" w:cs="宋体"/>
          <w:kern w:val="0"/>
          <w:sz w:val="24"/>
          <w:szCs w:val="24"/>
        </w:rPr>
        <w:t>服务商提供硬件维修服务，如硬件损坏无法维修则应予以更换新的配件，</w:t>
      </w:r>
      <w:bookmarkEnd w:id="26"/>
      <w:bookmarkStart w:id="27" w:name="_Toc171314449"/>
      <w:r>
        <w:rPr>
          <w:rFonts w:hint="eastAsia" w:ascii="宋体" w:hAnsi="宋体" w:eastAsia="宋体" w:cs="宋体"/>
          <w:kern w:val="0"/>
          <w:sz w:val="24"/>
          <w:szCs w:val="24"/>
        </w:rPr>
        <w:t>所有更换的硬件应保证为全新的原型号规格的配件或性能优于原有配件的硬件，且单价低于2000元设备费用应计入采购价格内。服务商保证同一故障维修更换后至少有三个月的保修期。</w:t>
      </w:r>
      <w:bookmarkEnd w:id="27"/>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.11在保养及维修服务期内，服务商免费为用户工作人员培训系统有关操作使用。具体培训时间、地点由双方协商确定。</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.12</w:t>
      </w:r>
      <w:r>
        <w:rPr>
          <w:rFonts w:hint="eastAsia"/>
          <w:sz w:val="28"/>
        </w:rPr>
        <w:t>★</w:t>
      </w:r>
      <w:r>
        <w:rPr>
          <w:rFonts w:hint="eastAsia" w:ascii="宋体" w:hAnsi="宋体" w:eastAsia="宋体" w:cs="宋体"/>
          <w:kern w:val="0"/>
          <w:sz w:val="24"/>
          <w:szCs w:val="24"/>
        </w:rPr>
        <w:t>其他服务要求：应定期安排员工到用户做好设备日常维修保养工作，日常维修保养工作次数不得低于12次/年。当广东财经大系统或设备出现故障时，由广东财经大学通知服务商,服务商接到通知后应即时派出工程人员前往检查，并按报修响应时间进行服务。如需更换设备，服务商须在3天内更换；如更换的设备需从本省以外采购，服务商需书面向广东财经大学提出申请时间。如服务商未按协议约定履行服务的，广东财经大学有权另行委托其他人提供维保服务，由此产生的费用从广东财经大学应向服务商支付的款项中扣除。不按约定提供服务超过三次的，广东财经大学有权解除合同，广东财经大学不再向服务商支付任何费用，服务商应向广东财经大学退回未履行合同内容所支付的费用。</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r>
        <w:rPr>
          <w:rFonts w:hint="eastAsia"/>
          <w:sz w:val="28"/>
          <w:lang w:val="en-US" w:eastAsia="zh-CN"/>
        </w:rPr>
        <w:t>2.13</w:t>
      </w:r>
      <w:r>
        <w:rPr>
          <w:rFonts w:hint="eastAsia"/>
          <w:sz w:val="28"/>
        </w:rPr>
        <w:t>★</w:t>
      </w:r>
      <w:r>
        <w:rPr>
          <w:rFonts w:hint="eastAsia" w:ascii="宋体" w:hAnsi="宋体" w:cs="宋体"/>
          <w:kern w:val="0"/>
          <w:sz w:val="24"/>
          <w:szCs w:val="24"/>
          <w:lang w:val="en-US" w:eastAsia="zh-CN"/>
        </w:rPr>
        <w:t>服务标准：</w:t>
      </w:r>
      <w:r>
        <w:rPr>
          <w:rFonts w:hint="eastAsia" w:ascii="宋体" w:hAnsi="宋体" w:eastAsia="宋体" w:cs="宋体"/>
          <w:kern w:val="0"/>
          <w:sz w:val="24"/>
          <w:szCs w:val="24"/>
        </w:rPr>
        <w:t>保养及维修服务期内,设备故障报修响应，响应时段为7×24×1 , 即一个星期7天,每天24小时,在市区内1小时响应。2小时内派技术人员到现场处理，4小时排除故障。如果设备故障在检修4小时后还未能排除,服务商在72小时内提供不低于故障设备规格型号文件的备用设备供系统使用，直至故障设备修复。</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rPr>
      </w:pPr>
    </w:p>
    <w:p>
      <w:pPr>
        <w:widowControl/>
        <w:adjustRightInd w:val="0"/>
        <w:snapToGrid w:val="0"/>
        <w:spacing w:before="100" w:beforeAutospacing="1" w:after="100" w:afterAutospacing="1"/>
        <w:ind w:firstLine="480"/>
        <w:jc w:val="left"/>
        <w:rPr>
          <w:rFonts w:hint="eastAsia" w:ascii="宋体" w:hAnsi="宋体" w:cs="宋体"/>
          <w:b/>
        </w:rPr>
      </w:pPr>
      <w:r>
        <w:rPr>
          <w:rFonts w:hint="eastAsia" w:ascii="宋体" w:hAnsi="宋体" w:eastAsia="宋体" w:cs="宋体"/>
          <w:kern w:val="0"/>
          <w:sz w:val="24"/>
          <w:szCs w:val="24"/>
        </w:rPr>
        <w:t>具体设备清单</w:t>
      </w:r>
    </w:p>
    <w:p>
      <w:pPr>
        <w:jc w:val="left"/>
        <w:rPr>
          <w:rFonts w:hint="eastAsia" w:ascii="宋体" w:hAnsi="宋体" w:cs="宋体"/>
          <w:b/>
          <w:szCs w:val="20"/>
        </w:rPr>
      </w:pPr>
      <w:r>
        <w:rPr>
          <w:rFonts w:hint="eastAsia" w:ascii="宋体" w:hAnsi="宋体" w:cs="宋体"/>
          <w:szCs w:val="21"/>
        </w:rPr>
        <w:t>表一（2015年建设）：</w:t>
      </w:r>
    </w:p>
    <w:tbl>
      <w:tblPr>
        <w:tblStyle w:val="27"/>
        <w:tblW w:w="0" w:type="auto"/>
        <w:tblInd w:w="0" w:type="dxa"/>
        <w:tblLayout w:type="fixed"/>
        <w:tblCellMar>
          <w:top w:w="0" w:type="dxa"/>
          <w:left w:w="0" w:type="dxa"/>
          <w:bottom w:w="0" w:type="dxa"/>
          <w:right w:w="0" w:type="dxa"/>
        </w:tblCellMar>
      </w:tblPr>
      <w:tblGrid>
        <w:gridCol w:w="580"/>
        <w:gridCol w:w="2200"/>
        <w:gridCol w:w="3000"/>
        <w:gridCol w:w="1323"/>
        <w:gridCol w:w="567"/>
        <w:gridCol w:w="850"/>
      </w:tblGrid>
      <w:tr>
        <w:tblPrEx>
          <w:tblCellMar>
            <w:top w:w="0" w:type="dxa"/>
            <w:left w:w="0" w:type="dxa"/>
            <w:bottom w:w="0" w:type="dxa"/>
            <w:right w:w="0" w:type="dxa"/>
          </w:tblCellMar>
        </w:tblPrEx>
        <w:trPr>
          <w:trHeight w:val="642" w:hRule="atLeast"/>
        </w:trPr>
        <w:tc>
          <w:tcPr>
            <w:tcW w:w="5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序号</w:t>
            </w:r>
          </w:p>
        </w:tc>
        <w:tc>
          <w:tcPr>
            <w:tcW w:w="22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设备名称</w:t>
            </w:r>
          </w:p>
        </w:tc>
        <w:tc>
          <w:tcPr>
            <w:tcW w:w="30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规格型号</w:t>
            </w:r>
          </w:p>
        </w:tc>
        <w:tc>
          <w:tcPr>
            <w:tcW w:w="13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产地厂家</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单位</w:t>
            </w:r>
          </w:p>
        </w:tc>
        <w:tc>
          <w:tcPr>
            <w:tcW w:w="8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数量</w:t>
            </w:r>
          </w:p>
        </w:tc>
      </w:tr>
      <w:tr>
        <w:tblPrEx>
          <w:tblCellMar>
            <w:top w:w="0" w:type="dxa"/>
            <w:left w:w="0" w:type="dxa"/>
            <w:bottom w:w="0" w:type="dxa"/>
            <w:right w:w="0" w:type="dxa"/>
          </w:tblCellMar>
        </w:tblPrEx>
        <w:trPr>
          <w:trHeight w:val="462" w:hRule="atLeast"/>
        </w:trPr>
        <w:tc>
          <w:tcPr>
            <w:tcW w:w="8520" w:type="dxa"/>
            <w:gridSpan w:val="6"/>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一、教学楼保密室设备</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130万网络摄像机</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海康威视DS-2CD2610F-IS</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海康威视</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只</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2</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拾音器</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PeakFire WM-100AVN</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 xml:space="preserve"> PeakFire</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个</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3</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监控电源</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12V2A</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国产</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4</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光纤模块</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bottom"/>
          </w:tcPr>
          <w:p>
            <w:pPr>
              <w:adjustRightInd w:val="0"/>
              <w:snapToGrid w:val="0"/>
              <w:jc w:val="left"/>
              <w:textAlignment w:val="bottom"/>
              <w:rPr>
                <w:rFonts w:ascii="宋体" w:hAnsi="宋体" w:cs="宋体"/>
                <w:szCs w:val="21"/>
              </w:rPr>
            </w:pPr>
            <w:r>
              <w:rPr>
                <w:rFonts w:hint="eastAsia" w:ascii="宋体" w:hAnsi="宋体" w:cs="宋体"/>
                <w:szCs w:val="21"/>
              </w:rPr>
              <w:t>SFP-GE-LX-SM1310-A</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H3C</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个</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2</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5</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监控专用硬盘</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Cs w:val="21"/>
              </w:rPr>
            </w:pPr>
            <w:r>
              <w:rPr>
                <w:rFonts w:hint="eastAsia" w:ascii="宋体" w:hAnsi="宋体" w:cs="宋体"/>
                <w:szCs w:val="21"/>
              </w:rPr>
              <w:t>西数WD30PURS</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西数</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块</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2</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6</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门禁系统</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Cs w:val="21"/>
              </w:rPr>
            </w:pPr>
            <w:r>
              <w:rPr>
                <w:rFonts w:hint="eastAsia" w:ascii="宋体" w:hAnsi="宋体" w:cs="宋体"/>
                <w:szCs w:val="21"/>
              </w:rPr>
              <w:t>智能门禁锁FCL-4000</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中控</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套</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3</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shd w:val="clear" w:color="auto" w:fill="00B0F0"/>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　</w:t>
            </w:r>
          </w:p>
        </w:tc>
        <w:tc>
          <w:tcPr>
            <w:tcW w:w="7940" w:type="dxa"/>
            <w:gridSpan w:val="5"/>
            <w:tcBorders>
              <w:top w:val="single" w:color="auto" w:sz="4" w:space="0"/>
              <w:left w:val="nil"/>
              <w:bottom w:val="single" w:color="auto" w:sz="4" w:space="0"/>
              <w:right w:val="single" w:color="auto" w:sz="4" w:space="0"/>
            </w:tcBorders>
            <w:shd w:val="clear" w:color="auto" w:fill="00B0F0"/>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教学楼保密室设备小计</w:t>
            </w:r>
          </w:p>
        </w:tc>
      </w:tr>
      <w:tr>
        <w:tblPrEx>
          <w:tblCellMar>
            <w:top w:w="0" w:type="dxa"/>
            <w:left w:w="0" w:type="dxa"/>
            <w:bottom w:w="0" w:type="dxa"/>
            <w:right w:w="0" w:type="dxa"/>
          </w:tblCellMar>
        </w:tblPrEx>
        <w:trPr>
          <w:trHeight w:val="462" w:hRule="atLeast"/>
        </w:trPr>
        <w:tc>
          <w:tcPr>
            <w:tcW w:w="8520" w:type="dxa"/>
            <w:gridSpan w:val="6"/>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二、屏蔽系统设备</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手机信号屏蔽器</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WB611G</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洪威</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100</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shd w:val="clear" w:color="auto" w:fill="00B0F0"/>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　</w:t>
            </w:r>
          </w:p>
        </w:tc>
        <w:tc>
          <w:tcPr>
            <w:tcW w:w="7940" w:type="dxa"/>
            <w:gridSpan w:val="5"/>
            <w:tcBorders>
              <w:top w:val="single" w:color="auto" w:sz="4" w:space="0"/>
              <w:left w:val="nil"/>
              <w:bottom w:val="single" w:color="auto" w:sz="4" w:space="0"/>
              <w:right w:val="single" w:color="auto" w:sz="4" w:space="0"/>
            </w:tcBorders>
            <w:shd w:val="clear" w:color="auto" w:fill="00B0F0"/>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屏蔽系统设备小计</w:t>
            </w:r>
          </w:p>
        </w:tc>
      </w:tr>
      <w:tr>
        <w:tblPrEx>
          <w:tblCellMar>
            <w:top w:w="0" w:type="dxa"/>
            <w:left w:w="0" w:type="dxa"/>
            <w:bottom w:w="0" w:type="dxa"/>
            <w:right w:w="0" w:type="dxa"/>
          </w:tblCellMar>
        </w:tblPrEx>
        <w:trPr>
          <w:trHeight w:val="462" w:hRule="atLeast"/>
        </w:trPr>
        <w:tc>
          <w:tcPr>
            <w:tcW w:w="8520" w:type="dxa"/>
            <w:gridSpan w:val="6"/>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三、教学楼标准化考场系统</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130万网络摄像机</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海康威视DS-2CD2610F-IS</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海康威视</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只</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82</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2</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拾音器</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PeakFire WM-100AVN</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 xml:space="preserve"> PeakFire</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个</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82</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3</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监控电源</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12V2A</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国产</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82</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4</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全千兆汇聚层交换机</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Cs w:val="21"/>
              </w:rPr>
            </w:pPr>
            <w:r>
              <w:rPr>
                <w:rFonts w:hint="eastAsia" w:ascii="宋体" w:hAnsi="宋体" w:cs="宋体"/>
                <w:szCs w:val="21"/>
              </w:rPr>
              <w:t>H3C LS-5120-28C-EI-H3</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H3C</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5</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接入层交换机</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Cs w:val="21"/>
              </w:rPr>
            </w:pPr>
            <w:r>
              <w:rPr>
                <w:rFonts w:hint="eastAsia" w:ascii="宋体" w:hAnsi="宋体" w:cs="宋体"/>
                <w:szCs w:val="21"/>
              </w:rPr>
              <w:t>H3C E126B</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H3C</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 xml:space="preserve">台 </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6</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光纤模块</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bottom"/>
          </w:tcPr>
          <w:p>
            <w:pPr>
              <w:adjustRightInd w:val="0"/>
              <w:snapToGrid w:val="0"/>
              <w:jc w:val="left"/>
              <w:textAlignment w:val="bottom"/>
              <w:rPr>
                <w:rFonts w:ascii="宋体" w:hAnsi="宋体" w:cs="宋体"/>
                <w:szCs w:val="21"/>
              </w:rPr>
            </w:pPr>
            <w:r>
              <w:rPr>
                <w:rFonts w:hint="eastAsia" w:ascii="宋体" w:hAnsi="宋体" w:cs="宋体"/>
                <w:szCs w:val="21"/>
              </w:rPr>
              <w:t>SFP-GE-LX-SM1310-A</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H3C</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个</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6</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7</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解码器</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DS-6408HD-T</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海康威视</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存储系统</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DS-96128N-F24</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海康威视</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9</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监控硬盘</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ascii="宋体" w:hAnsi="宋体" w:cs="宋体"/>
                <w:szCs w:val="21"/>
              </w:rPr>
            </w:pPr>
            <w:r>
              <w:rPr>
                <w:rFonts w:hint="eastAsia" w:ascii="宋体" w:hAnsi="宋体" w:cs="宋体"/>
                <w:szCs w:val="21"/>
              </w:rPr>
              <w:t>西数WD30PURS</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海康威视</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块</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21</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10</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管理电脑</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ProDesk 490 G2 MT</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惠普</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11</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管理平台</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管理平台软件IVMS-9600</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海康威视</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项</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12</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50寸液晶电视</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50E3000</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创维</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4</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13</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8口网络智能终端</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云积-YJ-RSU08</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云积</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10</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14</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无线电屏蔽器</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WSC-4000</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启明</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台</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32</w:t>
            </w:r>
          </w:p>
        </w:tc>
      </w:tr>
      <w:tr>
        <w:tblPrEx>
          <w:tblCellMar>
            <w:top w:w="0" w:type="dxa"/>
            <w:left w:w="0" w:type="dxa"/>
            <w:bottom w:w="0" w:type="dxa"/>
            <w:right w:w="0" w:type="dxa"/>
          </w:tblCellMar>
        </w:tblPrEx>
        <w:trPr>
          <w:trHeight w:val="462" w:hRule="atLeast"/>
        </w:trPr>
        <w:tc>
          <w:tcPr>
            <w:tcW w:w="5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15</w:t>
            </w:r>
          </w:p>
        </w:tc>
        <w:tc>
          <w:tcPr>
            <w:tcW w:w="22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线路检修服务</w:t>
            </w:r>
          </w:p>
        </w:tc>
        <w:tc>
          <w:tcPr>
            <w:tcW w:w="300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left"/>
              <w:textAlignment w:val="center"/>
              <w:rPr>
                <w:rFonts w:ascii="宋体" w:hAnsi="宋体" w:cs="宋体"/>
                <w:szCs w:val="21"/>
              </w:rPr>
            </w:pPr>
            <w:r>
              <w:rPr>
                <w:rFonts w:hint="eastAsia" w:ascii="宋体" w:hAnsi="宋体" w:cs="宋体"/>
                <w:szCs w:val="21"/>
              </w:rPr>
              <w:t>定制</w:t>
            </w:r>
          </w:p>
        </w:tc>
        <w:tc>
          <w:tcPr>
            <w:tcW w:w="132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丰悦</w:t>
            </w:r>
          </w:p>
        </w:tc>
        <w:tc>
          <w:tcPr>
            <w:tcW w:w="567"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项</w:t>
            </w:r>
          </w:p>
        </w:tc>
        <w:tc>
          <w:tcPr>
            <w:tcW w:w="850"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ascii="宋体" w:hAnsi="宋体" w:cs="宋体"/>
                <w:szCs w:val="21"/>
              </w:rPr>
            </w:pPr>
            <w:r>
              <w:rPr>
                <w:rFonts w:hint="eastAsia" w:ascii="宋体" w:hAnsi="宋体" w:cs="宋体"/>
                <w:szCs w:val="21"/>
              </w:rPr>
              <w:t>1</w:t>
            </w:r>
          </w:p>
        </w:tc>
      </w:tr>
    </w:tbl>
    <w:p>
      <w:pPr>
        <w:adjustRightInd w:val="0"/>
        <w:snapToGrid w:val="0"/>
        <w:spacing w:before="100" w:beforeAutospacing="1" w:after="100" w:afterAutospacing="1"/>
        <w:jc w:val="left"/>
        <w:rPr>
          <w:rFonts w:hint="eastAsia" w:ascii="宋体" w:hAnsi="宋体" w:cs="宋体"/>
          <w:szCs w:val="21"/>
        </w:rPr>
      </w:pPr>
      <w:r>
        <w:rPr>
          <w:rFonts w:hint="eastAsia" w:ascii="宋体" w:hAnsi="宋体" w:cs="宋体"/>
          <w:szCs w:val="21"/>
        </w:rPr>
        <w:t>表二（2017年建设）：</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311"/>
        <w:gridCol w:w="2406"/>
        <w:gridCol w:w="1080"/>
        <w:gridCol w:w="660"/>
        <w:gridCol w:w="640"/>
        <w:gridCol w:w="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2311"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分项名称</w:t>
            </w:r>
          </w:p>
        </w:tc>
        <w:tc>
          <w:tcPr>
            <w:tcW w:w="2406"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品牌、规格型号、主要技术参数</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制造商</w:t>
            </w:r>
          </w:p>
        </w:tc>
        <w:tc>
          <w:tcPr>
            <w:tcW w:w="660"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产地</w:t>
            </w:r>
          </w:p>
        </w:tc>
        <w:tc>
          <w:tcPr>
            <w:tcW w:w="640"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数量</w:t>
            </w:r>
          </w:p>
        </w:tc>
        <w:tc>
          <w:tcPr>
            <w:tcW w:w="823"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300万像素宽动态红外网络摄像机1</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海康威视DS-2CD2635XYZUV-ABCDEF </w:t>
            </w:r>
          </w:p>
        </w:tc>
        <w:tc>
          <w:tcPr>
            <w:tcW w:w="108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杭州海康威视数字技术股份有限公司</w:t>
            </w:r>
          </w:p>
        </w:tc>
        <w:tc>
          <w:tcPr>
            <w:tcW w:w="66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杭州</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84</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300万像素宽动态红外网络摄像机2</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海康威视DS-2CD2T35XYZUV-ABCDEF</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支架</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壁装支架</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154</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电源</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摄像机专用12V 2A供电器</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154</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5</w:t>
            </w:r>
          </w:p>
        </w:tc>
        <w:tc>
          <w:tcPr>
            <w:tcW w:w="23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钟表</w:t>
            </w:r>
          </w:p>
        </w:tc>
        <w:tc>
          <w:tcPr>
            <w:tcW w:w="2406" w:type="dxa"/>
            <w:tcBorders>
              <w:top w:val="nil"/>
              <w:left w:val="nil"/>
              <w:bottom w:val="single" w:color="auto" w:sz="4" w:space="0"/>
              <w:right w:val="single" w:color="auto" w:sz="4" w:space="0"/>
            </w:tcBorders>
            <w:shd w:val="clear" w:color="auto" w:fill="auto"/>
            <w:vAlign w:val="center"/>
          </w:tcPr>
          <w:p>
            <w:pPr>
              <w:jc w:val="left"/>
              <w:rPr>
                <w:rFonts w:ascii="宋体" w:hAnsi="宋体" w:cs="宋体"/>
                <w:szCs w:val="21"/>
              </w:rPr>
            </w:pPr>
            <w:r>
              <w:rPr>
                <w:rFonts w:hint="eastAsia" w:ascii="宋体" w:hAnsi="宋体" w:cs="宋体"/>
                <w:szCs w:val="21"/>
              </w:rPr>
              <w:t>霸王(POWER)挂钟 咖色木纹静音钟8171JKS2</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霸王(POWER)</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中国</w:t>
            </w:r>
          </w:p>
        </w:tc>
        <w:tc>
          <w:tcPr>
            <w:tcW w:w="640"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33</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拾音器</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PeakFire WM-CSQ-100AVN</w:t>
            </w:r>
          </w:p>
        </w:tc>
        <w:tc>
          <w:tcPr>
            <w:tcW w:w="108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广州市峰火电子科技有限公司</w:t>
            </w:r>
          </w:p>
        </w:tc>
        <w:tc>
          <w:tcPr>
            <w:tcW w:w="6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广州</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84</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Cs w:val="21"/>
              </w:rPr>
            </w:pPr>
            <w:r>
              <w:rPr>
                <w:rFonts w:hint="eastAsia" w:ascii="宋体" w:hAnsi="宋体" w:cs="宋体"/>
                <w:b/>
                <w:szCs w:val="21"/>
              </w:rPr>
              <w:t>7</w:t>
            </w:r>
          </w:p>
        </w:tc>
        <w:tc>
          <w:tcPr>
            <w:tcW w:w="23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汇聚交换机</w:t>
            </w:r>
          </w:p>
        </w:tc>
        <w:tc>
          <w:tcPr>
            <w:tcW w:w="240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 xml:space="preserve">H3C S5560X-30F-EI </w:t>
            </w:r>
          </w:p>
          <w:p>
            <w:pPr>
              <w:rPr>
                <w:rFonts w:ascii="宋体" w:hAnsi="宋体" w:cs="宋体"/>
                <w:szCs w:val="21"/>
              </w:rPr>
            </w:pPr>
            <w:r>
              <w:rPr>
                <w:rFonts w:hint="eastAsia" w:ascii="宋体" w:hAnsi="宋体" w:cs="宋体"/>
                <w:szCs w:val="21"/>
              </w:rPr>
              <w:t>交换容量598Gbps；包转发率216Mpps，非复用千兆光口24个，复用千兆电接口8个，可用万兆/千兆接口4个，万兆端口支持千兆自适应；业务扩展插槽1个；配置内置模块化冗余电源；支持最大万兆光接口数12；支持最大万兆电接口数8；支持扩展40G端口；配置可插拔双风扇、双电源，风扇支持端口侧/电源侧出风；支持硬件防火墙插卡；</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新华三技术有限公司</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杭州</w:t>
            </w:r>
          </w:p>
        </w:tc>
        <w:tc>
          <w:tcPr>
            <w:tcW w:w="6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Cs w:val="21"/>
              </w:rPr>
            </w:pPr>
            <w:r>
              <w:rPr>
                <w:rFonts w:hint="eastAsia" w:ascii="宋体" w:hAnsi="宋体" w:cs="宋体"/>
                <w:b/>
                <w:szCs w:val="21"/>
              </w:rPr>
              <w:t>8</w:t>
            </w:r>
          </w:p>
        </w:tc>
        <w:tc>
          <w:tcPr>
            <w:tcW w:w="231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接入层交换机</w:t>
            </w:r>
          </w:p>
        </w:tc>
        <w:tc>
          <w:tcPr>
            <w:tcW w:w="240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 xml:space="preserve">H3C E552C </w:t>
            </w:r>
          </w:p>
          <w:p>
            <w:pPr>
              <w:rPr>
                <w:rFonts w:ascii="宋体" w:hAnsi="宋体" w:cs="宋体"/>
                <w:szCs w:val="21"/>
              </w:rPr>
            </w:pPr>
            <w:r>
              <w:rPr>
                <w:rFonts w:hint="eastAsia" w:ascii="宋体" w:hAnsi="宋体" w:cs="宋体"/>
                <w:szCs w:val="21"/>
              </w:rPr>
              <w:t>交换性能336Gbps；包转发率96Mpps；可用千兆电接口数48个；支持千兆光接口数4个；支持复用电接口数2；</w:t>
            </w: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Cs w:val="21"/>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Cs w:val="21"/>
              </w:rPr>
            </w:pPr>
          </w:p>
        </w:tc>
        <w:tc>
          <w:tcPr>
            <w:tcW w:w="64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5</w:t>
            </w:r>
          </w:p>
        </w:tc>
        <w:tc>
          <w:tcPr>
            <w:tcW w:w="82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szCs w:val="21"/>
              </w:rPr>
            </w:pPr>
            <w:r>
              <w:rPr>
                <w:rFonts w:hint="eastAsia" w:ascii="宋体" w:hAnsi="宋体" w:cs="宋体"/>
                <w:b/>
                <w:szCs w:val="21"/>
              </w:rPr>
              <w:t>9</w:t>
            </w:r>
          </w:p>
        </w:tc>
        <w:tc>
          <w:tcPr>
            <w:tcW w:w="23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光纤模块</w:t>
            </w:r>
          </w:p>
        </w:tc>
        <w:tc>
          <w:tcPr>
            <w:tcW w:w="240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H3C SFP-GE-LX-SM1310-A 千兆，单模，1310nm</w:t>
            </w: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Cs w:val="21"/>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szCs w:val="21"/>
              </w:rPr>
            </w:pPr>
            <w:r>
              <w:rPr>
                <w:rFonts w:hint="eastAsia" w:ascii="宋体" w:hAnsi="宋体" w:cs="宋体"/>
                <w:b/>
                <w:szCs w:val="21"/>
              </w:rPr>
              <w:t>10</w:t>
            </w:r>
          </w:p>
        </w:tc>
        <w:tc>
          <w:tcPr>
            <w:tcW w:w="23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室外单模光纤</w:t>
            </w:r>
          </w:p>
        </w:tc>
        <w:tc>
          <w:tcPr>
            <w:tcW w:w="2406" w:type="dxa"/>
            <w:tcBorders>
              <w:top w:val="nil"/>
              <w:left w:val="nil"/>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12芯单模光纤（综合楼5楼弱电机房至监控中心，北五教学楼到至监控中心机房）</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深圳市红旗电工科技有限公司</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深圳</w:t>
            </w:r>
          </w:p>
        </w:tc>
        <w:tc>
          <w:tcPr>
            <w:tcW w:w="640"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1500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11</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光纤跳线</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LC-ST-3M-SM</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szCs w:val="21"/>
              </w:rPr>
            </w:pPr>
            <w:r>
              <w:rPr>
                <w:rFonts w:hint="eastAsia" w:ascii="宋体" w:hAnsi="宋体" w:cs="宋体"/>
                <w:b/>
                <w:szCs w:val="21"/>
              </w:rPr>
              <w:t>12</w:t>
            </w:r>
          </w:p>
        </w:tc>
        <w:tc>
          <w:tcPr>
            <w:tcW w:w="23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网线</w:t>
            </w:r>
          </w:p>
        </w:tc>
        <w:tc>
          <w:tcPr>
            <w:tcW w:w="2406" w:type="dxa"/>
            <w:tcBorders>
              <w:top w:val="nil"/>
              <w:left w:val="nil"/>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线规：24AWG，铜芯线径0.51mm</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69</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szCs w:val="21"/>
              </w:rPr>
            </w:pPr>
            <w:r>
              <w:rPr>
                <w:rFonts w:hint="eastAsia" w:ascii="宋体" w:hAnsi="宋体" w:cs="宋体"/>
                <w:b/>
                <w:szCs w:val="21"/>
              </w:rPr>
              <w:t>13</w:t>
            </w:r>
          </w:p>
        </w:tc>
        <w:tc>
          <w:tcPr>
            <w:tcW w:w="231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电源线</w:t>
            </w:r>
          </w:p>
        </w:tc>
        <w:tc>
          <w:tcPr>
            <w:tcW w:w="2406" w:type="dxa"/>
            <w:tcBorders>
              <w:top w:val="nil"/>
              <w:left w:val="nil"/>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RVV3*1.5 mm²</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7500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14</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电源线</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RVV2*1.0 mm²</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9000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15</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音频线</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RVVP3×0.5 mm²</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900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16</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网络配件</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配线架、理线器、1米跳线</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17</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电源配件</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配电箱、电源面板、底盒</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18</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管材、配件</w:t>
            </w:r>
          </w:p>
        </w:tc>
        <w:tc>
          <w:tcPr>
            <w:tcW w:w="2406"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联塑 PVC管槽、管材连接配件等</w:t>
            </w:r>
          </w:p>
        </w:tc>
        <w:tc>
          <w:tcPr>
            <w:tcW w:w="108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联塑</w:t>
            </w:r>
          </w:p>
        </w:tc>
        <w:tc>
          <w:tcPr>
            <w:tcW w:w="6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广东</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19</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监控级硬盘</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西数WD80PUZX 监控级硬盘 容量8TB,128M,串7200RPM，存储1个月</w:t>
            </w:r>
          </w:p>
        </w:tc>
        <w:tc>
          <w:tcPr>
            <w:tcW w:w="108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西数数据有限公司</w:t>
            </w:r>
          </w:p>
        </w:tc>
        <w:tc>
          <w:tcPr>
            <w:tcW w:w="6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中国</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20</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存储系统</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海康威视DS-96128N-I24</w:t>
            </w:r>
          </w:p>
        </w:tc>
        <w:tc>
          <w:tcPr>
            <w:tcW w:w="108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杭州海康威视数字技术股份有限公司</w:t>
            </w:r>
          </w:p>
        </w:tc>
        <w:tc>
          <w:tcPr>
            <w:tcW w:w="66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杭州</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21</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流媒体平台</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海康威视DS-VE2108C-BBC E3-1231 V3(4核3.4GHz)×1/8GB DDR3×2/1TB SATA×2/热插拔/640L_RAID/ 1GbE×4/冗电/导轨/2U/含WinServer2008R2简体中文标准版)</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22</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管理平台</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海康威视 IVMS-9600</w:t>
            </w:r>
          </w:p>
          <w:p>
            <w:pPr>
              <w:jc w:val="left"/>
              <w:rPr>
                <w:rFonts w:ascii="宋体" w:hAnsi="宋体" w:cs="宋体"/>
                <w:szCs w:val="21"/>
              </w:rPr>
            </w:pPr>
            <w:r>
              <w:rPr>
                <w:rFonts w:hint="eastAsia" w:ascii="宋体" w:hAnsi="宋体" w:cs="宋体"/>
                <w:szCs w:val="21"/>
              </w:rPr>
              <w:t>开放200路管理权限提供3年以上免费升级。与原有监控管理平台兼容</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23</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50吋液晶监视器</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创维50E366W LED 网络电视 全高清 1920*1080</w:t>
            </w:r>
          </w:p>
        </w:tc>
        <w:tc>
          <w:tcPr>
            <w:tcW w:w="108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深圳创维-RGB电子有限公司广州分公司</w:t>
            </w:r>
          </w:p>
        </w:tc>
        <w:tc>
          <w:tcPr>
            <w:tcW w:w="6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深圳</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24</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布线机柜</w:t>
            </w:r>
          </w:p>
        </w:tc>
        <w:tc>
          <w:tcPr>
            <w:tcW w:w="2406" w:type="dxa"/>
            <w:tcBorders>
              <w:top w:val="nil"/>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国产 标准壁挂网络机柜1200*600*600</w:t>
            </w:r>
          </w:p>
        </w:tc>
        <w:tc>
          <w:tcPr>
            <w:tcW w:w="108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定制</w:t>
            </w:r>
          </w:p>
        </w:tc>
        <w:tc>
          <w:tcPr>
            <w:tcW w:w="66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深圳</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25</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教育考试</w:t>
            </w:r>
            <w:r>
              <w:rPr>
                <w:rFonts w:hint="eastAsia" w:ascii="宋体" w:hAnsi="宋体" w:cs="宋体"/>
                <w:szCs w:val="21"/>
                <w:lang w:eastAsia="zh-CN"/>
              </w:rPr>
              <w:t>标准化考场</w:t>
            </w:r>
            <w:r>
              <w:rPr>
                <w:rFonts w:hint="eastAsia" w:ascii="宋体" w:hAnsi="宋体" w:cs="宋体"/>
                <w:szCs w:val="21"/>
              </w:rPr>
              <w:t>网关</w:t>
            </w:r>
          </w:p>
        </w:tc>
        <w:tc>
          <w:tcPr>
            <w:tcW w:w="2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 xml:space="preserve">云积巡查网关 YJ-VIG 128 MHD                                                     </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广州云积软件技术有限公司</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广东</w:t>
            </w: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26</w:t>
            </w:r>
          </w:p>
        </w:tc>
        <w:tc>
          <w:tcPr>
            <w:tcW w:w="2311"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考试作弊信号屏蔽器</w:t>
            </w:r>
          </w:p>
        </w:tc>
        <w:tc>
          <w:tcPr>
            <w:tcW w:w="2406" w:type="dxa"/>
            <w:tcBorders>
              <w:top w:val="single" w:color="auto" w:sz="4" w:space="0"/>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讯飞启明WSC-3000</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广东讯飞启明科技发展有限公司</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广东</w:t>
            </w:r>
          </w:p>
        </w:tc>
        <w:tc>
          <w:tcPr>
            <w:tcW w:w="64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37</w:t>
            </w:r>
          </w:p>
        </w:tc>
        <w:tc>
          <w:tcPr>
            <w:tcW w:w="82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27</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身份认证终端</w:t>
            </w:r>
          </w:p>
        </w:tc>
        <w:tc>
          <w:tcPr>
            <w:tcW w:w="2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讯飞启明IAE4000D</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84</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28</w:t>
            </w:r>
          </w:p>
        </w:tc>
        <w:tc>
          <w:tcPr>
            <w:tcW w:w="2311"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手持金属探测器</w:t>
            </w:r>
          </w:p>
        </w:tc>
        <w:tc>
          <w:tcPr>
            <w:tcW w:w="2406" w:type="dxa"/>
            <w:tcBorders>
              <w:top w:val="single" w:color="auto" w:sz="4" w:space="0"/>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洪威技防WB-5005BI</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北京洪威先创科技股份有限公司</w:t>
            </w:r>
          </w:p>
        </w:tc>
        <w:tc>
          <w:tcPr>
            <w:tcW w:w="66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北京</w:t>
            </w:r>
          </w:p>
        </w:tc>
        <w:tc>
          <w:tcPr>
            <w:tcW w:w="640"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82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29</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屏风办公桌椅套装</w:t>
            </w:r>
          </w:p>
        </w:tc>
        <w:tc>
          <w:tcPr>
            <w:tcW w:w="2406"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根据现场定制屏风办公桌椅套装</w:t>
            </w:r>
          </w:p>
        </w:tc>
        <w:tc>
          <w:tcPr>
            <w:tcW w:w="108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广州市丰悦信息技术有限公司</w:t>
            </w:r>
          </w:p>
        </w:tc>
        <w:tc>
          <w:tcPr>
            <w:tcW w:w="66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广州</w:t>
            </w: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5" w:type="dxa"/>
            <w:tcBorders>
              <w:top w:val="nil"/>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30</w:t>
            </w:r>
          </w:p>
        </w:tc>
        <w:tc>
          <w:tcPr>
            <w:tcW w:w="2311"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系统集成</w:t>
            </w:r>
          </w:p>
        </w:tc>
        <w:tc>
          <w:tcPr>
            <w:tcW w:w="2406"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定制</w:t>
            </w:r>
          </w:p>
        </w:tc>
        <w:tc>
          <w:tcPr>
            <w:tcW w:w="10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szCs w:val="21"/>
              </w:rPr>
            </w:pPr>
          </w:p>
        </w:tc>
        <w:tc>
          <w:tcPr>
            <w:tcW w:w="64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23"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w:t>
            </w:r>
          </w:p>
        </w:tc>
      </w:tr>
    </w:tbl>
    <w:p>
      <w:pPr>
        <w:widowControl/>
        <w:adjustRightInd w:val="0"/>
        <w:snapToGrid w:val="0"/>
        <w:spacing w:before="100" w:beforeAutospacing="1" w:after="100" w:afterAutospacing="1"/>
        <w:jc w:val="left"/>
        <w:rPr>
          <w:rFonts w:ascii="宋体" w:hAnsi="宋体" w:eastAsia="宋体" w:cs="宋体"/>
          <w:b/>
          <w:bCs/>
          <w:kern w:val="0"/>
          <w:sz w:val="24"/>
          <w:szCs w:val="24"/>
        </w:rPr>
      </w:pPr>
      <w:r>
        <w:rPr>
          <w:rFonts w:hint="eastAsia"/>
          <w:sz w:val="28"/>
        </w:rPr>
        <w:t>★</w:t>
      </w:r>
      <w:r>
        <w:rPr>
          <w:rFonts w:hint="eastAsia" w:ascii="宋体" w:hAnsi="宋体" w:eastAsia="宋体" w:cs="宋体"/>
          <w:b/>
          <w:bCs/>
          <w:kern w:val="0"/>
          <w:sz w:val="24"/>
          <w:szCs w:val="24"/>
        </w:rPr>
        <w:t>合同签订后对所有设备进行检查，由于设备年限达到</w:t>
      </w:r>
      <w:r>
        <w:rPr>
          <w:rFonts w:hint="eastAsia" w:ascii="宋体" w:hAnsi="宋体" w:eastAsia="宋体" w:cs="宋体"/>
          <w:b/>
          <w:bCs/>
          <w:kern w:val="0"/>
          <w:sz w:val="24"/>
          <w:szCs w:val="24"/>
          <w:lang w:val="en-US" w:eastAsia="zh-CN"/>
        </w:rPr>
        <w:t>8</w:t>
      </w:r>
      <w:r>
        <w:rPr>
          <w:rFonts w:hint="eastAsia" w:ascii="宋体" w:hAnsi="宋体" w:eastAsia="宋体" w:cs="宋体"/>
          <w:b/>
          <w:bCs/>
          <w:kern w:val="0"/>
          <w:sz w:val="24"/>
          <w:szCs w:val="24"/>
        </w:rPr>
        <w:t>年，需对拾音器、硬盘</w:t>
      </w:r>
      <w:r>
        <w:rPr>
          <w:rFonts w:hint="eastAsia" w:ascii="宋体" w:hAnsi="宋体" w:eastAsia="宋体" w:cs="宋体"/>
          <w:b/>
          <w:bCs/>
          <w:kern w:val="0"/>
          <w:sz w:val="24"/>
          <w:szCs w:val="24"/>
          <w:lang w:eastAsia="zh-CN"/>
        </w:rPr>
        <w:t>、</w:t>
      </w:r>
      <w:r>
        <w:rPr>
          <w:rFonts w:hint="eastAsia" w:ascii="宋体" w:hAnsi="宋体" w:eastAsia="宋体" w:cs="宋体"/>
          <w:b/>
          <w:bCs/>
          <w:kern w:val="0"/>
          <w:sz w:val="24"/>
          <w:szCs w:val="24"/>
          <w:lang w:val="en-US" w:eastAsia="zh-CN"/>
        </w:rPr>
        <w:t>电源</w:t>
      </w:r>
      <w:r>
        <w:rPr>
          <w:rFonts w:hint="eastAsia" w:ascii="宋体" w:hAnsi="宋体" w:eastAsia="宋体" w:cs="宋体"/>
          <w:b/>
          <w:bCs/>
          <w:kern w:val="0"/>
          <w:sz w:val="24"/>
          <w:szCs w:val="24"/>
        </w:rPr>
        <w:t>等有问题的设备进行与合同型号一样的设备免费更换。</w:t>
      </w: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w:t>
      </w:r>
      <w:r>
        <w:rPr>
          <w:rFonts w:hint="eastAsia" w:ascii="宋体" w:hAnsi="宋体"/>
          <w:kern w:val="0"/>
          <w:sz w:val="28"/>
          <w:szCs w:val="28"/>
          <w:lang w:val="en-US" w:eastAsia="zh-CN"/>
        </w:rPr>
        <w:t>实质性响应指标</w:t>
      </w:r>
      <w:r>
        <w:rPr>
          <w:rFonts w:hint="eastAsia" w:ascii="宋体" w:hAnsi="宋体"/>
          <w:kern w:val="0"/>
          <w:sz w:val="28"/>
          <w:szCs w:val="28"/>
        </w:rPr>
        <w:t>”。“</w:t>
      </w:r>
      <w:r>
        <w:rPr>
          <w:rFonts w:hint="eastAsia" w:ascii="宋体" w:hAnsi="宋体"/>
          <w:kern w:val="0"/>
          <w:sz w:val="28"/>
          <w:szCs w:val="28"/>
          <w:lang w:val="en-US" w:eastAsia="zh-CN"/>
        </w:rPr>
        <w:t>实质性响应指标</w:t>
      </w:r>
      <w:r>
        <w:rPr>
          <w:rFonts w:hint="eastAsia" w:ascii="宋体" w:hAnsi="宋体"/>
          <w:kern w:val="0"/>
          <w:sz w:val="28"/>
          <w:szCs w:val="28"/>
        </w:rPr>
        <w:t>”不允许“负偏离”，否则报价无效；“非</w:t>
      </w:r>
      <w:r>
        <w:rPr>
          <w:rFonts w:hint="eastAsia" w:ascii="宋体" w:hAnsi="宋体"/>
          <w:kern w:val="0"/>
          <w:sz w:val="28"/>
          <w:szCs w:val="28"/>
          <w:lang w:val="en-US" w:eastAsia="zh-CN"/>
        </w:rPr>
        <w:t>实质性响应</w:t>
      </w:r>
      <w:r>
        <w:rPr>
          <w:rFonts w:hint="eastAsia" w:ascii="宋体" w:hAnsi="宋体"/>
          <w:kern w:val="0"/>
          <w:sz w:val="28"/>
          <w:szCs w:val="28"/>
        </w:rPr>
        <w:t>指标”允许“负偏离”，但不能超出偏离范围，否则报价无效</w:t>
      </w:r>
    </w:p>
    <w:p>
      <w:pPr>
        <w:pStyle w:val="3"/>
        <w:spacing w:line="560" w:lineRule="exact"/>
        <w:rPr>
          <w:rFonts w:ascii="宋体" w:hAnsi="宋体" w:cs="宋体"/>
          <w:sz w:val="24"/>
        </w:rPr>
      </w:pPr>
      <w:bookmarkStart w:id="28" w:name="_Toc60236709"/>
      <w:bookmarkStart w:id="29" w:name="_Toc17787"/>
      <w:r>
        <w:rPr>
          <w:rFonts w:hint="eastAsia"/>
        </w:rPr>
        <w:t>二、商务要求</w:t>
      </w:r>
      <w:bookmarkEnd w:id="28"/>
      <w:bookmarkEnd w:id="29"/>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val="en-US" w:eastAsia="zh-CN"/>
        </w:rPr>
        <w:t>广州</w:t>
      </w:r>
      <w:r>
        <w:rPr>
          <w:rFonts w:hint="eastAsia" w:ascii="宋体" w:hAnsi="宋体"/>
          <w:bCs/>
          <w:sz w:val="28"/>
          <w:szCs w:val="28"/>
        </w:rPr>
        <w:t>校区。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w:t>
      </w:r>
      <w:r>
        <w:rPr>
          <w:rFonts w:hint="eastAsia" w:ascii="宋体" w:hAnsi="宋体"/>
          <w:sz w:val="28"/>
          <w:szCs w:val="28"/>
          <w:lang w:val="en-US" w:eastAsia="zh-CN"/>
        </w:rPr>
        <w:t>广州</w:t>
      </w:r>
      <w:r>
        <w:rPr>
          <w:rFonts w:hint="eastAsia" w:ascii="宋体" w:hAnsi="宋体"/>
          <w:sz w:val="28"/>
          <w:szCs w:val="28"/>
        </w:rPr>
        <w:t>校区）完成</w:t>
      </w:r>
      <w:r>
        <w:rPr>
          <w:rFonts w:hint="eastAsia" w:ascii="宋体" w:hAnsi="宋体" w:cs="宋体"/>
          <w:sz w:val="28"/>
          <w:szCs w:val="28"/>
        </w:rPr>
        <w:t>。</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质保期自安装验收合格之日起生效，</w:t>
      </w:r>
      <w:r>
        <w:rPr>
          <w:rFonts w:hint="eastAsia" w:ascii="宋体" w:hAnsi="宋体"/>
          <w:sz w:val="28"/>
          <w:szCs w:val="28"/>
          <w:lang w:val="en-US" w:eastAsia="zh-CN"/>
        </w:rPr>
        <w:t>结束</w:t>
      </w:r>
      <w:r>
        <w:rPr>
          <w:rFonts w:hint="eastAsia" w:ascii="宋体" w:hAnsi="宋体"/>
          <w:sz w:val="28"/>
          <w:szCs w:val="28"/>
        </w:rPr>
        <w:t>时间为</w:t>
      </w:r>
      <w:r>
        <w:rPr>
          <w:rFonts w:hint="eastAsia" w:ascii="宋体" w:hAnsi="宋体"/>
          <w:sz w:val="28"/>
          <w:szCs w:val="28"/>
          <w:lang w:val="en-US" w:eastAsia="zh-CN"/>
        </w:rPr>
        <w:t xml:space="preserve">  2023年12月31日  </w:t>
      </w:r>
      <w:r>
        <w:rPr>
          <w:rFonts w:hint="eastAsia" w:ascii="宋体" w:hAnsi="宋体" w:cs="宋体"/>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保养及维修服务期内,设备故障报修响应，响应时段为7×24×1 , 即一个星期7天,每天24小时,在市区内1小时响应。2小时内派技术人员到现场处理，4小时排除故障。如果设备故障在检修4小时后还未能排除,服务商在72小时内提供不低于故障设备规格型号文件的备用设备供系统使用，直至故障设备修复。</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adjustRightInd w:val="0"/>
        <w:snapToGrid w:val="0"/>
        <w:spacing w:line="360" w:lineRule="auto"/>
        <w:ind w:left="105" w:leftChars="50" w:right="105" w:rightChars="5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签订合同后，服务商 十 个工作日内提供总额90%维保款项的发票给甲方，采购人在收到发票后 二十 个工作日内开具等额支票给服务商；维保余款，合同履行期满的前一个月内进行一次全面测试并经采购人验收合格，服务商合同服务期届满后 十 工作日内提供总额10%维保款项的发票给采购人，采购人在确认验收合格且收到前述发票后 二十 个工作日内开具等额支票给服务商。</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30" w:name="_Toc60236710"/>
      <w:bookmarkStart w:id="31" w:name="_Toc13543213"/>
      <w:r>
        <w:rPr>
          <w:rFonts w:hint="eastAsia"/>
        </w:rPr>
        <w:br w:type="page"/>
      </w:r>
      <w:bookmarkEnd w:id="30"/>
      <w:bookmarkEnd w:id="31"/>
    </w:p>
    <w:p>
      <w:pPr>
        <w:pStyle w:val="2"/>
      </w:pPr>
      <w:bookmarkStart w:id="32" w:name="_Toc14310"/>
      <w:r>
        <w:rPr>
          <w:rFonts w:hint="eastAsia"/>
        </w:rPr>
        <w:t>第三部分  报价文件格式</w:t>
      </w:r>
      <w:bookmarkEnd w:id="32"/>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3"/>
        <w:rPr>
          <w:rFonts w:ascii="Calibri" w:hAnsi="Calibri"/>
          <w:b/>
          <w:sz w:val="32"/>
          <w:szCs w:val="32"/>
        </w:rPr>
      </w:pPr>
    </w:p>
    <w:p>
      <w:pPr>
        <w:pStyle w:val="13"/>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3"/>
        <w:spacing w:line="480" w:lineRule="exact"/>
        <w:rPr>
          <w:rFonts w:hAnsi="宋体"/>
          <w:sz w:val="28"/>
          <w:szCs w:val="28"/>
        </w:rPr>
      </w:pPr>
      <w:r>
        <w:rPr>
          <w:rFonts w:hint="eastAsia" w:hAnsi="宋体"/>
          <w:sz w:val="28"/>
          <w:szCs w:val="28"/>
        </w:rPr>
        <w:t>注：</w:t>
      </w:r>
    </w:p>
    <w:p>
      <w:pPr>
        <w:pStyle w:val="13"/>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3"/>
        <w:numPr>
          <w:ilvl w:val="0"/>
          <w:numId w:val="8"/>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3"/>
        <w:numPr>
          <w:ilvl w:val="0"/>
          <w:numId w:val="8"/>
        </w:numPr>
        <w:spacing w:line="0" w:lineRule="atLeast"/>
        <w:rPr>
          <w:rFonts w:hAnsi="宋体"/>
          <w:sz w:val="28"/>
          <w:szCs w:val="28"/>
        </w:rPr>
      </w:pPr>
      <w:r>
        <w:rPr>
          <w:rFonts w:hint="eastAsia"/>
          <w:sz w:val="28"/>
          <w:szCs w:val="28"/>
        </w:rPr>
        <w:t>填写此表时不得改变表格的形式。</w:t>
      </w:r>
    </w:p>
    <w:p>
      <w:pPr>
        <w:pStyle w:val="13"/>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3"/>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3"/>
        <w:jc w:val="left"/>
        <w:rPr>
          <w:rFonts w:ascii="Times New Roman" w:hAnsi="Times New Roman"/>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 xml:space="preserve"> 人民币：</w:t>
            </w:r>
          </w:p>
        </w:tc>
      </w:tr>
    </w:tbl>
    <w:p>
      <w:pPr>
        <w:pStyle w:val="13"/>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3"/>
        <w:spacing w:line="0" w:lineRule="atLeast"/>
        <w:ind w:left="336"/>
        <w:rPr>
          <w:rFonts w:hAnsi="宋体"/>
          <w:sz w:val="28"/>
          <w:szCs w:val="28"/>
        </w:rPr>
      </w:pPr>
      <w:r>
        <w:rPr>
          <w:rFonts w:hint="eastAsia" w:hAnsi="宋体"/>
          <w:sz w:val="28"/>
          <w:szCs w:val="28"/>
        </w:rPr>
        <w:t>2、本表“报价总价”必须与《报价一览表》中的“报价总价”一致。</w:t>
      </w:r>
    </w:p>
    <w:p>
      <w:pPr>
        <w:pStyle w:val="13"/>
        <w:spacing w:line="0" w:lineRule="atLeast"/>
        <w:ind w:left="336"/>
        <w:rPr>
          <w:rFonts w:hAnsi="宋体"/>
          <w:sz w:val="28"/>
          <w:szCs w:val="28"/>
        </w:rPr>
      </w:pPr>
      <w:r>
        <w:rPr>
          <w:rFonts w:hint="eastAsia" w:hAnsi="宋体"/>
          <w:sz w:val="28"/>
          <w:szCs w:val="28"/>
        </w:rPr>
        <w:t>3、对于报价免费的项目必须标明“免费”。</w:t>
      </w:r>
    </w:p>
    <w:p>
      <w:pPr>
        <w:pStyle w:val="13"/>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3"/>
        <w:jc w:val="left"/>
        <w:rPr>
          <w:rFonts w:ascii="Times New Roman" w:hAnsi="Times New Roman"/>
          <w:szCs w:val="21"/>
        </w:rPr>
      </w:pPr>
    </w:p>
    <w:p>
      <w:pPr>
        <w:pStyle w:val="13"/>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CD3BFC-46EE-4A23-9843-75F50636E5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701C0F7-02D7-4B6D-9E4B-5DA5725777AD}"/>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3FA79BD5-95E0-474E-AC1C-E6FBB41416AB}"/>
  </w:font>
  <w:font w:name="楷体_GB2312">
    <w:panose1 w:val="02010609030101010101"/>
    <w:charset w:val="86"/>
    <w:family w:val="modern"/>
    <w:pitch w:val="default"/>
    <w:sig w:usb0="00000001" w:usb1="080E0000" w:usb2="00000000" w:usb3="00000000" w:csb0="00040000" w:csb1="00000000"/>
    <w:embedRegular r:id="rId4" w:fontKey="{E829B3AF-995D-46B0-BC1C-A4E2F52B967A}"/>
  </w:font>
  <w:font w:name="楷体">
    <w:panose1 w:val="02010609060101010101"/>
    <w:charset w:val="86"/>
    <w:family w:val="auto"/>
    <w:pitch w:val="default"/>
    <w:sig w:usb0="800002BF" w:usb1="38CF7CFA" w:usb2="00000016" w:usb3="00000000" w:csb0="00040001" w:csb1="00000000"/>
    <w:embedRegular r:id="rId5" w:fontKey="{8C6DBCB8-CCD1-4CC3-BC1E-398C583071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w: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NjNDRlZjg4MGMxZjMwZmVhZGUxNGVjOTcxMTU4ZTQ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E774370"/>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AF1BA7"/>
    <w:rsid w:val="4DBA5FA6"/>
    <w:rsid w:val="4DD5065C"/>
    <w:rsid w:val="507A5425"/>
    <w:rsid w:val="50C30629"/>
    <w:rsid w:val="51577DD1"/>
    <w:rsid w:val="51AB09AF"/>
    <w:rsid w:val="520732F2"/>
    <w:rsid w:val="531269D1"/>
    <w:rsid w:val="54B4589B"/>
    <w:rsid w:val="55B90436"/>
    <w:rsid w:val="57434CFA"/>
    <w:rsid w:val="5A165665"/>
    <w:rsid w:val="5A965CB3"/>
    <w:rsid w:val="5B901DF4"/>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9E62F36"/>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qFormat/>
    <w:uiPriority w:val="0"/>
    <w:pPr>
      <w:ind w:left="100" w:leftChars="2500"/>
    </w:pPr>
    <w:rPr>
      <w:kern w:val="0"/>
      <w:sz w:val="28"/>
    </w:rPr>
  </w:style>
  <w:style w:type="paragraph" w:styleId="15">
    <w:name w:val="Body Text Indent 2"/>
    <w:basedOn w:val="1"/>
    <w:link w:val="59"/>
    <w:qFormat/>
    <w:uiPriority w:val="0"/>
    <w:pPr>
      <w:spacing w:line="300" w:lineRule="auto"/>
      <w:ind w:firstLine="540" w:firstLineChars="225"/>
    </w:pPr>
    <w:rPr>
      <w:rFonts w:ascii="宋体" w:hAnsi="宋体"/>
      <w:color w:val="000000"/>
      <w:kern w:val="0"/>
      <w:sz w:val="24"/>
    </w:rPr>
  </w:style>
  <w:style w:type="paragraph" w:styleId="16">
    <w:name w:val="footer"/>
    <w:basedOn w:val="1"/>
    <w:link w:val="55"/>
    <w:qFormat/>
    <w:uiPriority w:val="0"/>
    <w:pPr>
      <w:tabs>
        <w:tab w:val="center" w:pos="4153"/>
        <w:tab w:val="right" w:pos="8306"/>
      </w:tabs>
      <w:snapToGrid w:val="0"/>
      <w:jc w:val="left"/>
    </w:pPr>
    <w:rPr>
      <w:kern w:val="0"/>
      <w:sz w:val="18"/>
      <w:szCs w:val="18"/>
    </w:rPr>
  </w:style>
  <w:style w:type="paragraph" w:styleId="17">
    <w:name w:val="header"/>
    <w:basedOn w:val="1"/>
    <w:link w:val="5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index heading"/>
    <w:basedOn w:val="1"/>
    <w:next w:val="20"/>
    <w:semiHidden/>
    <w:qFormat/>
    <w:uiPriority w:val="0"/>
    <w:rPr>
      <w:szCs w:val="20"/>
    </w:rPr>
  </w:style>
  <w:style w:type="paragraph" w:styleId="20">
    <w:name w:val="index 1"/>
    <w:basedOn w:val="1"/>
    <w:next w:val="1"/>
    <w:semiHidden/>
    <w:qFormat/>
    <w:uiPriority w:val="0"/>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qFormat/>
    <w:uiPriority w:val="0"/>
    <w:rPr>
      <w:rFonts w:ascii="Calibri" w:hAnsi="Calibri"/>
      <w:sz w:val="24"/>
      <w:szCs w:val="22"/>
    </w:rPr>
  </w:style>
  <w:style w:type="paragraph" w:styleId="26">
    <w:name w:val="annotation subject"/>
    <w:basedOn w:val="8"/>
    <w:next w:val="8"/>
    <w:link w:val="62"/>
    <w:semiHidden/>
    <w:qFormat/>
    <w:uiPriority w:val="0"/>
    <w:rPr>
      <w:b/>
      <w:bCs/>
      <w:kern w:val="0"/>
      <w:sz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styleId="36">
    <w:name w:val="footnote reference"/>
    <w:qFormat/>
    <w:uiPriority w:val="0"/>
    <w:rPr>
      <w:vertAlign w:val="superscript"/>
    </w:rPr>
  </w:style>
  <w:style w:type="character" w:customStyle="1" w:styleId="37">
    <w:name w:val="副标题 Char"/>
    <w:link w:val="21"/>
    <w:qFormat/>
    <w:uiPriority w:val="0"/>
    <w:rPr>
      <w:rFonts w:ascii="Cambria" w:hAnsi="Cambria" w:eastAsia="宋体" w:cs="Times New Roman"/>
      <w:b/>
      <w:bCs/>
      <w:kern w:val="28"/>
      <w:sz w:val="32"/>
      <w:szCs w:val="32"/>
    </w:rPr>
  </w:style>
  <w:style w:type="character" w:customStyle="1" w:styleId="38">
    <w:name w:val="日期 Char"/>
    <w:link w:val="14"/>
    <w:qFormat/>
    <w:uiPriority w:val="0"/>
    <w:rPr>
      <w:rFonts w:ascii="Times New Roman" w:hAnsi="Times New Roman" w:eastAsia="宋体" w:cs="Times New Roman"/>
      <w:sz w:val="28"/>
      <w:szCs w:val="24"/>
    </w:rPr>
  </w:style>
  <w:style w:type="character" w:customStyle="1" w:styleId="39">
    <w:name w:val="脚注文本 Char"/>
    <w:link w:val="22"/>
    <w:qFormat/>
    <w:uiPriority w:val="0"/>
    <w:rPr>
      <w:rFonts w:ascii="Times New Roman" w:hAnsi="Times New Roman" w:eastAsia="宋体" w:cs="Times New Roman"/>
      <w:sz w:val="18"/>
      <w:szCs w:val="18"/>
    </w:rPr>
  </w:style>
  <w:style w:type="character" w:customStyle="1" w:styleId="40">
    <w:name w:val="批注框文本 Char"/>
    <w:link w:val="9"/>
    <w:semiHidden/>
    <w:qFormat/>
    <w:uiPriority w:val="0"/>
    <w:rPr>
      <w:rFonts w:ascii="Times New Roman" w:hAnsi="Times New Roman"/>
      <w:kern w:val="2"/>
      <w:sz w:val="28"/>
      <w:szCs w:val="18"/>
    </w:rPr>
  </w:style>
  <w:style w:type="character" w:customStyle="1" w:styleId="41">
    <w:name w:val="纯文本 Char"/>
    <w:link w:val="13"/>
    <w:qFormat/>
    <w:uiPriority w:val="0"/>
    <w:rPr>
      <w:rFonts w:ascii="宋体" w:hAnsi="Courier New" w:eastAsia="宋体"/>
      <w:szCs w:val="24"/>
    </w:rPr>
  </w:style>
  <w:style w:type="character" w:customStyle="1" w:styleId="42">
    <w:name w:val="列出段落 Char"/>
    <w:link w:val="43"/>
    <w:qFormat/>
    <w:locked/>
    <w:uiPriority w:val="99"/>
    <w:rPr>
      <w:rFonts w:ascii="Times New Roman" w:hAnsi="Times New Roman"/>
      <w:kern w:val="2"/>
      <w:sz w:val="21"/>
      <w:szCs w:val="24"/>
    </w:rPr>
  </w:style>
  <w:style w:type="paragraph" w:customStyle="1" w:styleId="43">
    <w:name w:val="列出段落2"/>
    <w:basedOn w:val="1"/>
    <w:link w:val="42"/>
    <w:qFormat/>
    <w:uiPriority w:val="99"/>
    <w:pPr>
      <w:ind w:firstLine="420" w:firstLineChars="200"/>
    </w:p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正文文本缩进 3 Char"/>
    <w:link w:val="23"/>
    <w:qFormat/>
    <w:uiPriority w:val="0"/>
    <w:rPr>
      <w:rFonts w:ascii="宋体" w:hAnsi="Times New Roman" w:eastAsia="宋体" w:cs="Times New Roman"/>
      <w:sz w:val="28"/>
      <w:szCs w:val="20"/>
    </w:rPr>
  </w:style>
  <w:style w:type="character" w:customStyle="1" w:styleId="46">
    <w:name w:val="正文缩进 Char"/>
    <w:link w:val="6"/>
    <w:qFormat/>
    <w:uiPriority w:val="0"/>
    <w:rPr>
      <w:rFonts w:eastAsia="宋体"/>
    </w:rPr>
  </w:style>
  <w:style w:type="character" w:customStyle="1" w:styleId="47">
    <w:name w:val="标题 2 Char"/>
    <w:link w:val="3"/>
    <w:qFormat/>
    <w:uiPriority w:val="0"/>
    <w:rPr>
      <w:rFonts w:ascii="Arial" w:hAnsi="Arial" w:eastAsia="宋体" w:cs="Times New Roman"/>
      <w:b/>
      <w:bCs/>
      <w:sz w:val="28"/>
      <w:szCs w:val="32"/>
    </w:rPr>
  </w:style>
  <w:style w:type="character" w:customStyle="1" w:styleId="48">
    <w:name w:val="页眉1 Char"/>
    <w:link w:val="49"/>
    <w:qFormat/>
    <w:uiPriority w:val="0"/>
    <w:rPr>
      <w:sz w:val="18"/>
      <w:szCs w:val="18"/>
    </w:rPr>
  </w:style>
  <w:style w:type="paragraph" w:customStyle="1" w:styleId="49">
    <w:name w:val="页眉1"/>
    <w:basedOn w:val="17"/>
    <w:link w:val="48"/>
    <w:qFormat/>
    <w:uiPriority w:val="0"/>
    <w:pPr>
      <w:pBdr>
        <w:bottom w:val="none" w:color="auto" w:sz="0" w:space="0"/>
      </w:pBdr>
      <w:jc w:val="both"/>
    </w:pPr>
  </w:style>
  <w:style w:type="character" w:customStyle="1" w:styleId="50">
    <w:name w:val="页眉 Char"/>
    <w:link w:val="17"/>
    <w:qFormat/>
    <w:uiPriority w:val="0"/>
    <w:rPr>
      <w:sz w:val="18"/>
      <w:szCs w:val="18"/>
    </w:rPr>
  </w:style>
  <w:style w:type="character" w:customStyle="1" w:styleId="51">
    <w:name w:val="标题 3 Char"/>
    <w:link w:val="4"/>
    <w:qFormat/>
    <w:uiPriority w:val="0"/>
    <w:rPr>
      <w:rFonts w:ascii="Times New Roman" w:hAnsi="Times New Roman" w:eastAsia="宋体" w:cs="Times New Roman"/>
      <w:b/>
      <w:bCs/>
      <w:sz w:val="24"/>
      <w:szCs w:val="32"/>
    </w:rPr>
  </w:style>
  <w:style w:type="character" w:customStyle="1" w:styleId="52">
    <w:name w:val="h2"/>
    <w:qFormat/>
    <w:uiPriority w:val="0"/>
    <w:rPr>
      <w:color w:val="000000"/>
      <w:sz w:val="24"/>
      <w:szCs w:val="24"/>
    </w:rPr>
  </w:style>
  <w:style w:type="character" w:customStyle="1" w:styleId="53">
    <w:name w:val="unnamed1"/>
    <w:basedOn w:val="29"/>
    <w:qFormat/>
    <w:uiPriority w:val="0"/>
  </w:style>
  <w:style w:type="character" w:customStyle="1" w:styleId="54">
    <w:name w:val="正文文本缩进 Char"/>
    <w:link w:val="10"/>
    <w:qFormat/>
    <w:uiPriority w:val="0"/>
    <w:rPr>
      <w:rFonts w:ascii="宋体" w:hAnsi="宋体" w:eastAsia="宋体" w:cs="Times New Roman"/>
      <w:sz w:val="24"/>
      <w:szCs w:val="24"/>
    </w:rPr>
  </w:style>
  <w:style w:type="character" w:customStyle="1" w:styleId="55">
    <w:name w:val="页脚 Char"/>
    <w:link w:val="16"/>
    <w:qFormat/>
    <w:uiPriority w:val="0"/>
    <w:rPr>
      <w:rFonts w:ascii="Times New Roman" w:hAnsi="Times New Roman" w:eastAsia="宋体" w:cs="Times New Roman"/>
      <w:sz w:val="18"/>
      <w:szCs w:val="18"/>
    </w:rPr>
  </w:style>
  <w:style w:type="character" w:customStyle="1" w:styleId="56">
    <w:name w:val="标题 4 Char"/>
    <w:link w:val="5"/>
    <w:semiHidden/>
    <w:qFormat/>
    <w:uiPriority w:val="9"/>
    <w:rPr>
      <w:rFonts w:ascii="Cambria" w:hAnsi="Cambria" w:eastAsia="宋体" w:cs="Times New Roman"/>
      <w:b/>
      <w:bCs/>
      <w:sz w:val="28"/>
      <w:szCs w:val="28"/>
    </w:rPr>
  </w:style>
  <w:style w:type="character" w:customStyle="1" w:styleId="57">
    <w:name w:val="font101"/>
    <w:qFormat/>
    <w:uiPriority w:val="0"/>
    <w:rPr>
      <w:rFonts w:hint="eastAsia" w:ascii="黑体" w:hAnsi="宋体" w:eastAsia="黑体" w:cs="黑体"/>
      <w:color w:val="000000"/>
      <w:sz w:val="20"/>
      <w:szCs w:val="20"/>
      <w:u w:val="none"/>
    </w:rPr>
  </w:style>
  <w:style w:type="character" w:customStyle="1" w:styleId="58">
    <w:name w:val="标题 1 Char"/>
    <w:link w:val="2"/>
    <w:qFormat/>
    <w:uiPriority w:val="0"/>
    <w:rPr>
      <w:rFonts w:ascii="Times New Roman" w:hAnsi="Times New Roman" w:eastAsia="宋体" w:cs="Times New Roman"/>
      <w:b/>
      <w:bCs/>
      <w:kern w:val="44"/>
      <w:sz w:val="44"/>
      <w:szCs w:val="44"/>
    </w:rPr>
  </w:style>
  <w:style w:type="character" w:customStyle="1" w:styleId="59">
    <w:name w:val="正文文本缩进 2 Char"/>
    <w:link w:val="15"/>
    <w:qFormat/>
    <w:uiPriority w:val="0"/>
    <w:rPr>
      <w:rFonts w:ascii="宋体" w:hAnsi="宋体" w:eastAsia="宋体" w:cs="Times New Roman"/>
      <w:color w:val="000000"/>
      <w:sz w:val="24"/>
      <w:szCs w:val="24"/>
    </w:rPr>
  </w:style>
  <w:style w:type="character" w:customStyle="1" w:styleId="60">
    <w:name w:val="font61"/>
    <w:qFormat/>
    <w:uiPriority w:val="0"/>
    <w:rPr>
      <w:rFonts w:hint="eastAsia" w:ascii="宋体" w:hAnsi="宋体" w:eastAsia="宋体" w:cs="宋体"/>
      <w:color w:val="000000"/>
      <w:sz w:val="20"/>
      <w:szCs w:val="20"/>
      <w:u w:val="none"/>
    </w:rPr>
  </w:style>
  <w:style w:type="character" w:customStyle="1" w:styleId="61">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2">
    <w:name w:val="批注主题 Char"/>
    <w:link w:val="26"/>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Char"/>
    <w:link w:val="8"/>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8008</Words>
  <Characters>8285</Characters>
  <Lines>72</Lines>
  <Paragraphs>20</Paragraphs>
  <TotalTime>5</TotalTime>
  <ScaleCrop>false</ScaleCrop>
  <LinksUpToDate>false</LinksUpToDate>
  <CharactersWithSpaces>8915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毅</cp:lastModifiedBy>
  <cp:lastPrinted>2022-01-21T10:35:00Z</cp:lastPrinted>
  <dcterms:modified xsi:type="dcterms:W3CDTF">2023-08-03T03:30:34Z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F90E824227D444BFA626A01BBCC08368</vt:lpwstr>
  </property>
</Properties>
</file>