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Calibri" w:eastAsia="黑体" w:cs="宋体"/>
          <w:sz w:val="32"/>
          <w:szCs w:val="32"/>
          <w:lang w:val="en-US"/>
        </w:rPr>
      </w:pPr>
      <w:r>
        <w:rPr>
          <w:rFonts w:hint="eastAsia" w:ascii="黑体" w:hAnsi="Calibri" w:eastAsia="黑体" w:cs="宋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Calibri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Calibri" w:eastAsia="黑体" w:cs="黑体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Calibri" w:eastAsia="黑体" w:cs="宋体"/>
          <w:sz w:val="72"/>
          <w:szCs w:val="7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Calibri" w:eastAsia="黑体" w:cs="黑体"/>
          <w:sz w:val="44"/>
          <w:szCs w:val="44"/>
          <w:lang w:val="en-US"/>
        </w:rPr>
      </w:pPr>
      <w:r>
        <w:rPr>
          <w:rFonts w:hint="eastAsia" w:ascii="黑体" w:hAnsi="Calibri" w:eastAsia="黑体" w:cs="宋体"/>
          <w:kern w:val="2"/>
          <w:sz w:val="72"/>
          <w:szCs w:val="72"/>
          <w:lang w:val="en-US" w:eastAsia="zh-CN" w:bidi="ar"/>
        </w:rPr>
        <w:t>采购实施计划书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40" w:firstLineChars="450"/>
        <w:jc w:val="both"/>
        <w:rPr>
          <w:rFonts w:hint="eastAsia" w:ascii="黑体" w:hAnsi="Calibri" w:eastAsia="黑体" w:cs="黑体"/>
          <w:sz w:val="32"/>
          <w:szCs w:val="32"/>
          <w:u w:val="single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项目名称：</w:t>
      </w:r>
      <w:r>
        <w:rPr>
          <w:rFonts w:hint="eastAsia" w:ascii="黑体" w:hAnsi="Calibri" w:eastAsia="黑体" w:cs="黑体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40" w:firstLineChars="450"/>
        <w:jc w:val="both"/>
        <w:rPr>
          <w:rFonts w:hint="eastAsia" w:ascii="黑体" w:hAnsi="Calibri" w:eastAsia="黑体" w:cs="黑体"/>
          <w:sz w:val="32"/>
          <w:szCs w:val="32"/>
          <w:u w:val="single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编制单位：</w:t>
      </w:r>
      <w:r>
        <w:rPr>
          <w:rFonts w:hint="eastAsia" w:ascii="黑体" w:hAnsi="Calibri" w:eastAsia="黑体" w:cs="黑体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pStyle w:val="2"/>
        <w:widowControl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center"/>
        <w:rPr>
          <w:rFonts w:hint="eastAsia" w:ascii="黑体" w:hAnsi="Calibri" w:eastAsia="黑体" w:cs="黑体"/>
          <w:sz w:val="32"/>
          <w:szCs w:val="32"/>
          <w:lang w:val="en-US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二〇二  年  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编 制 说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" w:hAnsi="Calibri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Calibri" w:eastAsia="仿宋" w:cs="仿宋"/>
          <w:b/>
          <w:bCs/>
          <w:kern w:val="2"/>
          <w:sz w:val="32"/>
          <w:szCs w:val="32"/>
          <w:lang w:val="en-US" w:eastAsia="zh-CN" w:bidi="ar"/>
        </w:rPr>
        <w:t>一、采购与招投标中心可以自行编制采购实施计划，也可以委托第三方机构编制。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" w:hAnsi="Calibri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Calibri" w:eastAsia="仿宋" w:cs="仿宋"/>
          <w:b/>
          <w:bCs/>
          <w:kern w:val="2"/>
          <w:sz w:val="32"/>
          <w:szCs w:val="32"/>
          <w:lang w:val="en-US" w:eastAsia="zh-CN" w:bidi="ar"/>
        </w:rPr>
        <w:t>二、编制的采购实施计划应当符合《财政部关于印发&lt;政府采购需求管理办法&gt;的通知》（财库〔2021〕22号）第三章、《广东省财政厅关于进一步加强政府采购需求管理工作的通知》（粤财采购函〔2023〕29号）要求、《广东财经大学采购管理办法》（粤财大〔2022〕99号）第四章及相关规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rPr>
          <w:rFonts w:hint="default" w:ascii="Calibri" w:hAnsi="Calibri" w:eastAsia="宋体" w:cs="Arial"/>
          <w:kern w:val="2"/>
          <w:sz w:val="21"/>
          <w:szCs w:val="2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center"/>
        <w:rPr>
          <w:lang w:val="en-US"/>
        </w:rPr>
      </w:pPr>
      <w:r>
        <w:rPr>
          <w:rFonts w:hint="eastAsia" w:ascii="黑体" w:hAnsi="Calibri" w:eastAsia="黑体" w:cs="Helvetica Neue"/>
          <w:bCs/>
          <w:color w:val="000000"/>
          <w:kern w:val="0"/>
          <w:sz w:val="44"/>
          <w:szCs w:val="44"/>
          <w:lang w:val="en-US" w:eastAsia="zh-CN" w:bidi="ar"/>
        </w:rPr>
        <w:t>采购实施计划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94"/>
        <w:gridCol w:w="5085"/>
        <w:gridCol w:w="5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7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采购项目预算</w:t>
            </w:r>
          </w:p>
        </w:tc>
        <w:tc>
          <w:tcPr>
            <w:tcW w:w="1017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采购项目最高限价</w:t>
            </w:r>
          </w:p>
        </w:tc>
        <w:tc>
          <w:tcPr>
            <w:tcW w:w="10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万元（货物服务一般使用预算作为最高限价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8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7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开展采购活动的时间安排</w:t>
            </w:r>
          </w:p>
        </w:tc>
        <w:tc>
          <w:tcPr>
            <w:tcW w:w="5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instrText xml:space="preserve"> HYPERLINK "http://zbb.snnu.edu.cn/sfw_cms/e?page=cms.detail&amp;cid=44566&amp;nextcid=44566&amp;aid=6530" </w:instrTex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" w:hAnsi="Calibri" w:eastAsia="仿宋" w:cs="仿宋"/>
                <w:color w:val="auto"/>
                <w:sz w:val="28"/>
                <w:szCs w:val="28"/>
                <w:u w:val="none"/>
                <w:lang w:val="en-US"/>
              </w:rPr>
              <w:t>意向公开时间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fldChar w:fldCharType="end"/>
            </w:r>
          </w:p>
        </w:tc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年  月  日  至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审查安排时间</w:t>
            </w:r>
          </w:p>
        </w:tc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年  月  日  至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发布采购公告时间</w:t>
            </w:r>
          </w:p>
        </w:tc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年  月  日  至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开评标时间</w:t>
            </w:r>
          </w:p>
        </w:tc>
        <w:tc>
          <w:tcPr>
            <w:tcW w:w="5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年  月  日  至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7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采购组织形式和委托代理安排</w:t>
            </w:r>
          </w:p>
        </w:tc>
        <w:tc>
          <w:tcPr>
            <w:tcW w:w="10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Calibri" w:eastAsia="仿宋" w:cs="Helvetica Neue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Helvetica Neue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□自行采购</w:t>
            </w:r>
          </w:p>
          <w:p>
            <w:pPr>
              <w:pStyle w:val="2"/>
              <w:widowControl/>
              <w:rPr>
                <w:lang w:val="en-US"/>
              </w:rPr>
            </w:pP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 xml:space="preserve">负责人： 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  <w:lang w:val="en-US"/>
              </w:rPr>
              <w:t xml:space="preserve">      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□委托采购代理机构</w:t>
            </w:r>
          </w:p>
          <w:p>
            <w:pPr>
              <w:pStyle w:val="2"/>
              <w:widowControl/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 xml:space="preserve">代理机构名称： 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 xml:space="preserve">负责人： 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  <w:lang w:val="en-US"/>
              </w:rPr>
              <w:t xml:space="preserve">      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采购包划分情况</w:t>
            </w:r>
          </w:p>
        </w:tc>
        <w:tc>
          <w:tcPr>
            <w:tcW w:w="10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Helvetica Neue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不分采购包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□本项目划分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个采购包：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包组一为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，包含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，预算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pStyle w:val="2"/>
              <w:widowControl/>
              <w:spacing w:line="360" w:lineRule="auto"/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>包组二为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      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>，包含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     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>，预算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       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采购方式</w:t>
            </w:r>
          </w:p>
        </w:tc>
        <w:tc>
          <w:tcPr>
            <w:tcW w:w="10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Helvetica Neue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公开招标、</w:t>
            </w:r>
            <w:r>
              <w:rPr>
                <w:rFonts w:hint="eastAsia" w:ascii="仿宋" w:hAnsi="Calibri" w:eastAsia="仿宋" w:cs="Helvetica Neue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邀请招标、</w:t>
            </w:r>
            <w:r>
              <w:rPr>
                <w:rFonts w:hint="eastAsia" w:ascii="仿宋" w:hAnsi="Calibri" w:eastAsia="仿宋" w:cs="Helvetica Neue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竞争性谈判、</w:t>
            </w:r>
            <w:r>
              <w:rPr>
                <w:rFonts w:hint="eastAsia" w:ascii="仿宋" w:hAnsi="Calibri" w:eastAsia="仿宋" w:cs="Helvetica Neue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询价、</w:t>
            </w:r>
            <w:r>
              <w:rPr>
                <w:rFonts w:hint="eastAsia" w:ascii="仿宋" w:hAnsi="Calibri" w:eastAsia="仿宋" w:cs="Helvetica Neue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单一来源采购、</w:t>
            </w:r>
            <w:r>
              <w:rPr>
                <w:rFonts w:hint="eastAsia" w:ascii="仿宋" w:hAnsi="Calibri" w:eastAsia="仿宋" w:cs="Helvetica Neue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竞争性磋商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适用理由：</w:t>
            </w:r>
          </w:p>
          <w:p>
            <w:pPr>
              <w:pStyle w:val="2"/>
              <w:widowControl/>
              <w:ind w:left="0" w:firstLine="480" w:firstLineChars="200"/>
              <w:rPr>
                <w:rFonts w:hint="eastAsia" w:ascii="仿宋" w:hAnsi="楷体_GB2312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  <w:lang w:val="en-US"/>
              </w:rPr>
              <w:t>(</w:t>
            </w:r>
            <w:r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</w:rPr>
              <w:t>说明：采购需求客观、明确且规格、标准统一的采购项目，如通用设备、物业管理等，一般采用招标或者询价方式采购；采购需求客观、明确，且技术较复杂或者专业性较强的采购项目，如大型装备、咨询服务等，一般采用招标、谈判（磋商）方式采购；不能完全确定客观指标，需由供应商提供设计方案、解决方案或者组织方案的采购项目，如首购订购、设计服务、政府和社会资本合作等，一般采用谈判（磋商）方式采购。</w:t>
            </w:r>
            <w:r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7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评审规则</w:t>
            </w:r>
          </w:p>
        </w:tc>
        <w:tc>
          <w:tcPr>
            <w:tcW w:w="10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评标方法：□综合评分法、□最低评标价法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(2)推荐中标候选人方式：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□方式一：综合评分法：推荐综合得分排名第一的投标人为第一中标候选人，排名第二的投标人为第二中标候选人，排名第三的投标人为第三中标候选人。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□方式二：最低评标价法：按照投标报价由低到高的顺序推荐3名中标候选人。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(3)中标人的确定：中标候选人并列的，由采购人采取下述方式确定中标人。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□方式一：随机抽取；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□方式二：按技术部分得分高低顺序。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Calibri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Calibri" w:eastAsia="仿宋" w:cs="仿宋"/>
                <w:kern w:val="2"/>
                <w:sz w:val="28"/>
                <w:szCs w:val="28"/>
                <w:lang w:val="en-US" w:eastAsia="zh-CN" w:bidi="ar"/>
              </w:rPr>
              <w:t>(4)评审因素及对应的分值、权重：</w:t>
            </w:r>
          </w:p>
          <w:p>
            <w:pPr>
              <w:pStyle w:val="2"/>
              <w:widowControl/>
              <w:ind w:left="0" w:firstLine="480" w:firstLineChars="200"/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  <w:lang w:val="en-US"/>
              </w:rPr>
              <w:t>(</w:t>
            </w:r>
            <w:r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</w:rPr>
              <w:t>说明：综合考虑以单方案报价、多方案报价以及性价比要求等因素选择评审方法。</w:t>
            </w:r>
          </w:p>
          <w:p>
            <w:pPr>
              <w:pStyle w:val="2"/>
              <w:widowControl/>
              <w:ind w:left="0" w:firstLine="480" w:firstLineChars="200"/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</w:rPr>
              <w:t>采用综合性评审方法的，评审因素应当按照采购需求和与实现项目目标相关的其他因素确定。</w:t>
            </w:r>
          </w:p>
          <w:p>
            <w:pPr>
              <w:pStyle w:val="2"/>
              <w:widowControl/>
              <w:ind w:left="0" w:firstLine="480" w:firstLineChars="200"/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</w:rPr>
              <w:t>采购需求客观、明确的采购项目，采购需求中客观但不可量化的指标应当作为实质性要求，不得作为评分项；参与评分的指标应当是采购需求中的量化指标，评分项应当按照量化指标的等次，设置对应的不同分值。不能完全确定客观指标，需由供应商提供设计方案、解决方案或者组织方案的采购项目，可以结合需求调查的情况，尽可能明确不同技术路线、组织形式及相关指标的重要性和优先级，设定客观、量化的评审因素、分值和权重。价格因素应当按照相关规定确定分值和权重。</w:t>
            </w:r>
          </w:p>
          <w:p>
            <w:pPr>
              <w:pStyle w:val="2"/>
              <w:widowControl/>
              <w:ind w:left="0" w:firstLine="480" w:firstLineChars="200"/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</w:rPr>
              <w:t>采购项目涉及后续采购的，如大型装备等，要考虑兼容性要求。可以要求供应商报出后续供应的价格，以及后续采购的可替代性、相关产品和估价，作为评审时考虑的因素。</w:t>
            </w:r>
          </w:p>
          <w:p>
            <w:pPr>
              <w:pStyle w:val="2"/>
              <w:widowControl/>
              <w:ind w:left="0" w:firstLine="480" w:firstLineChars="200"/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  <w:highlight w:val="yellow"/>
                <w:lang w:val="en-US"/>
              </w:rPr>
            </w:pPr>
            <w:r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</w:rPr>
              <w:t>需由供应商提供设计方案、解决方案或者组织方案，且供应商经验和能力对履约有直接影响的，如订购、设计等采购项目，可以在评审因素中适当考虑供应商的履约能力要求，并合理设置分值和权重。需由供应商提供设计方案、解决方案或者组织方案，采购人认为有必要考虑全生命周期成本的，可以明确使用年限，要求供应商报出安装调试费用、使用期间能源管理、废弃处置等全生命周期成本，作为评审时考虑的因素。</w:t>
            </w:r>
            <w:r>
              <w:rPr>
                <w:rFonts w:hint="eastAsia" w:ascii="仿宋" w:hAnsi="楷体_GB2312" w:eastAsia="仿宋" w:cs="仿宋"/>
                <w:b w:val="0"/>
                <w:bCs w:val="0"/>
                <w:i/>
                <w:iCs/>
                <w:color w:val="000000"/>
                <w:sz w:val="24"/>
                <w:szCs w:val="22"/>
                <w:lang w:val="en-US"/>
              </w:rPr>
              <w:t>)</w:t>
            </w:r>
          </w:p>
          <w:p>
            <w:pPr>
              <w:pStyle w:val="2"/>
              <w:widowControl/>
              <w:rPr>
                <w:rFonts w:hint="eastAsia" w:ascii="仿宋" w:hAnsi="楷体_GB2312" w:eastAsia="仿宋" w:cs="仿宋"/>
                <w:lang w:val="en-US"/>
              </w:rPr>
            </w:pP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楷体_GB2312" w:eastAsia="仿宋" w:cs="仿宋"/>
                <w:b w:val="0"/>
                <w:bCs w:val="0"/>
                <w:sz w:val="28"/>
                <w:szCs w:val="28"/>
              </w:rPr>
              <w:t>）工程项目按照相关规定、评审规则等参照填写。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Calibri" w:eastAsia="仿宋" w:cs="仿宋"/>
          <w:lang w:val="en-US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F381F"/>
    <w:multiLevelType w:val="multilevel"/>
    <w:tmpl w:val="90DF381F"/>
    <w:lvl w:ilvl="0" w:tentative="0">
      <w:start w:val="1"/>
      <w:numFmt w:val="decimal"/>
      <w:lvlText w:val="(%1)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717A0"/>
    <w:rsid w:val="37D717A0"/>
    <w:rsid w:val="39947487"/>
    <w:rsid w:val="64E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 w:val="0"/>
      <w:widowControl w:val="0"/>
      <w:suppressLineNumbers w:val="0"/>
      <w:spacing w:before="0" w:beforeAutospacing="0" w:after="0" w:afterAutospacing="0"/>
      <w:ind w:left="0" w:right="0"/>
      <w:jc w:val="both"/>
      <w:outlineLvl w:val="2"/>
    </w:pPr>
    <w:rPr>
      <w:rFonts w:hint="eastAsia" w:ascii="楷体_GB2312" w:hAnsi="楷体_GB2312" w:eastAsia="黑体" w:cs="Arial"/>
      <w:b/>
      <w:bCs/>
      <w:kern w:val="2"/>
      <w:sz w:val="32"/>
      <w:szCs w:val="22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Arial"/>
      <w:kern w:val="2"/>
      <w:sz w:val="21"/>
      <w:szCs w:val="22"/>
      <w:lang w:val="en-US" w:eastAsia="zh-CN" w:bidi="ar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Arial"/>
      <w:kern w:val="2"/>
      <w:sz w:val="18"/>
      <w:szCs w:val="18"/>
      <w:lang w:val="en-US" w:eastAsia="zh-CN" w:bidi="ar"/>
    </w:rPr>
  </w:style>
  <w:style w:type="paragraph" w:styleId="7">
    <w:name w:val="foot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Arial"/>
      <w:kern w:val="2"/>
      <w:sz w:val="18"/>
      <w:szCs w:val="18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2023-07-03T00:25:00Z</dcterms:created>
  <dc:creator>蒋桂芹</dc:creator>
  <cp:lastModifiedBy>蒋桂芹</cp:lastModifiedBy>
  <dcterms:modified xsi:type="dcterms:W3CDTF">2023-07-03T02:39:50Z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DAADDD5E24DC41B4948EE1B02288792D</vt:lpwstr>
  </property>
</Properties>
</file>