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Calibri" w:eastAsia="黑体" w:cs="宋体"/>
          <w:sz w:val="32"/>
          <w:szCs w:val="32"/>
          <w:lang w:val="en-US"/>
        </w:rPr>
      </w:pPr>
      <w:r>
        <w:rPr>
          <w:rFonts w:hint="eastAsia" w:ascii="黑体" w:hAnsi="Calibri" w:eastAsia="黑体" w:cs="宋体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宋体"/>
          <w:sz w:val="72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宋体"/>
          <w:sz w:val="72"/>
          <w:szCs w:val="44"/>
          <w:lang w:val="en-US"/>
        </w:rPr>
      </w:pPr>
      <w:r>
        <w:rPr>
          <w:rFonts w:hint="eastAsia" w:ascii="黑体" w:hAnsi="Calibri" w:eastAsia="黑体" w:cs="宋体"/>
          <w:kern w:val="2"/>
          <w:sz w:val="72"/>
          <w:szCs w:val="44"/>
          <w:lang w:val="en-US" w:eastAsia="zh-CN" w:bidi="ar"/>
        </w:rPr>
        <w:t>需求论证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宋体"/>
          <w:sz w:val="72"/>
          <w:szCs w:val="44"/>
          <w:lang w:val="en-US"/>
        </w:rPr>
      </w:pPr>
      <w:r>
        <w:rPr>
          <w:rFonts w:hint="eastAsia" w:ascii="黑体" w:hAnsi="Calibri" w:eastAsia="黑体" w:cs="宋体"/>
          <w:kern w:val="2"/>
          <w:sz w:val="72"/>
          <w:szCs w:val="44"/>
          <w:lang w:val="en-US" w:eastAsia="zh-CN" w:bidi="ar"/>
        </w:rPr>
        <w:t>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宋体"/>
          <w:sz w:val="72"/>
          <w:szCs w:val="44"/>
          <w:lang w:val="en-US"/>
        </w:rPr>
      </w:pPr>
      <w:r>
        <w:rPr>
          <w:rFonts w:hint="eastAsia" w:ascii="黑体" w:hAnsi="Calibri" w:eastAsia="黑体" w:cs="宋体"/>
          <w:kern w:val="2"/>
          <w:sz w:val="72"/>
          <w:szCs w:val="44"/>
          <w:lang w:val="en-US" w:eastAsia="zh-CN" w:bidi="ar"/>
        </w:rPr>
        <w:t>合同管理书</w:t>
      </w:r>
    </w:p>
    <w:p>
      <w:pPr>
        <w:pStyle w:val="7"/>
        <w:widowControl/>
        <w:rPr>
          <w:lang w:val="en-US"/>
        </w:rPr>
      </w:pPr>
    </w:p>
    <w:p>
      <w:pPr>
        <w:pStyle w:val="7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项目名称：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pStyle w:val="2"/>
        <w:widowControl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编制单位：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pStyle w:val="2"/>
        <w:widowControl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联 系 人：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pStyle w:val="2"/>
        <w:widowControl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联系电话：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   </w:t>
      </w:r>
    </w:p>
    <w:p>
      <w:pPr>
        <w:pStyle w:val="7"/>
        <w:widowControl/>
        <w:rPr>
          <w:sz w:val="32"/>
          <w:szCs w:val="32"/>
          <w:lang w:val="en-US"/>
        </w:rPr>
      </w:pPr>
    </w:p>
    <w:p>
      <w:pPr>
        <w:pStyle w:val="7"/>
        <w:widowControl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pStyle w:val="7"/>
        <w:widowControl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黑体" w:hAnsi="Calibri" w:eastAsia="黑体" w:cs="黑体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二〇二  年  月</w:t>
      </w:r>
    </w:p>
    <w:p>
      <w:pPr>
        <w:rPr>
          <w:rFonts w:hint="eastAsia" w:ascii="方正小标宋简体" w:hAnsi="Calibri" w:eastAsia="方正小标宋简体" w:cs="Arial"/>
          <w:kern w:val="2"/>
          <w:sz w:val="32"/>
          <w:szCs w:val="32"/>
          <w:lang w:val="en-US" w:eastAsia="zh-CN" w:bidi="ar"/>
        </w:rPr>
        <w:sectPr>
          <w:pgSz w:w="11906" w:h="16838"/>
          <w:pgMar w:top="2098" w:right="1418" w:bottom="1985" w:left="158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编 制 说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Calibri" w:eastAsia="仿宋" w:cs="仿宋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一、需求论证及合同管理书由业务归口部门编制。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二、编制的内容应当符合《财政部关于印发&lt;政府采购需求管理办法&gt;的通知》（财库〔2021〕22号）第十三、第二十二和第二十三条相关规定、《广东省财政厅关于进一步加强政府采购需求管理工作的通知》（粤财采购函〔2023〕29号）要求、《广东财经大学采购管理办法》（粤财大〔2022〕99号）第四十八至第五十条及相关规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三、斜体字部分属于提醒内容，编制时应删除，并调整相应序号。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一、项目申报情况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（一）项目名称：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（二）项目类别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货物类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服务类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工程类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（三）预算金额：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（四）经费名称及卡号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（五）建议采购方式及适用情形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公开招标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邀请招标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竞争性磋商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竞争性谈判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询价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单一来源采购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600" w:firstLineChars="5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□ 框架协议采购</w:t>
      </w:r>
    </w:p>
    <w:p>
      <w:pPr>
        <w:pStyle w:val="7"/>
        <w:widowControl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eastAsia="仿宋_GB2312" w:cs="仿宋_GB2312"/>
          <w:i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>适用情形</w:t>
      </w: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u w:val="single"/>
          <w:lang w:val="en-US" w:eastAsia="zh-CN" w:bidi="ar"/>
        </w:rPr>
        <w:t xml:space="preserve">                        </w:t>
      </w:r>
      <w:r>
        <w:rPr>
          <w:rFonts w:hint="eastAsia" w:ascii="仿宋_GB2312" w:hAnsi="Calibri" w:eastAsia="仿宋_GB2312" w:cs="仿宋_GB2312"/>
          <w:iCs/>
          <w:kern w:val="2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pStyle w:val="7"/>
        <w:widowControl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二、需求复核与论证情况</w:t>
      </w:r>
    </w:p>
    <w:p>
      <w:pPr>
        <w:pStyle w:val="7"/>
        <w:widowControl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组织部门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复核及论证时间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项目隶属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申报主要内容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专家意见</w:t>
            </w: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  <w:p>
            <w:pPr>
              <w:pStyle w:val="7"/>
              <w:widowControl/>
              <w:rPr>
                <w:rFonts w:hint="eastAsia" w:asci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专家（签名）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highlight w:val="yellow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专家姓名</w:t>
            </w:r>
          </w:p>
        </w:tc>
        <w:tc>
          <w:tcPr>
            <w:tcW w:w="6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sz w:val="32"/>
                <w:szCs w:val="32"/>
                <w:highlight w:val="yellow"/>
                <w:lang w:val="en-US"/>
              </w:rPr>
            </w:pPr>
          </w:p>
        </w:tc>
      </w:tr>
    </w:tbl>
    <w:p>
      <w:pPr>
        <w:rPr>
          <w:rFonts w:hint="eastAsia" w:ascii="仿宋_GB2312" w:hAnsi="Calibri" w:eastAsia="仿宋_GB2312" w:cs="仿宋_GB2312"/>
          <w:kern w:val="2"/>
          <w:sz w:val="32"/>
          <w:szCs w:val="32"/>
          <w:highlight w:val="yellow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三、合同管理安排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合同管理安排以项目为单位，项目有分包的，根据分包实际确定。</w:t>
      </w:r>
    </w:p>
    <w:p>
      <w:pPr>
        <w:pStyle w:val="7"/>
        <w:widowControl/>
        <w:rPr>
          <w:lang w:val="en-US"/>
        </w:rPr>
      </w:pPr>
    </w:p>
    <w:p>
      <w:pPr>
        <w:pStyle w:val="7"/>
        <w:widowControl/>
        <w:rPr>
          <w:lang w:val="en-US"/>
        </w:rPr>
      </w:pPr>
    </w:p>
    <w:tbl>
      <w:tblPr>
        <w:tblStyle w:val="9"/>
        <w:tblW w:w="142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793"/>
        <w:gridCol w:w="4690"/>
        <w:gridCol w:w="5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993" w:hRule="atLeast"/>
        </w:trPr>
        <w:tc>
          <w:tcPr>
            <w:tcW w:w="9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合同签署时间</w:t>
            </w:r>
          </w:p>
        </w:tc>
        <w:tc>
          <w:tcPr>
            <w:tcW w:w="105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合同执行时间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履约验收时间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 xml:space="preserve">  年  月  日  至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合同类型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买卖合同、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供用电、水、气、热力合同、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赠与合同、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借款合同、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保证合同、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租赁合同、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融资租赁合同、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保理合同、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承揽合同、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建设工程合同、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运输合同（客运合同、货运合同、多式联运合同）、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技术合同（技术开发合同、技术转让合同和技术许可合同、技术咨询合同和技术服务合同）、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保管合同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仓储合同、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委托合同、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物业服务合同、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行纪合同、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中介合同、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合伙合同、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□其他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合同</w:t>
            </w:r>
          </w:p>
          <w:p>
            <w:pPr>
              <w:pStyle w:val="2"/>
              <w:widowControl/>
              <w:rPr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定价方式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固定总价、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固定单价、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成本补偿、</w:t>
            </w:r>
            <w:r>
              <w:rPr>
                <w:rFonts w:hint="eastAsia" w:ascii="仿宋" w:hAnsi="Calibri" w:eastAsia="仿宋" w:cs="仿宋"/>
                <w:color w:val="000000"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绩效激励</w:t>
            </w:r>
          </w:p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b w:val="0"/>
                <w:bCs w:val="0"/>
                <w:color w:val="000000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（说明：以价格作为授予合同的主要考虑因素，采用固定总价或者固定单价的定价方式；通过综合性评审选择性价比最优的产品，采用固定总价或者固定单价的定价方式；综合考虑以单方案报价、多方案报价以及性价比要求等因素选择评审方法，并根据实现项目目标的要求，采取固定总价或者固定单价、成本补偿、绩效激励等单一或者组合定价方式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合同文本主要条款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shd w:val="clear" w:fill="FFFFFF"/>
              <w:spacing w:line="360" w:lineRule="auto"/>
              <w:rPr>
                <w:rFonts w:hint="eastAsia" w:ascii="仿宋" w:hAnsi="Calibri" w:eastAsia="仿宋" w:cs="Times New Roman"/>
                <w:i/>
                <w:iCs/>
                <w:color w:val="000000"/>
                <w:kern w:val="2"/>
                <w:shd w:val="clear" w:fill="FFFFFF"/>
                <w:lang w:val="en-US"/>
              </w:rPr>
            </w:pPr>
            <w:r>
              <w:rPr>
                <w:rFonts w:hint="eastAsia" w:ascii="仿宋" w:hAnsi="Calibri" w:eastAsia="仿宋" w:cs="Times New Roman"/>
                <w:i/>
                <w:iCs/>
                <w:color w:val="000000"/>
                <w:kern w:val="2"/>
                <w:shd w:val="clear" w:fill="FFFFFF"/>
              </w:rPr>
              <w:t>（说明：合同文本应当包含法定必备条款和采购需求的所有内容，包括但不限于标的名称，采购标的质量、数量（规模），履行时间（期限）、地点和方式，包装方式，价款或者报酬、付款进度安排、资金支付方式，验收、交付标准和方法，质量保修范围和保修期，违约责任与解决争议的方法等。</w:t>
            </w:r>
          </w:p>
          <w:p>
            <w:pPr>
              <w:pStyle w:val="8"/>
              <w:widowControl/>
              <w:shd w:val="clear" w:fill="FFFFFF"/>
              <w:spacing w:before="151" w:beforeAutospacing="0" w:after="432" w:afterAutospacing="0" w:line="360" w:lineRule="auto"/>
              <w:ind w:left="0" w:right="0"/>
              <w:rPr>
                <w:rFonts w:hint="eastAsia" w:ascii="仿宋" w:hAnsi="Calibri" w:eastAsia="仿宋" w:cs="Times New Roman"/>
                <w:i/>
                <w:iCs/>
                <w:color w:val="000000"/>
                <w:kern w:val="2"/>
                <w:shd w:val="clear" w:fill="FFFFFF"/>
                <w:lang w:val="en-US"/>
              </w:rPr>
            </w:pPr>
            <w:r>
              <w:rPr>
                <w:rFonts w:hint="eastAsia" w:ascii="仿宋" w:hAnsi="Calibri" w:eastAsia="仿宋" w:cs="Times New Roman"/>
                <w:i/>
                <w:iCs/>
                <w:color w:val="000000"/>
                <w:kern w:val="2"/>
                <w:shd w:val="clear" w:fill="FFFFFF"/>
              </w:rPr>
              <w:t>采购项目涉及采购标的的知识产权归属、处理的，如订购、设计、定制开发的信息化建设项目等，应当约定知识产权的归属和处理方式。采购人可以根据项目特点划分合同履行阶段，明确分期考核要求和对应的付款进度安排。对于长期运行的项目，要充分考虑成本、收益以及可能出现的重大市场风险，在合同中约定成本补偿、风险分担等事项。</w:t>
            </w:r>
          </w:p>
          <w:p>
            <w:pPr>
              <w:pStyle w:val="2"/>
              <w:widowControl/>
              <w:spacing w:line="360" w:lineRule="auto"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合同权利义务要围绕采购需求和合同履行设置。国务院有关部门依法制定了政府采购合同标准文本的，应当使用标准文本。属于本办法第十一条规定范围的采购项目，合同文本应当经过采购人聘请的法律顾问审定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7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履约验收方案</w:t>
            </w: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履约验收主体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履约验收时间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履约验收方式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履约验收程序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履约验收内容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rPr>
                <w:rFonts w:hint="eastAsia" w:ascii="仿宋" w:hAnsi="楷体_GB2312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（说明：验收内容要包括每一项技术和商务要求的履约情况。）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验收标准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(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说明：验收标准要包括所有客观、量化指标。</w:t>
            </w:r>
          </w:p>
          <w:p>
            <w:pPr>
              <w:pStyle w:val="2"/>
              <w:widowControl/>
              <w:rPr>
                <w:rFonts w:hint="eastAsia" w:ascii="仿宋" w:hAnsi="楷体_GB2312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不能明确客观标准、涉及主观判断的，可以通过在采购人、使用人中开展问卷调查等方式，转化为客观、量化的验收标准。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邀请参加本项目的其他供应商参与验收，相关验收意见作为验收的参考资料。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1"/>
                <w:szCs w:val="22"/>
                <w:lang w:val="en-US" w:eastAsia="zh-CN" w:bidi="ar"/>
              </w:rPr>
              <w:t xml:space="preserve">是    </w:t>
            </w:r>
            <w:r>
              <w:rPr>
                <w:rFonts w:hint="eastAsia" w:ascii="仿宋" w:hAnsi="Calibri" w:eastAsia="仿宋" w:cs="仿宋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1"/>
                <w:szCs w:val="2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是否邀请第三方专业机构及专家参与验收，相关验收意见作为验收的参考资料。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1"/>
                <w:szCs w:val="22"/>
                <w:lang w:val="en-US" w:eastAsia="zh-CN" w:bidi="ar"/>
              </w:rPr>
              <w:t xml:space="preserve">是    </w:t>
            </w:r>
            <w:r>
              <w:rPr>
                <w:rFonts w:hint="eastAsia" w:ascii="仿宋" w:hAnsi="Calibri" w:eastAsia="仿宋" w:cs="仿宋"/>
                <w:kern w:val="2"/>
                <w:sz w:val="30"/>
                <w:szCs w:val="30"/>
                <w:lang w:val="en-US" w:eastAsia="zh-CN" w:bidi="ar"/>
              </w:rPr>
              <w:t>□</w:t>
            </w:r>
            <w:r>
              <w:rPr>
                <w:rFonts w:hint="eastAsia" w:ascii="仿宋" w:hAnsi="Calibri" w:eastAsia="仿宋" w:cs="仿宋"/>
                <w:kern w:val="2"/>
                <w:sz w:val="21"/>
                <w:szCs w:val="22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ind w:left="0" w:firstLine="480" w:firstLineChars="200"/>
              <w:rPr>
                <w:rFonts w:hint="eastAsia" w:ascii="仿宋" w:hAnsi="楷体_GB2312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(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</w:rPr>
              <w:t>说明：分期实施的采购项目，应当结合分期考核的情况，应在其它事项中明确分期验收要求。货物类项目可以根据需要设置出厂检验、到货检验、安装调试检验、配套服务检验等多重验收环节。工程类项目的验收方案应当符合行业管理部门规定的标准、方法和内容。履约验收方案应当在合同中约定。</w:t>
            </w:r>
            <w:r>
              <w:rPr>
                <w:rFonts w:hint="eastAsia" w:ascii="仿宋" w:hAnsi="楷体_GB2312" w:eastAsia="仿宋" w:cs="仿宋"/>
                <w:b w:val="0"/>
                <w:bCs w:val="0"/>
                <w:i/>
                <w:iCs/>
                <w:color w:val="000000"/>
                <w:sz w:val="24"/>
                <w:szCs w:val="22"/>
                <w:lang w:val="en-US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9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风险管控措施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 w:eastAsia="zh-CN" w:bidi="ar"/>
              </w:rPr>
              <w:t>（针对《广东财经大学采购管理办法》（粤财大〔2022〕99号）第三十五条规定的采购项目）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428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602" w:firstLineChars="20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30"/>
                <w:szCs w:val="30"/>
                <w:lang w:val="en-US" w:eastAsia="zh-CN" w:bidi="ar"/>
              </w:rPr>
              <w:t>研究采购过程和合同履行过程中的风险，判断风险发生的环节、可能性、影响程度和管控责任，提出有针对性的处置措施和替代方案。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不按规定签订合同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不按规定履行合同</w:t>
            </w: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8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lang w:val="en-US" w:eastAsia="zh-CN" w:bidi="ar"/>
              </w:rPr>
              <w:t>处置措施和替代方案：</w:t>
            </w:r>
          </w:p>
        </w:tc>
      </w:tr>
    </w:tbl>
    <w:p>
      <w:pPr>
        <w:pStyle w:val="7"/>
        <w:widowControl/>
        <w:rPr>
          <w:lang w:val="en-US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4E6C5"/>
    <w:multiLevelType w:val="multilevel"/>
    <w:tmpl w:val="5E24E6C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446D3"/>
    <w:rsid w:val="1F697426"/>
    <w:rsid w:val="2FC446D3"/>
    <w:rsid w:val="636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 w:val="0"/>
      <w:widowControl w:val="0"/>
      <w:suppressLineNumbers w:val="0"/>
      <w:spacing w:before="0" w:beforeAutospacing="0" w:after="0" w:afterAutospacing="0"/>
      <w:ind w:left="0" w:right="0"/>
      <w:jc w:val="both"/>
      <w:outlineLvl w:val="2"/>
    </w:pPr>
    <w:rPr>
      <w:rFonts w:hint="eastAsia" w:ascii="楷体_GB2312" w:hAnsi="楷体_GB2312" w:eastAsia="黑体" w:cs="Arial"/>
      <w:b/>
      <w:bCs/>
      <w:kern w:val="2"/>
      <w:sz w:val="32"/>
      <w:szCs w:val="22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next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Arial"/>
      <w:kern w:val="2"/>
      <w:sz w:val="21"/>
      <w:szCs w:val="22"/>
      <w:lang w:val="en-US" w:eastAsia="zh-CN" w:bidi="ar"/>
    </w:rPr>
  </w:style>
  <w:style w:type="paragraph" w:styleId="4">
    <w:name w:val="Balloon Text"/>
    <w:basedOn w:val="1"/>
    <w:qFormat/>
    <w:uiPriority w:val="0"/>
    <w:rPr>
      <w:sz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Arial"/>
      <w:kern w:val="2"/>
      <w:sz w:val="18"/>
      <w:szCs w:val="18"/>
      <w:lang w:val="en-US" w:eastAsia="zh-CN" w:bidi="ar"/>
    </w:rPr>
  </w:style>
  <w:style w:type="paragraph" w:styleId="7">
    <w:name w:val="footnote text"/>
    <w:basedOn w:val="1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Arial"/>
      <w:kern w:val="2"/>
      <w:sz w:val="18"/>
      <w:szCs w:val="18"/>
      <w:lang w:val="en-US" w:eastAsia="zh-CN" w:bidi="ar"/>
    </w:rPr>
  </w:style>
  <w:style w:type="paragraph" w:styleId="8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Arial"/>
      <w:kern w:val="0"/>
      <w:sz w:val="24"/>
      <w:szCs w:val="22"/>
      <w:lang w:val="en-US" w:eastAsia="zh-CN" w:bidi="ar"/>
    </w:r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2023-07-03T00:24:00Z</dcterms:created>
  <dc:creator>蒋桂芹</dc:creator>
  <cp:lastModifiedBy>蒋桂芹</cp:lastModifiedBy>
  <dcterms:modified xsi:type="dcterms:W3CDTF">2023-07-03T02:40:55Z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406C4D71FF32414FBBA054760E13E88E</vt:lpwstr>
  </property>
</Properties>
</file>