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广东财经大学电子采购指引（试行</w:t>
      </w:r>
      <w:bookmarkStart w:id="2" w:name="_GoBack"/>
      <w:bookmarkEnd w:id="2"/>
      <w:r>
        <w:rPr>
          <w:rFonts w:hint="eastAsia" w:ascii="方正小标宋简体" w:hAnsi="方正小标宋简体" w:eastAsia="方正小标宋简体" w:cs="方正小标宋简体"/>
          <w:b/>
          <w:bCs/>
          <w:sz w:val="44"/>
          <w:szCs w:val="4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（2022年10月）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为配套《广东财经大学采购管理办法》《广东财经大学校内分散采购实施细则》的执行，规范各电子平台采购相关工作流程及要点，特制定本指引。</w:t>
      </w:r>
    </w:p>
    <w:p>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kern w:val="0"/>
          <w:sz w:val="32"/>
          <w:szCs w:val="32"/>
          <w:lang w:val="en-US" w:eastAsia="zh-CN"/>
        </w:rPr>
        <w:t>电子采购分类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学校目前使用的电子采购平台包括广东政府采购智慧云平台电子卖场（下称电子卖场）、广东省网上中介服务超市（下称中介服务超市）、广东省教育部门零散采购竞价系统（下称零散竞价系统）以及其他学校确认可的电子平台。</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电子卖场</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30" w:leftChars="0"/>
        <w:jc w:val="left"/>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电子卖场使用范围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使用纳入学校财务管理范围内的资金，采购</w:t>
      </w:r>
      <w:r>
        <w:rPr>
          <w:rFonts w:hint="default" w:ascii="仿宋_GB2312" w:hAnsi="仿宋_GB2312" w:eastAsia="仿宋_GB2312" w:cs="仿宋_GB2312"/>
          <w:kern w:val="0"/>
          <w:sz w:val="32"/>
          <w:szCs w:val="32"/>
          <w:lang w:val="en-US" w:eastAsia="zh-CN"/>
        </w:rPr>
        <w:t>属于广东省政府集中采购目录及限额标准以内的货物、服务及工程项目，均由用户部门提出采购申请，经业务归口部门审核后报送采购与招投标中心（下称采购中心），在电子卖场执行采购。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申报说明：</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0"/>
        <w:jc w:val="left"/>
        <w:textAlignment w:val="auto"/>
        <w:rPr>
          <w:rFonts w:hint="eastAsia" w:ascii="仿宋_GB2312" w:hAnsi="仿宋_GB2312" w:eastAsia="仿宋_GB2312" w:cs="仿宋_GB2312"/>
          <w:kern w:val="0"/>
          <w:sz w:val="32"/>
          <w:szCs w:val="32"/>
          <w:lang w:val="en-US" w:eastAsia="zh-CN"/>
        </w:rPr>
      </w:pPr>
      <w:r>
        <w:rPr>
          <w:rStyle w:val="10"/>
          <w:rFonts w:hint="eastAsia" w:ascii="仿宋_GB2312" w:hAnsi="仿宋_GB2312" w:eastAsia="仿宋_GB2312" w:cs="仿宋_GB2312"/>
          <w:color w:val="auto"/>
          <w:sz w:val="32"/>
          <w:szCs w:val="32"/>
          <w:lang w:val="en-US" w:eastAsia="zh-CN"/>
        </w:rPr>
        <w:t>单项或批量预算金额不超过10万元的政府集中采购品目内货物、服务项目，各用户部门按照后勤处每学期发布的相关申报通知，通过学校资产配置平台进行申报。</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0"/>
        <w:jc w:val="left"/>
        <w:textAlignment w:val="auto"/>
        <w:rPr>
          <w:rFonts w:hint="eastAsia" w:ascii="仿宋_GB2312" w:hAnsi="仿宋_GB2312" w:eastAsia="仿宋_GB2312" w:cs="仿宋_GB2312"/>
          <w:kern w:val="0"/>
          <w:sz w:val="32"/>
          <w:szCs w:val="32"/>
          <w:lang w:val="en-US" w:eastAsia="zh-CN"/>
        </w:rPr>
      </w:pPr>
      <w:r>
        <w:rPr>
          <w:rStyle w:val="10"/>
          <w:rFonts w:hint="eastAsia" w:ascii="仿宋_GB2312" w:hAnsi="仿宋_GB2312" w:eastAsia="仿宋_GB2312" w:cs="仿宋_GB2312"/>
          <w:color w:val="auto"/>
          <w:sz w:val="32"/>
          <w:szCs w:val="32"/>
          <w:lang w:val="en-US" w:eastAsia="zh-CN"/>
        </w:rPr>
        <w:t>装修修缮工程项目按照各归口部门发布的申报通知由用户部门向业务归口部门（</w:t>
      </w:r>
      <w:r>
        <w:rPr>
          <w:rFonts w:hint="eastAsia" w:ascii="仿宋_GB2312" w:hAnsi="仿宋_GB2312" w:eastAsia="仿宋_GB2312" w:cs="仿宋_GB2312"/>
          <w:kern w:val="0"/>
          <w:sz w:val="32"/>
          <w:szCs w:val="32"/>
          <w:lang w:val="en-US" w:eastAsia="zh-CN"/>
        </w:rPr>
        <w:t>后勤处、佛山校区管理委员会、基建处</w:t>
      </w:r>
      <w:r>
        <w:rPr>
          <w:rStyle w:val="10"/>
          <w:rFonts w:hint="eastAsia" w:ascii="仿宋_GB2312" w:hAnsi="仿宋_GB2312" w:eastAsia="仿宋_GB2312" w:cs="仿宋_GB2312"/>
          <w:color w:val="auto"/>
          <w:sz w:val="32"/>
          <w:szCs w:val="32"/>
          <w:lang w:val="en-US" w:eastAsia="zh-CN"/>
        </w:rPr>
        <w:t>）申报</w:t>
      </w:r>
      <w:r>
        <w:rPr>
          <w:rFonts w:hint="eastAsia" w:ascii="仿宋_GB2312" w:hAnsi="仿宋_GB2312" w:eastAsia="仿宋_GB2312" w:cs="仿宋_GB2312"/>
          <w:kern w:val="0"/>
          <w:sz w:val="32"/>
          <w:szCs w:val="32"/>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现行广东省政府集中采购目录范围如下：</w:t>
      </w:r>
    </w:p>
    <w:tbl>
      <w:tblPr>
        <w:tblStyle w:val="6"/>
        <w:tblW w:w="8159"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Layout w:type="autofit"/>
        <w:tblCellMar>
          <w:top w:w="15" w:type="dxa"/>
          <w:left w:w="15" w:type="dxa"/>
          <w:bottom w:w="15" w:type="dxa"/>
          <w:right w:w="15" w:type="dxa"/>
        </w:tblCellMar>
      </w:tblPr>
      <w:tblGrid>
        <w:gridCol w:w="974"/>
        <w:gridCol w:w="2000"/>
        <w:gridCol w:w="1460"/>
        <w:gridCol w:w="372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single" w:color="000000" w:sz="4" w:space="0"/>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Style w:val="9"/>
                <w:rFonts w:ascii="仿宋_GB2312" w:hAnsi="宋体" w:eastAsia="仿宋_GB2312" w:cs="仿宋_GB2312"/>
                <w:i w:val="0"/>
                <w:iCs w:val="0"/>
                <w:caps w:val="0"/>
                <w:color w:val="333333"/>
                <w:spacing w:val="0"/>
                <w:sz w:val="21"/>
                <w:szCs w:val="21"/>
              </w:rPr>
              <w:t>序号</w:t>
            </w:r>
          </w:p>
        </w:tc>
        <w:tc>
          <w:tcPr>
            <w:tcW w:w="2000" w:type="dxa"/>
            <w:tcBorders>
              <w:top w:val="single" w:color="000000" w:sz="4" w:space="0"/>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Style w:val="9"/>
                <w:rFonts w:hint="eastAsia" w:ascii="仿宋_GB2312" w:hAnsi="宋体" w:eastAsia="仿宋_GB2312" w:cs="仿宋_GB2312"/>
                <w:i w:val="0"/>
                <w:iCs w:val="0"/>
                <w:caps w:val="0"/>
                <w:color w:val="333333"/>
                <w:spacing w:val="0"/>
                <w:sz w:val="21"/>
                <w:szCs w:val="21"/>
              </w:rPr>
              <w:t>品目</w:t>
            </w:r>
          </w:p>
        </w:tc>
        <w:tc>
          <w:tcPr>
            <w:tcW w:w="1460" w:type="dxa"/>
            <w:tcBorders>
              <w:top w:val="single" w:color="000000" w:sz="4" w:space="0"/>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Style w:val="9"/>
                <w:rFonts w:hint="eastAsia" w:ascii="仿宋_GB2312" w:hAnsi="宋体" w:eastAsia="仿宋_GB2312" w:cs="仿宋_GB2312"/>
                <w:i w:val="0"/>
                <w:iCs w:val="0"/>
                <w:caps w:val="0"/>
                <w:color w:val="333333"/>
                <w:spacing w:val="0"/>
                <w:sz w:val="21"/>
                <w:szCs w:val="21"/>
              </w:rPr>
              <w:t>编码</w:t>
            </w:r>
          </w:p>
        </w:tc>
        <w:tc>
          <w:tcPr>
            <w:tcW w:w="3725" w:type="dxa"/>
            <w:tcBorders>
              <w:top w:val="single" w:color="000000" w:sz="4" w:space="0"/>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Style w:val="9"/>
                <w:rFonts w:hint="eastAsia" w:ascii="仿宋_GB2312" w:hAnsi="宋体" w:eastAsia="仿宋_GB2312" w:cs="仿宋_GB2312"/>
                <w:i w:val="0"/>
                <w:iCs w:val="0"/>
                <w:caps w:val="0"/>
                <w:color w:val="333333"/>
                <w:spacing w:val="0"/>
                <w:sz w:val="21"/>
                <w:szCs w:val="21"/>
              </w:rPr>
              <w:t>说明</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服务器</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A02010103</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台式计算机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A02010104</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3</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便携式计算机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A02010105</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4</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喷墨打印机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A0201060101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5</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激光打印机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A0201060102</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6</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针式打印机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A0201060104</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7</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液晶显示器</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A0201060401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8</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扫描仪</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A0201060901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9</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基础软件</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A02010801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top"/>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指非定制的通用商业软件。包括操作系统、数据库管理系统、中间件、办公套件等</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10</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信息安全软件</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A02010805</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top"/>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指非定制的通用商业软件。包括基础和平台类安全软件、数据安全软件、网络与边界安全软件、安全测试评估软件、安全应用软件、安全支撑软件、安全管理软件等</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11</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复印机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不包括印刷机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12</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投影仪</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A020202</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用于测量、测绘等专用投影仪除外</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13</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多功能一体机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A020204</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14</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LED显示屏</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A020207</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15</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触控一体机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A020208</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16</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碎纸机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A02021101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17</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乘用车</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A020305</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top"/>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指轿车、越野车、商务车、皮卡，包含新能源汽车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18</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客车</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A020306</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top"/>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指小型、大中型客车，包含新能源汽车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19</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电梯</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A02051228</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top"/>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20</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不间断电源（UPS）</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A02061504</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21</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空调机</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A0206180203</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不包括中央空调、多联式空调、精密空调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22</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视频会议系统设备</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A020808</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23</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办公家具</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A06</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指木制或木制为主、钢制或钢制为主、铝制或铝制为主的办公家具</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24</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复印纸</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A090101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25</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装修工程</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B07</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指与建筑物、构筑物新建、改建、扩建无关的单独的装修工程</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26</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修缮工程</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B08</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指与建筑物、构筑物新建、改建、扩建无关的单独的修缮工程</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27</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互联网接入服务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C030102</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28</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法律服务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C0801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29</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审计服务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C0803</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30</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资产及其他评估服务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C0805</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rPr>
                <w:rFonts w:hint="eastAsia" w:ascii="宋体" w:hAnsi="宋体" w:eastAsia="宋体" w:cs="宋体"/>
                <w:i w:val="0"/>
                <w:iCs w:val="0"/>
                <w:caps w:val="0"/>
                <w:color w:val="333333"/>
                <w:spacing w:val="0"/>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31</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印刷服务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C081401</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指本单位文印部门不能承担的票据、证书、期刊、文件、公文用纸、资料汇编、信封等印刷业务（不包括出版服务）</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CCE8CF" w:themeFill="background1"/>
          <w:tblCellMar>
            <w:top w:w="15" w:type="dxa"/>
            <w:left w:w="15" w:type="dxa"/>
            <w:bottom w:w="15" w:type="dxa"/>
            <w:right w:w="15" w:type="dxa"/>
          </w:tblCellMar>
        </w:tblPrEx>
        <w:trPr>
          <w:trHeight w:val="90" w:hRule="atLeast"/>
          <w:tblHeader/>
        </w:trPr>
        <w:tc>
          <w:tcPr>
            <w:tcW w:w="974" w:type="dxa"/>
            <w:tcBorders>
              <w:top w:val="nil"/>
              <w:left w:val="single" w:color="000000" w:sz="4" w:space="0"/>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32</w:t>
            </w:r>
          </w:p>
        </w:tc>
        <w:tc>
          <w:tcPr>
            <w:tcW w:w="200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物业管理服务</w:t>
            </w:r>
          </w:p>
        </w:tc>
        <w:tc>
          <w:tcPr>
            <w:tcW w:w="1460"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center"/>
              <w:rPr>
                <w:sz w:val="21"/>
                <w:szCs w:val="21"/>
              </w:rPr>
            </w:pPr>
            <w:r>
              <w:rPr>
                <w:rFonts w:hint="eastAsia" w:ascii="仿宋_GB2312" w:hAnsi="宋体" w:eastAsia="仿宋_GB2312" w:cs="仿宋_GB2312"/>
                <w:i w:val="0"/>
                <w:iCs w:val="0"/>
                <w:caps w:val="0"/>
                <w:color w:val="333333"/>
                <w:spacing w:val="0"/>
                <w:sz w:val="21"/>
                <w:szCs w:val="21"/>
              </w:rPr>
              <w:t>C1204</w:t>
            </w:r>
          </w:p>
        </w:tc>
        <w:tc>
          <w:tcPr>
            <w:tcW w:w="3725" w:type="dxa"/>
            <w:tcBorders>
              <w:top w:val="nil"/>
              <w:left w:val="nil"/>
              <w:bottom w:val="single" w:color="000000" w:sz="4" w:space="0"/>
              <w:right w:val="single" w:color="000000" w:sz="4" w:space="0"/>
            </w:tcBorders>
            <w:shd w:val="clear" w:color="auto" w:fill="CCE8CF" w:themeFill="background1"/>
            <w:tcMar>
              <w:top w:w="50" w:type="dxa"/>
              <w:left w:w="100" w:type="dxa"/>
              <w:bottom w:w="50" w:type="dxa"/>
              <w:right w:w="100" w:type="dxa"/>
            </w:tcMar>
            <w:vAlign w:val="center"/>
          </w:tcPr>
          <w:p>
            <w:pPr>
              <w:pStyle w:val="5"/>
              <w:keepNext w:val="0"/>
              <w:keepLines w:val="0"/>
              <w:widowControl/>
              <w:suppressLineNumbers w:val="0"/>
              <w:wordWrap w:val="0"/>
              <w:spacing w:line="200" w:lineRule="atLeast"/>
              <w:jc w:val="left"/>
              <w:rPr>
                <w:sz w:val="21"/>
                <w:szCs w:val="21"/>
              </w:rPr>
            </w:pPr>
            <w:r>
              <w:rPr>
                <w:rFonts w:hint="eastAsia" w:ascii="仿宋_GB2312" w:hAnsi="宋体" w:eastAsia="仿宋_GB2312" w:cs="仿宋_GB2312"/>
                <w:i w:val="0"/>
                <w:iCs w:val="0"/>
                <w:caps w:val="0"/>
                <w:color w:val="333333"/>
                <w:spacing w:val="0"/>
                <w:sz w:val="21"/>
                <w:szCs w:val="21"/>
              </w:rPr>
              <w:t>指本单位不能承担的办公场所水电供应、设备运行、门窗保养维护、保洁、保安、绿化养护的物业管理及服务（单独实施的保安服务项目除外）</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楷体" w:hAnsi="楷体" w:eastAsia="楷体" w:cs="楷体"/>
          <w:kern w:val="0"/>
          <w:sz w:val="24"/>
          <w:szCs w:val="24"/>
          <w:shd w:val="clear" w:color="auto" w:fill="FFFFFF"/>
        </w:rPr>
      </w:pPr>
      <w:r>
        <w:rPr>
          <w:rFonts w:hint="eastAsia" w:ascii="楷体" w:hAnsi="楷体" w:eastAsia="楷体" w:cs="楷体"/>
          <w:kern w:val="0"/>
          <w:sz w:val="24"/>
          <w:szCs w:val="24"/>
          <w:shd w:val="clear" w:color="auto" w:fill="FFFFFF"/>
        </w:rPr>
        <w:t>注：1.表中所列项目根据财政部《政府采购品目分类目录》（财库〔2013〕189号）制定，除</w:t>
      </w:r>
      <w:r>
        <w:rPr>
          <w:rFonts w:hint="eastAsia" w:ascii="楷体" w:hAnsi="楷体" w:eastAsia="楷体" w:cs="楷体"/>
          <w:kern w:val="0"/>
          <w:sz w:val="24"/>
          <w:szCs w:val="24"/>
          <w:shd w:val="clear" w:color="auto" w:fill="FFFFFF"/>
          <w:lang w:val="en-US" w:eastAsia="zh-CN"/>
        </w:rPr>
        <w:t>广东省</w:t>
      </w:r>
      <w:r>
        <w:rPr>
          <w:rFonts w:hint="eastAsia" w:ascii="楷体" w:hAnsi="楷体" w:eastAsia="楷体" w:cs="楷体"/>
          <w:kern w:val="0"/>
          <w:sz w:val="24"/>
          <w:szCs w:val="24"/>
          <w:shd w:val="clear" w:color="auto" w:fill="FFFFFF"/>
        </w:rPr>
        <w:t>另有补充说明外，各品目具体内容按照财政部《政府采购品目分类目录》（财库〔2013〕189号）对应内容解释确定。</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楷体" w:hAnsi="楷体" w:eastAsia="楷体" w:cs="楷体"/>
          <w:kern w:val="0"/>
          <w:sz w:val="24"/>
          <w:szCs w:val="24"/>
          <w:shd w:val="clear" w:color="auto" w:fill="FFFFFF"/>
        </w:rPr>
      </w:pPr>
      <w:r>
        <w:rPr>
          <w:rFonts w:hint="eastAsia" w:ascii="楷体" w:hAnsi="楷体" w:eastAsia="楷体" w:cs="楷体"/>
          <w:kern w:val="0"/>
          <w:sz w:val="24"/>
          <w:szCs w:val="24"/>
          <w:shd w:val="clear" w:color="auto" w:fill="FFFFFF"/>
        </w:rPr>
        <w:t>表中所列项目不包括部门集中采购项目和高校、科研机构所采购的科研仪器设备。</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30" w:leftChars="0"/>
        <w:jc w:val="left"/>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电子卖场采购方式</w:t>
      </w:r>
    </w:p>
    <w:p>
      <w:pPr>
        <w:widowControl/>
        <w:spacing w:line="560" w:lineRule="exact"/>
        <w:ind w:firstLine="640" w:firstLineChars="200"/>
        <w:jc w:val="left"/>
        <w:rPr>
          <w:rStyle w:val="10"/>
          <w:rFonts w:hint="eastAsia" w:ascii="仿宋_GB2312" w:hAnsi="仿宋_GB2312" w:eastAsia="仿宋_GB2312" w:cs="仿宋_GB2312"/>
          <w:color w:val="auto"/>
          <w:sz w:val="32"/>
          <w:szCs w:val="32"/>
          <w:lang w:val="en-US" w:eastAsia="zh-CN"/>
        </w:rPr>
      </w:pPr>
      <w:r>
        <w:rPr>
          <w:rStyle w:val="10"/>
          <w:rFonts w:hint="eastAsia" w:ascii="仿宋_GB2312" w:hAnsi="仿宋_GB2312" w:eastAsia="仿宋_GB2312" w:cs="仿宋_GB2312"/>
          <w:color w:val="auto"/>
          <w:sz w:val="32"/>
          <w:szCs w:val="32"/>
        </w:rPr>
        <w:t>电子卖场采购方式包括直接订购、电子反拍、网上竞价、定点议价、定点竞价采购等。</w:t>
      </w:r>
      <w:r>
        <w:rPr>
          <w:rStyle w:val="10"/>
          <w:rFonts w:hint="eastAsia" w:ascii="仿宋_GB2312" w:hAnsi="仿宋_GB2312" w:eastAsia="仿宋_GB2312" w:cs="仿宋_GB2312"/>
          <w:color w:val="auto"/>
          <w:sz w:val="32"/>
          <w:szCs w:val="32"/>
          <w:lang w:val="en-US" w:eastAsia="zh-CN"/>
        </w:rPr>
        <w:t>其中</w:t>
      </w:r>
      <w:r>
        <w:rPr>
          <w:rStyle w:val="10"/>
          <w:rFonts w:hint="eastAsia" w:ascii="仿宋_GB2312" w:hAnsi="仿宋_GB2312" w:eastAsia="仿宋_GB2312" w:cs="仿宋_GB2312"/>
          <w:color w:val="auto"/>
          <w:sz w:val="32"/>
          <w:szCs w:val="32"/>
        </w:rPr>
        <w:t>直接订购、电子反拍、网上竞价</w:t>
      </w:r>
      <w:r>
        <w:rPr>
          <w:rStyle w:val="10"/>
          <w:rFonts w:hint="eastAsia" w:ascii="仿宋_GB2312" w:hAnsi="仿宋_GB2312" w:eastAsia="仿宋_GB2312" w:cs="仿宋_GB2312"/>
          <w:color w:val="auto"/>
          <w:sz w:val="32"/>
          <w:szCs w:val="32"/>
          <w:lang w:val="en-US" w:eastAsia="zh-CN"/>
        </w:rPr>
        <w:t>在电子卖场集采商城执行，定点议价及定点竞价在电子卖场定点集市执行。</w:t>
      </w:r>
    </w:p>
    <w:p>
      <w:pPr>
        <w:widowControl/>
        <w:numPr>
          <w:ilvl w:val="0"/>
          <w:numId w:val="5"/>
        </w:numPr>
        <w:spacing w:line="560" w:lineRule="exact"/>
        <w:ind w:left="0" w:leftChars="0" w:firstLine="400" w:firstLineChars="0"/>
        <w:jc w:val="left"/>
        <w:rPr>
          <w:rStyle w:val="10"/>
          <w:rFonts w:hint="eastAsia" w:ascii="仿宋_GB2312" w:hAnsi="仿宋_GB2312" w:eastAsia="仿宋_GB2312" w:cs="仿宋_GB2312"/>
          <w:color w:val="auto"/>
          <w:sz w:val="32"/>
          <w:szCs w:val="32"/>
          <w:lang w:val="en-US" w:eastAsia="zh-CN"/>
        </w:rPr>
      </w:pPr>
      <w:r>
        <w:rPr>
          <w:rStyle w:val="10"/>
          <w:rFonts w:hint="eastAsia" w:ascii="仿宋_GB2312" w:hAnsi="仿宋_GB2312" w:eastAsia="仿宋_GB2312" w:cs="仿宋_GB2312"/>
          <w:color w:val="auto"/>
          <w:sz w:val="32"/>
          <w:szCs w:val="32"/>
          <w:lang w:val="en-US" w:eastAsia="zh-CN"/>
        </w:rPr>
        <w:t>集中采购品目具体执行分类：</w:t>
      </w:r>
    </w:p>
    <w:tbl>
      <w:tblPr>
        <w:tblStyle w:val="6"/>
        <w:tblpPr w:leftFromText="180" w:rightFromText="180" w:vertAnchor="text" w:horzAnchor="page" w:tblpX="1831" w:tblpY="87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8"/>
        <w:gridCol w:w="2515"/>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trPr>
        <w:tc>
          <w:tcPr>
            <w:tcW w:w="1413" w:type="pct"/>
            <w:vAlign w:val="center"/>
          </w:tcPr>
          <w:p>
            <w:pPr>
              <w:jc w:val="center"/>
              <w:rPr>
                <w:rFonts w:ascii="宋体"/>
                <w:b/>
                <w:bCs/>
                <w:sz w:val="28"/>
                <w:szCs w:val="28"/>
              </w:rPr>
            </w:pPr>
            <w:r>
              <w:rPr>
                <w:rFonts w:hint="eastAsia" w:ascii="宋体" w:hAnsi="宋体"/>
                <w:b/>
                <w:bCs/>
                <w:sz w:val="28"/>
                <w:szCs w:val="28"/>
              </w:rPr>
              <w:t>品目</w:t>
            </w:r>
          </w:p>
        </w:tc>
        <w:tc>
          <w:tcPr>
            <w:tcW w:w="1475" w:type="pct"/>
            <w:vAlign w:val="center"/>
          </w:tcPr>
          <w:p>
            <w:pPr>
              <w:jc w:val="center"/>
              <w:rPr>
                <w:rFonts w:ascii="宋体"/>
                <w:b/>
                <w:bCs/>
                <w:sz w:val="28"/>
                <w:szCs w:val="28"/>
              </w:rPr>
            </w:pPr>
            <w:r>
              <w:rPr>
                <w:rFonts w:hint="eastAsia" w:ascii="宋体" w:hAnsi="宋体"/>
                <w:b/>
                <w:bCs/>
                <w:sz w:val="28"/>
                <w:szCs w:val="28"/>
              </w:rPr>
              <w:t>执行模式</w:t>
            </w:r>
          </w:p>
        </w:tc>
        <w:tc>
          <w:tcPr>
            <w:tcW w:w="2111" w:type="pct"/>
            <w:vAlign w:val="center"/>
          </w:tcPr>
          <w:p>
            <w:pPr>
              <w:jc w:val="center"/>
              <w:rPr>
                <w:rFonts w:ascii="宋体"/>
                <w:b/>
                <w:bCs/>
                <w:sz w:val="28"/>
                <w:szCs w:val="28"/>
              </w:rPr>
            </w:pPr>
            <w:r>
              <w:rPr>
                <w:rFonts w:ascii="宋体"/>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413" w:type="pct"/>
            <w:vMerge w:val="restar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台式计算机、便携式计算机、空调机</w:t>
            </w: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集采商城（批量集采）</w:t>
            </w:r>
          </w:p>
        </w:tc>
        <w:tc>
          <w:tcPr>
            <w:tcW w:w="2111" w:type="pct"/>
            <w:vMerge w:val="restar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在能够满足办公需求的前提下，应当通过批量集采组织实施，确有特殊要求或者紧急采购需要的，请申报部门按照集采商城采购要求进行填报《非批量集中采购台式电脑、便携式电脑、空调机申请表》（见附件）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413" w:type="pct"/>
            <w:vMerge w:val="continue"/>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集采商城</w:t>
            </w:r>
          </w:p>
        </w:tc>
        <w:tc>
          <w:tcPr>
            <w:tcW w:w="2111" w:type="pct"/>
            <w:vMerge w:val="continue"/>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atLeast"/>
        </w:trPr>
        <w:tc>
          <w:tcPr>
            <w:tcW w:w="1413" w:type="pc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服务器、打印机、液晶显示器、扫描仪、基础软件、信息安全软件、复印机、投影仪、多功能一体机、触控一体机、碎纸机、不间断电源（UPS）、乘用车、客车、复印纸</w:t>
            </w: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集采商城</w:t>
            </w:r>
          </w:p>
        </w:tc>
        <w:tc>
          <w:tcPr>
            <w:tcW w:w="2111" w:type="pct"/>
            <w:vMerge w:val="restart"/>
            <w:vAlign w:val="center"/>
          </w:tcPr>
          <w:p>
            <w:pPr>
              <w:spacing w:line="300" w:lineRule="exact"/>
              <w:jc w:val="left"/>
              <w:rPr>
                <w:rFonts w:hint="default"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集采商城内产品是无须定制生产的定型产品。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413" w:type="pct"/>
            <w:vMerge w:val="restar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视频会议系统设备、电梯、办公家具、LED显示屏</w:t>
            </w: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集采商城</w:t>
            </w:r>
          </w:p>
        </w:tc>
        <w:tc>
          <w:tcPr>
            <w:tcW w:w="2111" w:type="pct"/>
            <w:vMerge w:val="continue"/>
            <w:vAlign w:val="center"/>
          </w:tcPr>
          <w:p>
            <w:pPr>
              <w:spacing w:line="300" w:lineRule="exact"/>
              <w:rPr>
                <w:rFonts w:hint="eastAsia" w:ascii="仿宋_GB2312" w:hAnsi="宋体" w:eastAsia="仿宋_GB2312" w:cs="仿宋_GB2312"/>
                <w:i w:val="0"/>
                <w:iCs w:val="0"/>
                <w:caps w:val="0"/>
                <w:color w:val="333333"/>
                <w:spacing w:val="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413" w:type="pct"/>
            <w:vMerge w:val="continue"/>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定点集市</w:t>
            </w:r>
          </w:p>
        </w:tc>
        <w:tc>
          <w:tcPr>
            <w:tcW w:w="2111" w:type="pct"/>
            <w:vAlign w:val="center"/>
          </w:tcPr>
          <w:p>
            <w:pPr>
              <w:spacing w:line="300" w:lineRule="exac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项目预算金额20万以下，可采用定点议价或定点竞价方式采购；20万以上，采用定点竞价方式采购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1413" w:type="pc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印刷服务</w:t>
            </w: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定点集市</w:t>
            </w:r>
          </w:p>
        </w:tc>
        <w:tc>
          <w:tcPr>
            <w:tcW w:w="2111" w:type="pc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项目预算金额5万以下，可采用定点议价或定点竞价方式采购；5万以上，采用定点竞价方式采购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1413" w:type="pc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互联网接入服务、法律服务、审计服务、资产及其他评估服务、物业管理服务、修缮工程、装修工程</w:t>
            </w:r>
          </w:p>
        </w:tc>
        <w:tc>
          <w:tcPr>
            <w:tcW w:w="1475" w:type="pct"/>
            <w:vAlign w:val="center"/>
          </w:tcPr>
          <w:p>
            <w:pPr>
              <w:spacing w:line="300" w:lineRule="exact"/>
              <w:jc w:val="center"/>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定点集市</w:t>
            </w:r>
          </w:p>
        </w:tc>
        <w:tc>
          <w:tcPr>
            <w:tcW w:w="2111" w:type="pct"/>
            <w:vAlign w:val="center"/>
          </w:tcPr>
          <w:p>
            <w:pPr>
              <w:spacing w:line="300" w:lineRule="exact"/>
              <w:jc w:val="left"/>
              <w:rPr>
                <w:rFonts w:hint="eastAsia" w:ascii="仿宋_GB2312" w:hAnsi="宋体" w:eastAsia="仿宋_GB2312" w:cs="仿宋_GB2312"/>
                <w:i w:val="0"/>
                <w:iCs w:val="0"/>
                <w:caps w:val="0"/>
                <w:color w:val="333333"/>
                <w:spacing w:val="0"/>
                <w:kern w:val="0"/>
                <w:sz w:val="21"/>
                <w:szCs w:val="21"/>
                <w:lang w:val="en-US" w:eastAsia="zh-CN" w:bidi="ar"/>
              </w:rPr>
            </w:pPr>
            <w:r>
              <w:rPr>
                <w:rFonts w:hint="eastAsia" w:ascii="仿宋_GB2312" w:hAnsi="宋体" w:eastAsia="仿宋_GB2312" w:cs="仿宋_GB2312"/>
                <w:i w:val="0"/>
                <w:iCs w:val="0"/>
                <w:caps w:val="0"/>
                <w:color w:val="333333"/>
                <w:spacing w:val="0"/>
                <w:kern w:val="0"/>
                <w:sz w:val="21"/>
                <w:szCs w:val="21"/>
                <w:lang w:val="en-US" w:eastAsia="zh-CN" w:bidi="ar"/>
              </w:rPr>
              <w:t>项目预算金额20万以下，可采用定点议价或定点竞价方式采购；20万以上，采用定点竞价方式采购</w:t>
            </w:r>
          </w:p>
        </w:tc>
      </w:tr>
    </w:tbl>
    <w:p>
      <w:pPr>
        <w:widowControl/>
        <w:numPr>
          <w:ilvl w:val="0"/>
          <w:numId w:val="5"/>
        </w:numPr>
        <w:spacing w:line="560" w:lineRule="exact"/>
        <w:ind w:left="0" w:leftChars="0" w:firstLine="640" w:firstLineChars="0"/>
        <w:jc w:val="left"/>
        <w:rPr>
          <w:rStyle w:val="10"/>
          <w:rFonts w:hint="eastAsia" w:ascii="仿宋_GB2312" w:hAnsi="仿宋_GB2312" w:eastAsia="仿宋_GB2312" w:cs="仿宋_GB2312"/>
          <w:color w:val="auto"/>
          <w:sz w:val="32"/>
          <w:szCs w:val="32"/>
          <w:lang w:val="en-US" w:eastAsia="zh-CN"/>
        </w:rPr>
      </w:pPr>
      <w:r>
        <w:rPr>
          <w:rStyle w:val="10"/>
          <w:rFonts w:hint="eastAsia" w:ascii="仿宋_GB2312" w:hAnsi="仿宋_GB2312" w:eastAsia="仿宋_GB2312" w:cs="仿宋_GB2312"/>
          <w:color w:val="auto"/>
          <w:sz w:val="32"/>
          <w:szCs w:val="32"/>
          <w:lang w:val="en-US" w:eastAsia="zh-CN"/>
        </w:rPr>
        <w:t>电子卖场采购方式介绍：</w:t>
      </w:r>
    </w:p>
    <w:p>
      <w:pPr>
        <w:widowControl/>
        <w:numPr>
          <w:ilvl w:val="0"/>
          <w:numId w:val="6"/>
        </w:numPr>
        <w:spacing w:line="560" w:lineRule="exact"/>
        <w:ind w:left="-5" w:leftChars="0" w:firstLine="645" w:firstLineChars="0"/>
        <w:jc w:val="left"/>
        <w:rPr>
          <w:rStyle w:val="10"/>
          <w:rFonts w:hint="eastAsia" w:ascii="仿宋_GB2312" w:hAnsi="仿宋_GB2312" w:eastAsia="仿宋_GB2312" w:cs="仿宋_GB2312"/>
          <w:color w:val="auto"/>
          <w:sz w:val="32"/>
          <w:szCs w:val="32"/>
          <w:lang w:val="en-US" w:eastAsia="zh-CN"/>
        </w:rPr>
      </w:pPr>
      <w:r>
        <w:rPr>
          <w:rStyle w:val="10"/>
          <w:rFonts w:hint="eastAsia" w:ascii="仿宋_GB2312" w:hAnsi="仿宋_GB2312" w:eastAsia="仿宋_GB2312" w:cs="仿宋_GB2312"/>
          <w:color w:val="auto"/>
          <w:sz w:val="32"/>
          <w:szCs w:val="32"/>
          <w:lang w:val="en-US" w:eastAsia="zh-CN"/>
        </w:rPr>
        <w:t>集采商城执行包括：</w:t>
      </w:r>
    </w:p>
    <w:p>
      <w:pPr>
        <w:widowControl/>
        <w:numPr>
          <w:ilvl w:val="0"/>
          <w:numId w:val="7"/>
        </w:numPr>
        <w:spacing w:line="560" w:lineRule="exact"/>
        <w:ind w:left="-5" w:leftChars="0" w:firstLine="645" w:firstLineChars="0"/>
        <w:jc w:val="left"/>
        <w:rPr>
          <w:rStyle w:val="10"/>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直接订购：是指采购人直接选择电子卖场上架的商品，供应商确认订单并供货的交易方式。直接订购包括批量集采及非批量集采方式。</w:t>
      </w:r>
    </w:p>
    <w:p>
      <w:pPr>
        <w:widowControl/>
        <w:numPr>
          <w:ilvl w:val="0"/>
          <w:numId w:val="7"/>
        </w:numPr>
        <w:spacing w:line="560" w:lineRule="exact"/>
        <w:ind w:left="-5" w:leftChars="0" w:firstLine="645" w:firstLineChars="0"/>
        <w:jc w:val="left"/>
        <w:rPr>
          <w:rStyle w:val="10"/>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电子反拍：是指采购人直接选择在电子卖场上架的商品，发布电子反拍公告，符合公告内容的供应商自愿参与报价，在规定的时间内，按照报价最低原则成交的交易方式。</w:t>
      </w:r>
    </w:p>
    <w:p>
      <w:pPr>
        <w:widowControl/>
        <w:numPr>
          <w:ilvl w:val="0"/>
          <w:numId w:val="7"/>
        </w:numPr>
        <w:spacing w:line="560" w:lineRule="exact"/>
        <w:ind w:left="-5" w:leftChars="0" w:firstLine="645" w:firstLineChars="0"/>
        <w:jc w:val="left"/>
        <w:rPr>
          <w:rStyle w:val="10"/>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网上竞价：是指采购人拟定采购需求，发布网上竞价公告，符合公告内容的供应商自愿参与报价，在规定的时间内，按照实质响应采购需求且报价最低原则成交的交易方式。</w:t>
      </w:r>
    </w:p>
    <w:p>
      <w:pPr>
        <w:widowControl/>
        <w:numPr>
          <w:ilvl w:val="0"/>
          <w:numId w:val="6"/>
        </w:numPr>
        <w:spacing w:line="560" w:lineRule="exact"/>
        <w:ind w:left="-5" w:leftChars="0" w:firstLine="645" w:firstLineChars="0"/>
        <w:jc w:val="left"/>
        <w:rPr>
          <w:rStyle w:val="10"/>
          <w:rFonts w:hint="default" w:ascii="仿宋_GB2312" w:hAnsi="仿宋_GB2312" w:eastAsia="仿宋_GB2312" w:cs="仿宋_GB2312"/>
          <w:color w:val="auto"/>
          <w:sz w:val="32"/>
          <w:szCs w:val="32"/>
          <w:lang w:val="en-US"/>
        </w:rPr>
      </w:pPr>
      <w:r>
        <w:rPr>
          <w:rStyle w:val="10"/>
          <w:rFonts w:hint="eastAsia" w:ascii="仿宋_GB2312" w:hAnsi="仿宋_GB2312" w:eastAsia="仿宋_GB2312" w:cs="仿宋_GB2312"/>
          <w:color w:val="auto"/>
          <w:sz w:val="32"/>
          <w:szCs w:val="32"/>
          <w:lang w:val="en-US" w:eastAsia="zh-CN"/>
        </w:rPr>
        <w:t>定点集市执行包括：</w:t>
      </w:r>
    </w:p>
    <w:p>
      <w:pPr>
        <w:widowControl/>
        <w:numPr>
          <w:ilvl w:val="0"/>
          <w:numId w:val="8"/>
        </w:numPr>
        <w:spacing w:line="560" w:lineRule="exact"/>
        <w:ind w:left="-5" w:leftChars="0" w:firstLine="645" w:firstLineChars="0"/>
        <w:jc w:val="left"/>
        <w:rPr>
          <w:rStyle w:val="10"/>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定点议价：是指采购人拟定采购需求，直接选择一家供应商进行协商议价，根据供应商报价响应情况确定成交的交易方式。</w:t>
      </w:r>
    </w:p>
    <w:p>
      <w:pPr>
        <w:widowControl/>
        <w:numPr>
          <w:ilvl w:val="0"/>
          <w:numId w:val="8"/>
        </w:numPr>
        <w:spacing w:line="560" w:lineRule="exact"/>
        <w:ind w:left="-5" w:leftChars="0" w:firstLine="645" w:firstLineChars="0"/>
        <w:jc w:val="left"/>
        <w:rPr>
          <w:rStyle w:val="10"/>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定点竞价：是指采购人拟定采购需求，发布定点竞价公告，符合公告内容的不少于3家供应商自愿参与报价，在规定的时间内，按照实质响应采购需求且报价最低原则成交的交易方式。采购人可以采取随机抽取、公开邀请、直接邀请加随机抽取3种方式，从定点供应商库中选择或抽取不少于3家定点供应商参与竞价。</w:t>
      </w:r>
    </w:p>
    <w:p>
      <w:pPr>
        <w:widowControl/>
        <w:numPr>
          <w:ilvl w:val="0"/>
          <w:numId w:val="5"/>
        </w:numPr>
        <w:spacing w:line="560" w:lineRule="exact"/>
        <w:ind w:left="-5" w:leftChars="0" w:firstLine="645" w:firstLineChars="0"/>
        <w:jc w:val="left"/>
        <w:rPr>
          <w:rStyle w:val="10"/>
          <w:rFonts w:hint="eastAsia" w:ascii="仿宋_GB2312" w:hAnsi="仿宋_GB2312" w:eastAsia="仿宋_GB2312" w:cs="仿宋_GB2312"/>
          <w:color w:val="auto"/>
          <w:sz w:val="32"/>
          <w:szCs w:val="32"/>
          <w:lang w:val="en-US" w:eastAsia="zh-CN"/>
        </w:rPr>
      </w:pPr>
      <w:r>
        <w:rPr>
          <w:rStyle w:val="10"/>
          <w:rFonts w:hint="eastAsia" w:ascii="仿宋_GB2312" w:hAnsi="仿宋_GB2312" w:eastAsia="仿宋_GB2312" w:cs="仿宋_GB2312"/>
          <w:color w:val="auto"/>
          <w:sz w:val="32"/>
          <w:szCs w:val="32"/>
          <w:lang w:val="en-US" w:eastAsia="zh-CN"/>
        </w:rPr>
        <w:t>装修修缮工程采购补充说明：</w:t>
      </w:r>
    </w:p>
    <w:p>
      <w:pPr>
        <w:widowControl/>
        <w:spacing w:line="560" w:lineRule="exact"/>
        <w:ind w:left="-5" w:leftChars="0" w:firstLine="645" w:firstLineChars="0"/>
        <w:jc w:val="left"/>
        <w:rPr>
          <w:rStyle w:val="10"/>
          <w:rFonts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使用纳入学校财务管理的资金，采购单项或批量预算金额400万以下的装修修缮工程按以下方式执行：</w:t>
      </w:r>
    </w:p>
    <w:p>
      <w:pPr>
        <w:numPr>
          <w:ilvl w:val="0"/>
          <w:numId w:val="9"/>
        </w:numPr>
        <w:spacing w:line="560" w:lineRule="exact"/>
        <w:ind w:left="-5" w:leftChars="0" w:firstLine="645" w:firstLineChars="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采购预算金额100万元以上（以上含本数，下同）的装修修缮工程，原则上委托省集中采购代理机构（广东省政府采购中心）以项目形式，按政府采购相关规定执行采购。如因特殊原因申报定点竞价方式执行的，应</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sz w:val="32"/>
          <w:szCs w:val="32"/>
        </w:rPr>
        <w:t>业务归口部门提出书面理由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rPr>
        <w:t>推荐5家以上供应商，系统随机抽取不少于业务归口部门推荐数量的供应商共同参与竞价。</w:t>
      </w:r>
    </w:p>
    <w:p>
      <w:pPr>
        <w:numPr>
          <w:ilvl w:val="0"/>
          <w:numId w:val="9"/>
        </w:numPr>
        <w:spacing w:line="560" w:lineRule="exact"/>
        <w:ind w:left="-5" w:leftChars="0" w:firstLine="645" w:firstLineChars="0"/>
        <w:jc w:val="left"/>
        <w:rPr>
          <w:rFonts w:ascii="仿宋_GB2312" w:hAnsi="仿宋_GB2312" w:eastAsia="仿宋_GB2312" w:cs="仿宋_GB2312"/>
          <w:sz w:val="32"/>
          <w:szCs w:val="32"/>
        </w:rPr>
      </w:pPr>
      <w:bookmarkStart w:id="0" w:name="_Hlk105593431"/>
      <w:r>
        <w:rPr>
          <w:rFonts w:hint="eastAsia" w:ascii="仿宋_GB2312" w:hAnsi="仿宋_GB2312" w:eastAsia="仿宋_GB2312" w:cs="仿宋_GB2312"/>
          <w:sz w:val="32"/>
          <w:szCs w:val="32"/>
        </w:rPr>
        <w:t>预算金额30万元以上100万元以下（以下不含本数，下同）的装修修缮工程，</w:t>
      </w:r>
      <w:bookmarkEnd w:id="0"/>
      <w:r>
        <w:rPr>
          <w:rFonts w:hint="eastAsia" w:ascii="仿宋_GB2312" w:hAnsi="仿宋_GB2312" w:eastAsia="仿宋_GB2312" w:cs="仿宋_GB2312"/>
          <w:sz w:val="32"/>
          <w:szCs w:val="32"/>
        </w:rPr>
        <w:t>由业务归口部门推荐5家以上供应商，系统随机抽取不少于业务归口部门推荐数量的供应商共同参与竞价。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5" w:leftChars="0" w:firstLine="645"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预算金额30万元以下的装修修缮工程按《广东财经大学政府定点采购实施细则（试行）》（</w:t>
      </w:r>
      <w:bookmarkStart w:id="1" w:name="文件编号"/>
      <w:r>
        <w:rPr>
          <w:rFonts w:hint="eastAsia" w:ascii="仿宋_GB2312" w:hAnsi="仿宋_GB2312" w:eastAsia="仿宋_GB2312" w:cs="仿宋_GB2312"/>
          <w:sz w:val="32"/>
          <w:szCs w:val="32"/>
        </w:rPr>
        <w:t>粤财大〔2019〕33</w:t>
      </w:r>
      <w:bookmarkEnd w:id="1"/>
      <w:r>
        <w:rPr>
          <w:rFonts w:hint="eastAsia" w:ascii="仿宋_GB2312" w:hAnsi="仿宋_GB2312" w:eastAsia="仿宋_GB2312" w:cs="仿宋_GB2312"/>
          <w:sz w:val="32"/>
          <w:szCs w:val="32"/>
        </w:rPr>
        <w:t>号）执行。</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30" w:leftChars="0"/>
        <w:jc w:val="left"/>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电子卖场采购流程图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30" w:leftChars="0" w:hanging="10" w:firstLineChars="0"/>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inline distT="0" distB="0" distL="114300" distR="114300">
            <wp:extent cx="6565265" cy="8596630"/>
            <wp:effectExtent l="0" t="0" r="0" b="0"/>
            <wp:docPr id="3" name="图片 3" descr="电子卖场采购流程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子卖场采购流程0809"/>
                    <pic:cNvPicPr>
                      <a:picLocks noChangeAspect="1"/>
                    </pic:cNvPicPr>
                  </pic:nvPicPr>
                  <pic:blipFill>
                    <a:blip r:embed="rId5"/>
                    <a:stretch>
                      <a:fillRect/>
                    </a:stretch>
                  </pic:blipFill>
                  <pic:spPr>
                    <a:xfrm>
                      <a:off x="0" y="0"/>
                      <a:ext cx="6565265" cy="859663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中介服务超市</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419" w:firstLineChars="131"/>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中介服务超市使用范围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19" w:firstLineChars="131"/>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使用纳入学校财务管理的资金，购买中介服务事项清单以内、政府集中采购目录以外且未达到政府集中采购限额标准的中介服务的，可使用广东省中介服务超市执行采购。具体执行如下：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未达到校内集中采购限额标准的采购项目，由业务归口部门按部门内控制度要求自行采购。如选用中介服务超市执行采购的，可由采购中心向学校申请集中开通采购受托人账号后，业务归口部门自行登录平台执行采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2.达到校内集中采购限额标准的采购项目，由采购中心根据业务归口部门申请及项目实际情况，按有利于项目实施的原则，选择校内集中采购方式或中介服务超市执行采购。</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419" w:firstLineChars="131"/>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现行中介服务事项清单如下：</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701"/>
        <w:gridCol w:w="709"/>
        <w:gridCol w:w="2268"/>
        <w:gridCol w:w="709"/>
        <w:gridCol w:w="24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ind w:left="-105" w:leftChars="-50" w:right="-105" w:rightChars="-50"/>
              <w:jc w:val="center"/>
              <w:rPr>
                <w:rFonts w:asciiTheme="minorEastAsia" w:hAnsiTheme="minorEastAsia"/>
                <w:b/>
                <w:sz w:val="24"/>
              </w:rPr>
            </w:pPr>
            <w:r>
              <w:rPr>
                <w:rFonts w:asciiTheme="minorEastAsia" w:hAnsiTheme="minorEastAsia"/>
                <w:b/>
                <w:sz w:val="24"/>
              </w:rPr>
              <w:t>序号</w:t>
            </w:r>
          </w:p>
        </w:tc>
        <w:tc>
          <w:tcPr>
            <w:tcW w:w="1701" w:type="dxa"/>
            <w:vAlign w:val="center"/>
          </w:tcPr>
          <w:p>
            <w:pPr>
              <w:spacing w:line="480" w:lineRule="exact"/>
              <w:jc w:val="center"/>
              <w:rPr>
                <w:rFonts w:asciiTheme="minorEastAsia" w:hAnsiTheme="minorEastAsia"/>
                <w:b/>
                <w:sz w:val="24"/>
              </w:rPr>
            </w:pPr>
            <w:r>
              <w:rPr>
                <w:rFonts w:asciiTheme="minorEastAsia" w:hAnsiTheme="minorEastAsia"/>
                <w:b/>
                <w:sz w:val="24"/>
              </w:rPr>
              <w:t>服务类型</w:t>
            </w:r>
          </w:p>
        </w:tc>
        <w:tc>
          <w:tcPr>
            <w:tcW w:w="709" w:type="dxa"/>
            <w:vAlign w:val="center"/>
          </w:tcPr>
          <w:p>
            <w:pPr>
              <w:spacing w:line="480" w:lineRule="exact"/>
              <w:jc w:val="center"/>
              <w:rPr>
                <w:rFonts w:asciiTheme="minorEastAsia" w:hAnsiTheme="minorEastAsia"/>
                <w:b/>
                <w:sz w:val="24"/>
              </w:rPr>
            </w:pPr>
            <w:r>
              <w:rPr>
                <w:rFonts w:asciiTheme="minorEastAsia" w:hAnsiTheme="minorEastAsia"/>
                <w:b/>
                <w:sz w:val="24"/>
              </w:rPr>
              <w:t>序号</w:t>
            </w:r>
          </w:p>
        </w:tc>
        <w:tc>
          <w:tcPr>
            <w:tcW w:w="2268" w:type="dxa"/>
            <w:tcBorders>
              <w:right w:val="single" w:color="auto" w:sz="4" w:space="0"/>
            </w:tcBorders>
            <w:vAlign w:val="center"/>
          </w:tcPr>
          <w:p>
            <w:pPr>
              <w:spacing w:line="480" w:lineRule="exact"/>
              <w:jc w:val="center"/>
              <w:rPr>
                <w:rFonts w:asciiTheme="minorEastAsia" w:hAnsiTheme="minorEastAsia"/>
                <w:b/>
                <w:sz w:val="24"/>
              </w:rPr>
            </w:pPr>
            <w:r>
              <w:rPr>
                <w:rFonts w:asciiTheme="minorEastAsia" w:hAnsiTheme="minorEastAsia"/>
                <w:b/>
                <w:sz w:val="24"/>
              </w:rPr>
              <w:t>服务类型</w:t>
            </w:r>
          </w:p>
        </w:tc>
        <w:tc>
          <w:tcPr>
            <w:tcW w:w="709" w:type="dxa"/>
            <w:tcBorders>
              <w:left w:val="single" w:color="auto" w:sz="4" w:space="0"/>
              <w:right w:val="single" w:color="auto" w:sz="4" w:space="0"/>
            </w:tcBorders>
            <w:vAlign w:val="center"/>
          </w:tcPr>
          <w:p>
            <w:pPr>
              <w:spacing w:line="480" w:lineRule="exact"/>
              <w:jc w:val="center"/>
              <w:rPr>
                <w:rFonts w:asciiTheme="minorEastAsia" w:hAnsiTheme="minorEastAsia"/>
                <w:b/>
                <w:sz w:val="24"/>
              </w:rPr>
            </w:pPr>
            <w:r>
              <w:rPr>
                <w:rFonts w:asciiTheme="minorEastAsia" w:hAnsiTheme="minorEastAsia"/>
                <w:b/>
                <w:sz w:val="24"/>
              </w:rPr>
              <w:t>序号</w:t>
            </w:r>
          </w:p>
        </w:tc>
        <w:tc>
          <w:tcPr>
            <w:tcW w:w="2460" w:type="dxa"/>
            <w:tcBorders>
              <w:left w:val="single" w:color="auto" w:sz="4" w:space="0"/>
            </w:tcBorders>
            <w:vAlign w:val="center"/>
          </w:tcPr>
          <w:p>
            <w:pPr>
              <w:spacing w:line="480" w:lineRule="exact"/>
              <w:jc w:val="center"/>
              <w:rPr>
                <w:rFonts w:asciiTheme="minorEastAsia" w:hAnsiTheme="minorEastAsia"/>
                <w:b/>
                <w:sz w:val="24"/>
              </w:rPr>
            </w:pPr>
            <w:r>
              <w:rPr>
                <w:rFonts w:asciiTheme="minorEastAsia" w:hAnsiTheme="minorEastAsia"/>
                <w:b/>
                <w:sz w:val="24"/>
              </w:rPr>
              <w:t>服务类型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w:t>
            </w:r>
          </w:p>
        </w:tc>
        <w:tc>
          <w:tcPr>
            <w:tcW w:w="1701" w:type="dxa"/>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测绘</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21</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地质灾害治理工程监理</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41</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计量器具检定或者校准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2</w:t>
            </w:r>
          </w:p>
        </w:tc>
        <w:tc>
          <w:tcPr>
            <w:tcW w:w="1701" w:type="dxa"/>
            <w:vAlign w:val="center"/>
          </w:tcPr>
          <w:p>
            <w:pPr>
              <w:widowControl/>
              <w:jc w:val="left"/>
              <w:rPr>
                <w:rFonts w:cs="宋体" w:asciiTheme="minorEastAsia" w:hAnsiTheme="minorEastAsia"/>
                <w:color w:val="000000"/>
                <w:kern w:val="0"/>
                <w:szCs w:val="21"/>
              </w:rPr>
            </w:pPr>
            <w:r>
              <w:rPr>
                <w:rFonts w:hint="eastAsia"/>
              </w:rPr>
              <w:t>城乡规划编制</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22</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地质灾害治理工程设计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42</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升放气球服务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3</w:t>
            </w:r>
          </w:p>
        </w:tc>
        <w:tc>
          <w:tcPr>
            <w:tcW w:w="1701" w:type="dxa"/>
            <w:vAlign w:val="center"/>
          </w:tcPr>
          <w:p>
            <w:pPr>
              <w:widowControl/>
              <w:jc w:val="left"/>
              <w:rPr>
                <w:rFonts w:cs="宋体" w:asciiTheme="minorEastAsia" w:hAnsiTheme="minorEastAsia"/>
                <w:color w:val="000000"/>
                <w:kern w:val="0"/>
                <w:szCs w:val="21"/>
              </w:rPr>
            </w:pPr>
            <w:r>
              <w:rPr>
                <w:rFonts w:hint="eastAsia"/>
              </w:rPr>
              <w:t>地质灾害危险性评估</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23</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探矿权采矿权评估</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43</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水文、水资源调查评价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4</w:t>
            </w:r>
          </w:p>
        </w:tc>
        <w:tc>
          <w:tcPr>
            <w:tcW w:w="1701" w:type="dxa"/>
            <w:vAlign w:val="center"/>
          </w:tcPr>
          <w:p>
            <w:pPr>
              <w:widowControl/>
              <w:jc w:val="left"/>
              <w:rPr>
                <w:rFonts w:cs="宋体" w:asciiTheme="minorEastAsia" w:hAnsiTheme="minorEastAsia"/>
                <w:color w:val="000000"/>
                <w:kern w:val="0"/>
                <w:szCs w:val="21"/>
              </w:rPr>
            </w:pPr>
            <w:r>
              <w:rPr>
                <w:rFonts w:hint="eastAsia"/>
              </w:rPr>
              <w:t>房地产估价</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24</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林业调查规划设计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司法鉴定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5</w:t>
            </w:r>
          </w:p>
        </w:tc>
        <w:tc>
          <w:tcPr>
            <w:tcW w:w="1701" w:type="dxa"/>
            <w:vAlign w:val="center"/>
          </w:tcPr>
          <w:p>
            <w:pPr>
              <w:widowControl/>
              <w:jc w:val="left"/>
              <w:rPr>
                <w:rFonts w:cs="宋体" w:asciiTheme="minorEastAsia" w:hAnsiTheme="minorEastAsia"/>
                <w:color w:val="000000"/>
                <w:kern w:val="0"/>
                <w:szCs w:val="21"/>
              </w:rPr>
            </w:pPr>
            <w:r>
              <w:rPr>
                <w:rFonts w:hint="eastAsia"/>
              </w:rPr>
              <w:t>工程监理</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25</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资产评估</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45</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价格评估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6</w:t>
            </w:r>
          </w:p>
        </w:tc>
        <w:tc>
          <w:tcPr>
            <w:tcW w:w="1701" w:type="dxa"/>
            <w:vAlign w:val="center"/>
          </w:tcPr>
          <w:p>
            <w:pPr>
              <w:widowControl/>
              <w:jc w:val="left"/>
              <w:rPr>
                <w:rFonts w:cs="宋体" w:asciiTheme="minorEastAsia" w:hAnsiTheme="minorEastAsia"/>
                <w:color w:val="000000"/>
                <w:kern w:val="0"/>
                <w:szCs w:val="21"/>
              </w:rPr>
            </w:pPr>
            <w:r>
              <w:rPr>
                <w:rFonts w:hint="eastAsia"/>
              </w:rPr>
              <w:t>工程勘察</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26</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检验检测服务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46</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海域使用论证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7</w:t>
            </w:r>
          </w:p>
        </w:tc>
        <w:tc>
          <w:tcPr>
            <w:tcW w:w="1701" w:type="dxa"/>
            <w:vAlign w:val="center"/>
          </w:tcPr>
          <w:p>
            <w:pPr>
              <w:widowControl/>
              <w:jc w:val="left"/>
              <w:rPr>
                <w:rFonts w:cs="宋体" w:asciiTheme="minorEastAsia" w:hAnsiTheme="minorEastAsia"/>
                <w:color w:val="000000"/>
                <w:kern w:val="0"/>
                <w:szCs w:val="21"/>
              </w:rPr>
            </w:pPr>
            <w:r>
              <w:rPr>
                <w:rFonts w:hint="eastAsia"/>
              </w:rPr>
              <w:t>工程设计</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27</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建设工程质量检测</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47</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地质勘查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8</w:t>
            </w:r>
          </w:p>
        </w:tc>
        <w:tc>
          <w:tcPr>
            <w:tcW w:w="1701" w:type="dxa"/>
            <w:vAlign w:val="center"/>
          </w:tcPr>
          <w:p>
            <w:pPr>
              <w:widowControl/>
              <w:jc w:val="left"/>
              <w:rPr>
                <w:rFonts w:cs="宋体" w:asciiTheme="minorEastAsia" w:hAnsiTheme="minorEastAsia"/>
                <w:color w:val="000000"/>
                <w:kern w:val="0"/>
                <w:szCs w:val="21"/>
              </w:rPr>
            </w:pPr>
            <w:r>
              <w:rPr>
                <w:rFonts w:hint="eastAsia"/>
              </w:rPr>
              <w:t>工程造价咨询</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28</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安全评价</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48</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矿产资源开发利用方案编制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9</w:t>
            </w:r>
          </w:p>
        </w:tc>
        <w:tc>
          <w:tcPr>
            <w:tcW w:w="1701" w:type="dxa"/>
            <w:vAlign w:val="center"/>
          </w:tcPr>
          <w:p>
            <w:pPr>
              <w:widowControl/>
              <w:jc w:val="left"/>
              <w:rPr>
                <w:rFonts w:cs="宋体" w:asciiTheme="minorEastAsia" w:hAnsiTheme="minorEastAsia"/>
                <w:color w:val="000000"/>
                <w:kern w:val="0"/>
                <w:szCs w:val="21"/>
              </w:rPr>
            </w:pPr>
            <w:r>
              <w:rPr>
                <w:rFonts w:hint="eastAsia"/>
              </w:rPr>
              <w:t>工程咨询</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29</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职业卫生技术服务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49</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文物保护工程监理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10</w:t>
            </w:r>
          </w:p>
        </w:tc>
        <w:tc>
          <w:tcPr>
            <w:tcW w:w="1701" w:type="dxa"/>
            <w:vAlign w:val="center"/>
          </w:tcPr>
          <w:p>
            <w:pPr>
              <w:widowControl/>
              <w:jc w:val="left"/>
              <w:rPr>
                <w:rFonts w:cs="宋体" w:asciiTheme="minorEastAsia" w:hAnsiTheme="minorEastAsia"/>
                <w:color w:val="000000"/>
                <w:kern w:val="0"/>
                <w:szCs w:val="21"/>
              </w:rPr>
            </w:pPr>
            <w:r>
              <w:rPr>
                <w:rFonts w:hint="eastAsia"/>
              </w:rPr>
              <w:t>会计师事务所服务</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30</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雷电防护装置检测</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文物保护工程施工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11</w:t>
            </w:r>
          </w:p>
        </w:tc>
        <w:tc>
          <w:tcPr>
            <w:tcW w:w="1701" w:type="dxa"/>
            <w:vAlign w:val="center"/>
          </w:tcPr>
          <w:p>
            <w:pPr>
              <w:widowControl/>
              <w:jc w:val="left"/>
              <w:rPr>
                <w:rFonts w:cs="宋体" w:asciiTheme="minorEastAsia" w:hAnsiTheme="minorEastAsia"/>
                <w:color w:val="000000"/>
                <w:kern w:val="0"/>
                <w:szCs w:val="21"/>
              </w:rPr>
            </w:pPr>
            <w:r>
              <w:rPr>
                <w:rFonts w:hint="eastAsia"/>
              </w:rPr>
              <w:t>建设项目环境影响评价</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31</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公路水运工程试验检测</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51</w:t>
            </w:r>
          </w:p>
        </w:tc>
        <w:tc>
          <w:tcPr>
            <w:tcW w:w="2460" w:type="dxa"/>
            <w:tcBorders>
              <w:left w:val="single" w:color="auto" w:sz="4" w:space="0"/>
            </w:tcBorders>
          </w:tcPr>
          <w:p>
            <w:pPr>
              <w:spacing w:line="480" w:lineRule="exact"/>
              <w:jc w:val="left"/>
              <w:rPr>
                <w:rFonts w:asciiTheme="minorEastAsia" w:hAnsiTheme="minorEastAsia"/>
                <w:szCs w:val="21"/>
              </w:rPr>
            </w:pPr>
            <w:r>
              <w:rPr>
                <w:rFonts w:hint="eastAsia"/>
              </w:rPr>
              <w:t>文物保护工程勘察设计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12</w:t>
            </w:r>
          </w:p>
        </w:tc>
        <w:tc>
          <w:tcPr>
            <w:tcW w:w="1701" w:type="dxa"/>
            <w:vAlign w:val="center"/>
          </w:tcPr>
          <w:p>
            <w:pPr>
              <w:widowControl/>
              <w:jc w:val="left"/>
              <w:rPr>
                <w:rFonts w:cs="宋体" w:asciiTheme="minorEastAsia" w:hAnsiTheme="minorEastAsia"/>
                <w:color w:val="000000"/>
                <w:kern w:val="0"/>
                <w:szCs w:val="21"/>
              </w:rPr>
            </w:pPr>
            <w:r>
              <w:rPr>
                <w:rFonts w:hint="eastAsia"/>
              </w:rPr>
              <w:t>公路水运工程监理</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32</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安全生产检测检验</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安防技术防范系统检测服务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13</w:t>
            </w:r>
          </w:p>
        </w:tc>
        <w:tc>
          <w:tcPr>
            <w:tcW w:w="1701" w:type="dxa"/>
            <w:vAlign w:val="center"/>
          </w:tcPr>
          <w:p>
            <w:pPr>
              <w:widowControl/>
              <w:jc w:val="left"/>
              <w:rPr>
                <w:rFonts w:cs="宋体" w:asciiTheme="minorEastAsia" w:hAnsiTheme="minorEastAsia"/>
                <w:color w:val="000000"/>
                <w:kern w:val="0"/>
                <w:szCs w:val="21"/>
              </w:rPr>
            </w:pPr>
            <w:r>
              <w:rPr>
                <w:rFonts w:hint="eastAsia"/>
              </w:rPr>
              <w:t>人防工程施工图设计文件审查</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33</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税务师事务所服务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53</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消防设施维护保养检测服务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14</w:t>
            </w:r>
          </w:p>
        </w:tc>
        <w:tc>
          <w:tcPr>
            <w:tcW w:w="1701" w:type="dxa"/>
            <w:vAlign w:val="center"/>
          </w:tcPr>
          <w:p>
            <w:pPr>
              <w:widowControl/>
              <w:jc w:val="left"/>
              <w:rPr>
                <w:rFonts w:cs="宋体" w:asciiTheme="minorEastAsia" w:hAnsiTheme="minorEastAsia"/>
                <w:color w:val="000000"/>
                <w:kern w:val="0"/>
                <w:szCs w:val="21"/>
              </w:rPr>
            </w:pPr>
            <w:r>
              <w:rPr>
                <w:rFonts w:hint="eastAsia"/>
              </w:rPr>
              <w:t>房屋建筑和市政基础设施工程施工图设计文件审查</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34</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造林绿化监理</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54</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节能技术服务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15</w:t>
            </w:r>
          </w:p>
        </w:tc>
        <w:tc>
          <w:tcPr>
            <w:tcW w:w="1701" w:type="dxa"/>
            <w:vAlign w:val="center"/>
          </w:tcPr>
          <w:p>
            <w:pPr>
              <w:widowControl/>
              <w:jc w:val="left"/>
              <w:rPr>
                <w:rFonts w:cs="宋体" w:asciiTheme="minorEastAsia" w:hAnsiTheme="minorEastAsia"/>
                <w:color w:val="000000"/>
                <w:kern w:val="0"/>
                <w:szCs w:val="21"/>
              </w:rPr>
            </w:pPr>
            <w:r>
              <w:rPr>
                <w:rFonts w:hint="eastAsia"/>
              </w:rPr>
              <w:t>水利工程监理</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35</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公证服务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55</w:t>
            </w: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r>
              <w:rPr>
                <w:rFonts w:hint="eastAsia"/>
              </w:rPr>
              <w:t>乡村振兴咨询服务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16</w:t>
            </w:r>
          </w:p>
        </w:tc>
        <w:tc>
          <w:tcPr>
            <w:tcW w:w="1701" w:type="dxa"/>
            <w:vAlign w:val="center"/>
          </w:tcPr>
          <w:p>
            <w:pPr>
              <w:widowControl/>
              <w:jc w:val="left"/>
              <w:rPr>
                <w:rFonts w:cs="宋体" w:asciiTheme="minorEastAsia" w:hAnsiTheme="minorEastAsia"/>
                <w:color w:val="000000"/>
                <w:kern w:val="0"/>
                <w:szCs w:val="21"/>
              </w:rPr>
            </w:pPr>
            <w:r>
              <w:rPr>
                <w:rFonts w:hint="eastAsia"/>
              </w:rPr>
              <w:t>水土保持方案编制</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36</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药物临床试验服务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17</w:t>
            </w:r>
          </w:p>
        </w:tc>
        <w:tc>
          <w:tcPr>
            <w:tcW w:w="1701" w:type="dxa"/>
            <w:vAlign w:val="center"/>
          </w:tcPr>
          <w:p>
            <w:pPr>
              <w:widowControl/>
              <w:jc w:val="left"/>
              <w:rPr>
                <w:rFonts w:cs="宋体" w:asciiTheme="minorEastAsia" w:hAnsiTheme="minorEastAsia"/>
                <w:color w:val="000000"/>
                <w:kern w:val="0"/>
                <w:szCs w:val="21"/>
              </w:rPr>
            </w:pPr>
            <w:r>
              <w:rPr>
                <w:rFonts w:hint="eastAsia"/>
              </w:rPr>
              <w:t>土地评估</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37</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水资源论证</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460" w:type="dxa"/>
            <w:tcBorders>
              <w:left w:val="single" w:color="auto" w:sz="4" w:space="0"/>
            </w:tcBorders>
            <w:vAlign w:val="center"/>
          </w:tcPr>
          <w:p>
            <w:pPr>
              <w:widowControl/>
              <w:jc w:val="left"/>
              <w:rPr>
                <w:rFonts w:hint="default" w:cs="宋体" w:asciiTheme="minorEastAsia" w:hAnsiTheme="minorEastAsia" w:eastAsiaTheme="minorEastAsia"/>
                <w:color w:val="000000"/>
                <w:kern w:val="0"/>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18</w:t>
            </w:r>
          </w:p>
        </w:tc>
        <w:tc>
          <w:tcPr>
            <w:tcW w:w="1701" w:type="dxa"/>
            <w:vAlign w:val="center"/>
          </w:tcPr>
          <w:p>
            <w:pPr>
              <w:widowControl/>
              <w:jc w:val="left"/>
              <w:rPr>
                <w:rFonts w:cs="宋体" w:asciiTheme="minorEastAsia" w:hAnsiTheme="minorEastAsia"/>
                <w:color w:val="000000"/>
                <w:kern w:val="0"/>
                <w:szCs w:val="21"/>
              </w:rPr>
            </w:pPr>
            <w:r>
              <w:rPr>
                <w:rFonts w:hint="eastAsia"/>
              </w:rPr>
              <w:t>信息系统工程监理</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38</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放射卫生技术服务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460" w:type="dxa"/>
            <w:tcBorders>
              <w:left w:val="single" w:color="auto" w:sz="4" w:space="0"/>
            </w:tcBorders>
            <w:vAlign w:val="center"/>
          </w:tcPr>
          <w:p>
            <w:pPr>
              <w:widowControl/>
              <w:jc w:val="left"/>
              <w:rPr>
                <w:rFonts w:hint="default" w:cs="宋体" w:asciiTheme="minorEastAsia" w:hAnsiTheme="minorEastAsia" w:eastAsiaTheme="minorEastAsia"/>
                <w:color w:val="000000"/>
                <w:kern w:val="0"/>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19</w:t>
            </w:r>
          </w:p>
        </w:tc>
        <w:tc>
          <w:tcPr>
            <w:tcW w:w="1701" w:type="dxa"/>
            <w:vAlign w:val="center"/>
          </w:tcPr>
          <w:p>
            <w:pPr>
              <w:widowControl/>
              <w:jc w:val="left"/>
              <w:rPr>
                <w:rFonts w:cs="宋体" w:asciiTheme="minorEastAsia" w:hAnsiTheme="minorEastAsia"/>
                <w:color w:val="000000"/>
                <w:kern w:val="0"/>
                <w:szCs w:val="21"/>
              </w:rPr>
            </w:pPr>
            <w:r>
              <w:rPr>
                <w:rFonts w:hint="eastAsia"/>
              </w:rPr>
              <w:t>水土保持监测</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39</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环境污染治理设施运营</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spacing w:line="480" w:lineRule="exact"/>
              <w:jc w:val="center"/>
              <w:rPr>
                <w:rFonts w:asciiTheme="minorEastAsia" w:hAnsiTheme="minorEastAsia"/>
                <w:szCs w:val="21"/>
              </w:rPr>
            </w:pPr>
            <w:r>
              <w:rPr>
                <w:rFonts w:hint="eastAsia" w:asciiTheme="minorEastAsia" w:hAnsiTheme="minorEastAsia"/>
                <w:szCs w:val="21"/>
              </w:rPr>
              <w:t>20</w:t>
            </w:r>
          </w:p>
        </w:tc>
        <w:tc>
          <w:tcPr>
            <w:tcW w:w="1701" w:type="dxa"/>
            <w:vAlign w:val="center"/>
          </w:tcPr>
          <w:p>
            <w:pPr>
              <w:widowControl/>
              <w:jc w:val="left"/>
              <w:rPr>
                <w:rFonts w:cs="宋体" w:asciiTheme="minorEastAsia" w:hAnsiTheme="minorEastAsia"/>
                <w:color w:val="000000"/>
                <w:kern w:val="0"/>
                <w:szCs w:val="21"/>
              </w:rPr>
            </w:pPr>
            <w:r>
              <w:rPr>
                <w:rFonts w:hint="eastAsia"/>
              </w:rPr>
              <w:t>水利工程质量检测</w:t>
            </w:r>
          </w:p>
        </w:tc>
        <w:tc>
          <w:tcPr>
            <w:tcW w:w="709" w:type="dxa"/>
            <w:vAlign w:val="center"/>
          </w:tcPr>
          <w:p>
            <w:pPr>
              <w:spacing w:line="480" w:lineRule="exact"/>
              <w:jc w:val="center"/>
              <w:rPr>
                <w:rFonts w:asciiTheme="minorEastAsia" w:hAnsiTheme="minorEastAsia"/>
                <w:szCs w:val="21"/>
              </w:rPr>
            </w:pPr>
            <w:r>
              <w:rPr>
                <w:rFonts w:hint="eastAsia" w:asciiTheme="minorEastAsia" w:hAnsiTheme="minorEastAsia"/>
                <w:szCs w:val="21"/>
              </w:rPr>
              <w:t>40</w:t>
            </w:r>
          </w:p>
        </w:tc>
        <w:tc>
          <w:tcPr>
            <w:tcW w:w="2268" w:type="dxa"/>
            <w:tcBorders>
              <w:right w:val="single" w:color="auto" w:sz="4" w:space="0"/>
            </w:tcBorders>
            <w:vAlign w:val="center"/>
          </w:tcPr>
          <w:p>
            <w:pPr>
              <w:widowControl/>
              <w:jc w:val="left"/>
              <w:rPr>
                <w:rFonts w:cs="宋体" w:asciiTheme="minorEastAsia" w:hAnsiTheme="minorEastAsia"/>
                <w:color w:val="000000"/>
                <w:kern w:val="0"/>
                <w:szCs w:val="21"/>
              </w:rPr>
            </w:pPr>
            <w:r>
              <w:rPr>
                <w:rFonts w:hint="eastAsia"/>
              </w:rPr>
              <w:t>律师事务所服务</w:t>
            </w:r>
          </w:p>
        </w:tc>
        <w:tc>
          <w:tcPr>
            <w:tcW w:w="709" w:type="dxa"/>
            <w:tcBorders>
              <w:left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460" w:type="dxa"/>
            <w:tcBorders>
              <w:left w:val="single" w:color="auto" w:sz="4" w:space="0"/>
            </w:tcBorders>
            <w:vAlign w:val="center"/>
          </w:tcPr>
          <w:p>
            <w:pPr>
              <w:widowControl/>
              <w:jc w:val="left"/>
              <w:rPr>
                <w:rFonts w:cs="宋体" w:asciiTheme="minorEastAsia" w:hAnsiTheme="minorEastAsia"/>
                <w:color w:val="000000"/>
                <w:kern w:val="0"/>
                <w:szCs w:val="21"/>
              </w:rPr>
            </w:pPr>
          </w:p>
        </w:tc>
      </w:tr>
    </w:tbl>
    <w:p>
      <w:pPr>
        <w:spacing w:line="480" w:lineRule="exact"/>
        <w:rPr>
          <w:rFonts w:cs="Arial" w:asciiTheme="minorEastAsia" w:hAnsiTheme="minorEastAsia"/>
          <w:sz w:val="28"/>
          <w:szCs w:val="28"/>
        </w:rPr>
      </w:pPr>
      <w:r>
        <w:rPr>
          <w:rFonts w:hint="eastAsia" w:asciiTheme="minorEastAsia" w:hAnsiTheme="minorEastAsia"/>
          <w:sz w:val="24"/>
        </w:rPr>
        <w:t>注：本清单更新至202</w:t>
      </w:r>
      <w:r>
        <w:rPr>
          <w:rFonts w:hint="eastAsia" w:asciiTheme="minorEastAsia" w:hAnsiTheme="minorEastAsia"/>
          <w:sz w:val="24"/>
          <w:lang w:val="en-US" w:eastAsia="zh-CN"/>
        </w:rPr>
        <w:t>2</w:t>
      </w:r>
      <w:r>
        <w:rPr>
          <w:rFonts w:hint="eastAsia" w:asciiTheme="minorEastAsia" w:hAnsiTheme="minorEastAsia"/>
          <w:sz w:val="24"/>
        </w:rPr>
        <w:t>年</w:t>
      </w:r>
      <w:r>
        <w:rPr>
          <w:rFonts w:hint="eastAsia" w:asciiTheme="minorEastAsia" w:hAnsiTheme="minorEastAsia"/>
          <w:sz w:val="24"/>
          <w:lang w:val="en-US" w:eastAsia="zh-CN"/>
        </w:rPr>
        <w:t>8</w:t>
      </w:r>
      <w:r>
        <w:rPr>
          <w:rFonts w:hint="eastAsia" w:asciiTheme="minorEastAsia" w:hAnsiTheme="minorEastAsia"/>
          <w:sz w:val="24"/>
        </w:rPr>
        <w:t>月</w:t>
      </w:r>
      <w:r>
        <w:rPr>
          <w:rFonts w:hint="eastAsia" w:asciiTheme="minorEastAsia" w:hAnsiTheme="minorEastAsia"/>
          <w:sz w:val="24"/>
          <w:lang w:val="en-US" w:eastAsia="zh-CN"/>
        </w:rPr>
        <w:t>9</w:t>
      </w:r>
      <w:r>
        <w:rPr>
          <w:rFonts w:hint="eastAsia" w:asciiTheme="minorEastAsia" w:hAnsiTheme="minorEastAsia"/>
          <w:sz w:val="24"/>
        </w:rPr>
        <w:t>日，最新分类以中介超市网站即时更新为准。</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419" w:firstLineChars="131"/>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中介服务超市采购方式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中介服务超市采购方式包括择优选取【信用择优选取、方案择优选取】、竞价选取【多次报价竞价选取、一次报价竞价选取】、随机抽取【一选一随机抽取、一选多随机抽取】、直接选取方式。具体内容见附件《网上中介服务超市选取方式简介》。</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419" w:firstLineChars="131"/>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校内集中项目中介服务超市</w:t>
      </w:r>
      <w:r>
        <w:rPr>
          <w:rFonts w:hint="eastAsia" w:ascii="楷体" w:hAnsi="楷体" w:eastAsia="楷体" w:cs="楷体"/>
          <w:b w:val="0"/>
          <w:bCs w:val="0"/>
          <w:sz w:val="32"/>
          <w:szCs w:val="32"/>
          <w:lang w:val="en-US" w:eastAsia="zh-CN"/>
        </w:rPr>
        <w:t>采购流程图</w:t>
      </w:r>
      <w:r>
        <w:rPr>
          <w:rFonts w:hint="eastAsia" w:ascii="楷体" w:hAnsi="楷体" w:eastAsia="楷体" w:cs="楷体"/>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inline distT="0" distB="0" distL="114300" distR="114300">
            <wp:extent cx="5572125" cy="8590280"/>
            <wp:effectExtent l="0" t="0" r="0" b="0"/>
            <wp:docPr id="1" name="图片 1" descr="中介服务超市采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介服务超市采购流程"/>
                    <pic:cNvPicPr>
                      <a:picLocks noChangeAspect="1"/>
                    </pic:cNvPicPr>
                  </pic:nvPicPr>
                  <pic:blipFill>
                    <a:blip r:embed="rId6"/>
                    <a:stretch>
                      <a:fillRect/>
                    </a:stretch>
                  </pic:blipFill>
                  <pic:spPr>
                    <a:xfrm>
                      <a:off x="0" y="0"/>
                      <a:ext cx="5572125" cy="859028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零散竞价系统</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零散竞价系统使用范围：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使用纳入学校财务管理的资金，购买政府集中采购目录以外且未达到政府集中采购限额标准的，规格、标准统一且市场竞争充分的定型货物、技术要求不高的非通用类货物及一般性的服务类项目可采用零散采购竞价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1.属于校内分散的，由采购单位自行登录系统执行采购。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2.属于校内部门集中采购的，由业务归口部门自行登录系统执行采购。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3.属于校内集中采购的，由业务归口部门填报采购申请及相关材料后提交采购中心执行。</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零散竞价系统账号开通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如采购单位尚未开通广东省教育部门零散采购竞价平台，可填报附件《广东财经大学零散采购竞价平台账号申请表》，并提交至采购与招投标中心综合部（综合楼803，电话：020-84096217）申请开通。零散采购竞价平台操作详见附件《广东省教育部门零散采购竞价系统操作手册》。</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零散竞价系统采购方式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楷体" w:hAnsi="楷体" w:eastAsia="楷体" w:cs="楷体"/>
          <w:kern w:val="0"/>
          <w:sz w:val="32"/>
          <w:szCs w:val="32"/>
          <w:lang w:val="en-US" w:eastAsia="zh-CN"/>
        </w:rPr>
      </w:pPr>
      <w:r>
        <w:rPr>
          <w:rFonts w:hint="eastAsia" w:ascii="仿宋_GB2312" w:hAnsi="仿宋_GB2312" w:eastAsia="仿宋_GB2312" w:cs="仿宋_GB2312"/>
          <w:kern w:val="0"/>
          <w:sz w:val="32"/>
          <w:szCs w:val="32"/>
          <w:lang w:val="en-US" w:eastAsia="zh-CN" w:bidi="ar"/>
        </w:rPr>
        <w:t>报价供应商进行报价，在满足3家供应商有效报价的基础上选择报价最低供应商成交。</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零散竞价系统采购流程图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drawing>
          <wp:inline distT="0" distB="0" distL="114300" distR="114300">
            <wp:extent cx="2451100" cy="7531100"/>
            <wp:effectExtent l="0" t="0" r="0" b="0"/>
            <wp:docPr id="6" name="图片 6" descr="零散竞价采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零散竞价采购流程"/>
                    <pic:cNvPicPr>
                      <a:picLocks noChangeAspect="1"/>
                    </pic:cNvPicPr>
                  </pic:nvPicPr>
                  <pic:blipFill>
                    <a:blip r:embed="rId7"/>
                    <a:stretch>
                      <a:fillRect/>
                    </a:stretch>
                  </pic:blipFill>
                  <pic:spPr>
                    <a:xfrm>
                      <a:off x="0" y="0"/>
                      <a:ext cx="2451100" cy="7531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default" w:ascii="仿宋_GB2312" w:hAnsi="仿宋_GB2312" w:eastAsia="仿宋_GB2312" w:cs="仿宋_GB2312"/>
          <w:kern w:val="0"/>
          <w:sz w:val="32"/>
          <w:szCs w:val="32"/>
          <w:lang w:val="en-US" w:eastAsia="zh-CN" w:bidi="ar"/>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小零易购平台</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小零易购系统使用范围：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使用纳入学校财务管理的资金，在同一预算项目下采购同一小零易购品目，年度采购总额在100万以下（不含本数额）的，均可在“小零易购”平台采购。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小零易购”品目类别有：教学专用仪器、体育设备、乐器、其他家具用具（教学专用）、科研耗材、数据加工处理服务（电子数据库）、危险废物治理服务（实验室危化品）、出版服务、行业应用软件开发服务（教育教学专用）、音像制作服务（竞赛专用）、市场调查和民意测验服务、职业中介服务（校园招聘服务专项）。</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小零易购采购执行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属于校内集中采购的，由业务归口部门填报采购申请及相关材料后提交采购中心登录广东省教育部门政府采购管理平台（http://gdegp.gdedu.gov.cn）执行采购。</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小零易购系统采购方式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小零易购包括直购、议价、竞价、反拍四种采购方式。</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零散竞价系统采购流程图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直购流程图：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-57150</wp:posOffset>
            </wp:positionV>
            <wp:extent cx="5264785" cy="3166110"/>
            <wp:effectExtent l="0" t="0" r="12065" b="15240"/>
            <wp:wrapTopAndBottom/>
            <wp:docPr id="9" name="图片 9" descr="直购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直购流程图"/>
                    <pic:cNvPicPr>
                      <a:picLocks noChangeAspect="1"/>
                    </pic:cNvPicPr>
                  </pic:nvPicPr>
                  <pic:blipFill>
                    <a:blip r:embed="rId8"/>
                    <a:stretch>
                      <a:fillRect/>
                    </a:stretch>
                  </pic:blipFill>
                  <pic:spPr>
                    <a:xfrm>
                      <a:off x="0" y="0"/>
                      <a:ext cx="5264785" cy="3166110"/>
                    </a:xfrm>
                    <a:prstGeom prst="rect">
                      <a:avLst/>
                    </a:prstGeom>
                  </pic:spPr>
                </pic:pic>
              </a:graphicData>
            </a:graphic>
          </wp:anchor>
        </w:drawing>
      </w:r>
      <w:r>
        <w:rPr>
          <w:rFonts w:hint="eastAsia" w:ascii="仿宋_GB2312" w:hAnsi="仿宋_GB2312" w:eastAsia="仿宋_GB2312" w:cs="仿宋_GB2312"/>
          <w:sz w:val="32"/>
          <w:szCs w:val="32"/>
          <w:lang w:val="en-US" w:eastAsia="zh-CN"/>
        </w:rPr>
        <w:t>竞价流程图：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59690</wp:posOffset>
            </wp:positionH>
            <wp:positionV relativeFrom="paragraph">
              <wp:posOffset>46355</wp:posOffset>
            </wp:positionV>
            <wp:extent cx="5263515" cy="2466340"/>
            <wp:effectExtent l="0" t="0" r="13335" b="10160"/>
            <wp:wrapTopAndBottom/>
            <wp:docPr id="10" name="图片 10" descr="竞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竞价流程图"/>
                    <pic:cNvPicPr>
                      <a:picLocks noChangeAspect="1"/>
                    </pic:cNvPicPr>
                  </pic:nvPicPr>
                  <pic:blipFill>
                    <a:blip r:embed="rId9"/>
                    <a:stretch>
                      <a:fillRect/>
                    </a:stretch>
                  </pic:blipFill>
                  <pic:spPr>
                    <a:xfrm>
                      <a:off x="0" y="0"/>
                      <a:ext cx="5263515" cy="2466340"/>
                    </a:xfrm>
                    <a:prstGeom prst="rect">
                      <a:avLst/>
                    </a:prstGeom>
                  </pic:spPr>
                </pic:pic>
              </a:graphicData>
            </a:graphic>
          </wp:anchor>
        </w:drawing>
      </w:r>
      <w:r>
        <w:rPr>
          <w:rFonts w:hint="eastAsia" w:ascii="仿宋_GB2312" w:hAnsi="仿宋_GB2312" w:eastAsia="仿宋_GB2312" w:cs="仿宋_GB2312"/>
          <w:sz w:val="32"/>
          <w:szCs w:val="32"/>
          <w:lang w:val="en-US" w:eastAsia="zh-CN"/>
        </w:rPr>
        <w:t>议价流程图：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76200</wp:posOffset>
            </wp:positionH>
            <wp:positionV relativeFrom="paragraph">
              <wp:posOffset>182245</wp:posOffset>
            </wp:positionV>
            <wp:extent cx="5263515" cy="2466340"/>
            <wp:effectExtent l="0" t="0" r="13335" b="10160"/>
            <wp:wrapTopAndBottom/>
            <wp:docPr id="11" name="图片 11" descr="竞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竞价流程图"/>
                    <pic:cNvPicPr>
                      <a:picLocks noChangeAspect="1"/>
                    </pic:cNvPicPr>
                  </pic:nvPicPr>
                  <pic:blipFill>
                    <a:blip r:embed="rId9"/>
                    <a:stretch>
                      <a:fillRect/>
                    </a:stretch>
                  </pic:blipFill>
                  <pic:spPr>
                    <a:xfrm>
                      <a:off x="0" y="0"/>
                      <a:ext cx="5263515" cy="2466340"/>
                    </a:xfrm>
                    <a:prstGeom prst="rect">
                      <a:avLst/>
                    </a:prstGeom>
                  </pic:spPr>
                </pic:pic>
              </a:graphicData>
            </a:graphic>
          </wp:anchor>
        </w:drawing>
      </w:r>
      <w:r>
        <w:rPr>
          <w:rFonts w:hint="eastAsia" w:ascii="仿宋_GB2312" w:hAnsi="仿宋_GB2312" w:eastAsia="仿宋_GB2312" w:cs="仿宋_GB2312"/>
          <w:sz w:val="32"/>
          <w:szCs w:val="32"/>
          <w:lang w:val="en-US" w:eastAsia="zh-CN"/>
        </w:rPr>
        <w:t>反拍流程图：</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小零易购操作手册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-27305</wp:posOffset>
            </wp:positionH>
            <wp:positionV relativeFrom="paragraph">
              <wp:posOffset>-288290</wp:posOffset>
            </wp:positionV>
            <wp:extent cx="5269865" cy="2475230"/>
            <wp:effectExtent l="0" t="0" r="6985" b="1270"/>
            <wp:wrapTopAndBottom/>
            <wp:docPr id="12" name="图片 12" descr="反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反拍流程图"/>
                    <pic:cNvPicPr>
                      <a:picLocks noChangeAspect="1"/>
                    </pic:cNvPicPr>
                  </pic:nvPicPr>
                  <pic:blipFill>
                    <a:blip r:embed="rId10"/>
                    <a:stretch>
                      <a:fillRect/>
                    </a:stretch>
                  </pic:blipFill>
                  <pic:spPr>
                    <a:xfrm>
                      <a:off x="0" y="0"/>
                      <a:ext cx="5269865" cy="247523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见附件13：采购方-部门协议管理系统操作手册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838" w:firstLineChars="262"/>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附件：1.广东政府采购智慧云平台电子卖场商品查询指南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2.非批量集中采购台式电脑、便携式电脑、空调机申请表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3.广东财经大学办公家具定点采购申报表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4.广东财经大学印刷服务定点采购申报表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5.广东财经大学审计服务定点采购申报表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6.广东财经大学电梯定点采购申报表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7.广东财经大学法律服务定点采购申报表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8.广东财经大学装修修缮工程采购申报表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9.广东财经大学电梯网上竞价采购申报表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10.网上中介服务超市选取方式简介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11.广东财经大学中介服务超市采购申报表（校内集中采购用）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12.广东财经大学零散采购竞价平台账号申请表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13.广东省教育部门零散采购竞价系统操作手册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 xml:space="preserve">14.采购方-部门协议管理系统操作手册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838" w:firstLineChars="262"/>
        <w:jc w:val="lef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838" w:firstLineChars="262"/>
        <w:jc w:val="righ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838" w:firstLineChars="262"/>
        <w:jc w:val="righ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采购与招投标中心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838" w:firstLineChars="262"/>
        <w:jc w:val="right"/>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2022年9月24日</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10CFB"/>
    <w:multiLevelType w:val="singleLevel"/>
    <w:tmpl w:val="86210CFB"/>
    <w:lvl w:ilvl="0" w:tentative="0">
      <w:start w:val="1"/>
      <w:numFmt w:val="chineseCounting"/>
      <w:suff w:val="nothing"/>
      <w:lvlText w:val="（%1）"/>
      <w:lvlJc w:val="left"/>
      <w:rPr>
        <w:rFonts w:hint="eastAsia"/>
      </w:rPr>
    </w:lvl>
  </w:abstractNum>
  <w:abstractNum w:abstractNumId="1">
    <w:nsid w:val="8C8B3EB9"/>
    <w:multiLevelType w:val="singleLevel"/>
    <w:tmpl w:val="8C8B3EB9"/>
    <w:lvl w:ilvl="0" w:tentative="0">
      <w:start w:val="1"/>
      <w:numFmt w:val="decimal"/>
      <w:suff w:val="nothing"/>
      <w:lvlText w:val="%1．"/>
      <w:lvlJc w:val="left"/>
      <w:pPr>
        <w:ind w:left="0" w:firstLine="400"/>
      </w:pPr>
      <w:rPr>
        <w:rFonts w:hint="default"/>
      </w:rPr>
    </w:lvl>
  </w:abstractNum>
  <w:abstractNum w:abstractNumId="2">
    <w:nsid w:val="909B6A6C"/>
    <w:multiLevelType w:val="singleLevel"/>
    <w:tmpl w:val="909B6A6C"/>
    <w:lvl w:ilvl="0" w:tentative="0">
      <w:start w:val="1"/>
      <w:numFmt w:val="decimal"/>
      <w:suff w:val="nothing"/>
      <w:lvlText w:val="%1．"/>
      <w:lvlJc w:val="left"/>
      <w:pPr>
        <w:ind w:left="0" w:firstLine="400"/>
      </w:pPr>
      <w:rPr>
        <w:rFonts w:hint="default"/>
      </w:rPr>
    </w:lvl>
  </w:abstractNum>
  <w:abstractNum w:abstractNumId="3">
    <w:nsid w:val="AEA9F584"/>
    <w:multiLevelType w:val="singleLevel"/>
    <w:tmpl w:val="AEA9F584"/>
    <w:lvl w:ilvl="0" w:tentative="0">
      <w:start w:val="1"/>
      <w:numFmt w:val="decimal"/>
      <w:lvlText w:val="(%1)"/>
      <w:lvlJc w:val="left"/>
      <w:pPr>
        <w:ind w:left="425" w:hanging="425"/>
      </w:pPr>
      <w:rPr>
        <w:rFonts w:hint="default" w:ascii="宋体" w:hAnsi="宋体" w:eastAsia="宋体" w:cs="宋体"/>
        <w:sz w:val="32"/>
        <w:szCs w:val="32"/>
      </w:rPr>
    </w:lvl>
  </w:abstractNum>
  <w:abstractNum w:abstractNumId="4">
    <w:nsid w:val="BE9ABC09"/>
    <w:multiLevelType w:val="singleLevel"/>
    <w:tmpl w:val="BE9ABC09"/>
    <w:lvl w:ilvl="0" w:tentative="0">
      <w:start w:val="1"/>
      <w:numFmt w:val="decimal"/>
      <w:lvlText w:val="%1)"/>
      <w:lvlJc w:val="left"/>
      <w:pPr>
        <w:ind w:left="425" w:hanging="425"/>
      </w:pPr>
      <w:rPr>
        <w:rFonts w:hint="default" w:ascii="宋体" w:hAnsi="宋体" w:eastAsia="宋体" w:cs="宋体"/>
        <w:sz w:val="32"/>
        <w:szCs w:val="32"/>
      </w:rPr>
    </w:lvl>
  </w:abstractNum>
  <w:abstractNum w:abstractNumId="5">
    <w:nsid w:val="BFBC7677"/>
    <w:multiLevelType w:val="singleLevel"/>
    <w:tmpl w:val="BFBC7677"/>
    <w:lvl w:ilvl="0" w:tentative="0">
      <w:start w:val="1"/>
      <w:numFmt w:val="decimal"/>
      <w:lvlText w:val="(%1)"/>
      <w:lvlJc w:val="left"/>
      <w:pPr>
        <w:ind w:left="425" w:hanging="425"/>
      </w:pPr>
      <w:rPr>
        <w:rFonts w:hint="default" w:ascii="宋体" w:hAnsi="宋体" w:eastAsia="宋体" w:cs="宋体"/>
        <w:sz w:val="32"/>
        <w:szCs w:val="32"/>
      </w:rPr>
    </w:lvl>
  </w:abstractNum>
  <w:abstractNum w:abstractNumId="6">
    <w:nsid w:val="C5DCB191"/>
    <w:multiLevelType w:val="singleLevel"/>
    <w:tmpl w:val="C5DCB191"/>
    <w:lvl w:ilvl="0" w:tentative="0">
      <w:start w:val="1"/>
      <w:numFmt w:val="chineseCounting"/>
      <w:suff w:val="nothing"/>
      <w:lvlText w:val="（%1）"/>
      <w:lvlJc w:val="left"/>
      <w:rPr>
        <w:rFonts w:hint="eastAsia"/>
      </w:rPr>
    </w:lvl>
  </w:abstractNum>
  <w:abstractNum w:abstractNumId="7">
    <w:nsid w:val="DD006ECD"/>
    <w:multiLevelType w:val="singleLevel"/>
    <w:tmpl w:val="DD006ECD"/>
    <w:lvl w:ilvl="0" w:tentative="0">
      <w:start w:val="1"/>
      <w:numFmt w:val="chineseCounting"/>
      <w:suff w:val="nothing"/>
      <w:lvlText w:val="（%1）"/>
      <w:lvlJc w:val="left"/>
      <w:rPr>
        <w:rFonts w:hint="eastAsia"/>
      </w:rPr>
    </w:lvl>
  </w:abstractNum>
  <w:abstractNum w:abstractNumId="8">
    <w:nsid w:val="05F8077E"/>
    <w:multiLevelType w:val="singleLevel"/>
    <w:tmpl w:val="05F8077E"/>
    <w:lvl w:ilvl="0" w:tentative="0">
      <w:start w:val="1"/>
      <w:numFmt w:val="chineseCounting"/>
      <w:suff w:val="nothing"/>
      <w:lvlText w:val="（%1）"/>
      <w:lvlJc w:val="left"/>
      <w:rPr>
        <w:rFonts w:hint="eastAsia"/>
      </w:rPr>
    </w:lvl>
  </w:abstractNum>
  <w:abstractNum w:abstractNumId="9">
    <w:nsid w:val="1E9C3AB4"/>
    <w:multiLevelType w:val="singleLevel"/>
    <w:tmpl w:val="1E9C3AB4"/>
    <w:lvl w:ilvl="0" w:tentative="0">
      <w:start w:val="2"/>
      <w:numFmt w:val="decimal"/>
      <w:lvlText w:val="%1."/>
      <w:lvlJc w:val="left"/>
      <w:pPr>
        <w:tabs>
          <w:tab w:val="left" w:pos="312"/>
        </w:tabs>
      </w:pPr>
    </w:lvl>
  </w:abstractNum>
  <w:abstractNum w:abstractNumId="10">
    <w:nsid w:val="4B802DAA"/>
    <w:multiLevelType w:val="singleLevel"/>
    <w:tmpl w:val="4B802DAA"/>
    <w:lvl w:ilvl="0" w:tentative="0">
      <w:start w:val="1"/>
      <w:numFmt w:val="decimal"/>
      <w:lvlText w:val="%1)"/>
      <w:lvlJc w:val="left"/>
      <w:pPr>
        <w:ind w:left="425" w:hanging="425"/>
      </w:pPr>
      <w:rPr>
        <w:rFonts w:hint="default" w:ascii="宋体" w:hAnsi="宋体" w:eastAsia="宋体" w:cs="宋体"/>
        <w:sz w:val="32"/>
        <w:szCs w:val="32"/>
      </w:rPr>
    </w:lvl>
  </w:abstractNum>
  <w:abstractNum w:abstractNumId="11">
    <w:nsid w:val="7308448B"/>
    <w:multiLevelType w:val="singleLevel"/>
    <w:tmpl w:val="7308448B"/>
    <w:lvl w:ilvl="0" w:tentative="0">
      <w:start w:val="1"/>
      <w:numFmt w:val="chineseCounting"/>
      <w:suff w:val="nothing"/>
      <w:lvlText w:val="%1、"/>
      <w:lvlJc w:val="left"/>
      <w:pPr>
        <w:ind w:left="-10"/>
      </w:pPr>
      <w:rPr>
        <w:rFonts w:hint="eastAsia"/>
      </w:rPr>
    </w:lvl>
  </w:abstractNum>
  <w:num w:numId="1">
    <w:abstractNumId w:val="11"/>
  </w:num>
  <w:num w:numId="2">
    <w:abstractNumId w:val="6"/>
  </w:num>
  <w:num w:numId="3">
    <w:abstractNumId w:val="1"/>
  </w:num>
  <w:num w:numId="4">
    <w:abstractNumId w:val="9"/>
  </w:num>
  <w:num w:numId="5">
    <w:abstractNumId w:val="2"/>
  </w:num>
  <w:num w:numId="6">
    <w:abstractNumId w:val="5"/>
  </w:num>
  <w:num w:numId="7">
    <w:abstractNumId w:val="10"/>
  </w:num>
  <w:num w:numId="8">
    <w:abstractNumId w:val="4"/>
  </w:num>
  <w:num w:numId="9">
    <w:abstractNumId w:val="3"/>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OGVkNDc0NjU2ODUzYjRmMTgzMmQxNTlkZTcyOTYifQ=="/>
  </w:docVars>
  <w:rsids>
    <w:rsidRoot w:val="00000000"/>
    <w:rsid w:val="05A46390"/>
    <w:rsid w:val="06DB29FA"/>
    <w:rsid w:val="08FC7237"/>
    <w:rsid w:val="0B0D1C42"/>
    <w:rsid w:val="133D7486"/>
    <w:rsid w:val="1619539E"/>
    <w:rsid w:val="1DF86307"/>
    <w:rsid w:val="1FDE1027"/>
    <w:rsid w:val="23906DE4"/>
    <w:rsid w:val="2AE92684"/>
    <w:rsid w:val="473B5543"/>
    <w:rsid w:val="526D03C4"/>
    <w:rsid w:val="5E230929"/>
    <w:rsid w:val="612E29B2"/>
    <w:rsid w:val="67A625AA"/>
    <w:rsid w:val="6CB31C97"/>
    <w:rsid w:val="73B53118"/>
    <w:rsid w:val="777B4ECF"/>
    <w:rsid w:val="7DE11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qFormat/>
    <w:uiPriority w:val="0"/>
    <w:rPr>
      <w:color w:val="189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4535</Words>
  <Characters>4927</Characters>
  <Lines>0</Lines>
  <Paragraphs>0</Paragraphs>
  <TotalTime>2</TotalTime>
  <ScaleCrop>false</ScaleCrop>
  <LinksUpToDate>false</LinksUpToDate>
  <CharactersWithSpaces>4929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2022-07-28T11:21:00Z</dcterms:created>
  <dc:creator>53288</dc:creator>
  <cp:lastModifiedBy>吴薇</cp:lastModifiedBy>
  <dcterms:modified xsi:type="dcterms:W3CDTF">2022-09-30T01:17:12Z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C789F03B72E842DDB310E004432841B7</vt:lpwstr>
  </property>
</Properties>
</file>