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val="en-US" w:eastAsia="zh-CN"/>
        </w:rPr>
        <w:t xml:space="preserve">佛山校区共建教师宿舍门禁系统安装 </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佛山校区管理委员会</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w:t>
      </w:r>
      <w:r>
        <w:rPr>
          <w:rFonts w:ascii="宋体" w:hAnsi="宋体"/>
          <w:b/>
          <w:sz w:val="36"/>
          <w:u w:val="single"/>
        </w:rPr>
        <w:t>4</w:t>
      </w:r>
      <w:r>
        <w:rPr>
          <w:rFonts w:hint="eastAsia" w:ascii="宋体" w:hAnsi="宋体"/>
          <w:b/>
          <w:sz w:val="36"/>
          <w:u w:val="single"/>
        </w:rPr>
        <w:t>年</w:t>
      </w:r>
      <w:r>
        <w:rPr>
          <w:rFonts w:hint="eastAsia" w:ascii="宋体" w:hAnsi="宋体"/>
          <w:b/>
          <w:sz w:val="36"/>
          <w:u w:val="single"/>
          <w:lang w:val="en-US" w:eastAsia="zh-CN"/>
        </w:rPr>
        <w:t>6</w:t>
      </w:r>
      <w:r>
        <w:rPr>
          <w:rFonts w:hint="eastAsia" w:ascii="宋体" w:hAnsi="宋体"/>
          <w:b/>
          <w:sz w:val="36"/>
          <w:u w:val="single"/>
        </w:rPr>
        <w:t>月</w:t>
      </w:r>
      <w:r>
        <w:rPr>
          <w:rFonts w:hint="eastAsia" w:ascii="宋体" w:hAnsi="宋体"/>
          <w:b/>
          <w:sz w:val="36"/>
          <w:u w:val="single"/>
          <w:lang w:val="en-US" w:eastAsia="zh-CN"/>
        </w:rPr>
        <w:t>14</w:t>
      </w:r>
      <w:r>
        <w:rPr>
          <w:rFonts w:hint="eastAsia" w:ascii="宋体" w:hAnsi="宋体"/>
          <w:b/>
          <w:sz w:val="36"/>
          <w:u w:val="single"/>
        </w:rPr>
        <w:t>日</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9"/>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5"/>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9"/>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60236697"/>
      <w:bookmarkStart w:id="2" w:name="_Toc508103135"/>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为了更好的服务于任课教师，为任课教师住宿提供便利条件，限制非授权人员进出，提供安防保障。同时为了加强管理，准确记录人员入住信息，提高服务质量和效率，佛山校区共建教师宿舍48套房共140间房间188个（数量暂定）需安装门禁系统。</w:t>
      </w:r>
    </w:p>
    <w:p>
      <w:pPr>
        <w:spacing w:line="560" w:lineRule="exact"/>
        <w:ind w:firstLine="560" w:firstLineChars="200"/>
        <w:rPr>
          <w:rFonts w:ascii="宋体" w:hAnsi="宋体"/>
          <w:sz w:val="28"/>
          <w:szCs w:val="28"/>
        </w:rPr>
      </w:pPr>
      <w:r>
        <w:rPr>
          <w:rFonts w:hint="eastAsia" w:ascii="宋体" w:hAnsi="宋体"/>
          <w:sz w:val="28"/>
          <w:szCs w:val="28"/>
          <w:lang w:val="en-US" w:eastAsia="zh-CN"/>
        </w:rPr>
        <w:t>二、经费预算：</w:t>
      </w:r>
      <w:r>
        <w:rPr>
          <w:rFonts w:hint="eastAsia" w:ascii="宋体" w:hAnsi="宋体"/>
          <w:sz w:val="28"/>
          <w:szCs w:val="28"/>
        </w:rPr>
        <w:t>本项目采购预算控制价</w:t>
      </w:r>
      <w:r>
        <w:rPr>
          <w:rFonts w:hint="eastAsia" w:ascii="宋体" w:hAnsi="宋体"/>
          <w:sz w:val="28"/>
          <w:szCs w:val="28"/>
          <w:lang w:val="en-US" w:eastAsia="zh-CN"/>
        </w:rPr>
        <w:t>8.1</w:t>
      </w:r>
      <w:r>
        <w:rPr>
          <w:rFonts w:hint="eastAsia" w:ascii="宋体" w:hAnsi="宋体"/>
          <w:sz w:val="28"/>
          <w:szCs w:val="28"/>
        </w:rPr>
        <w:t>万元，</w:t>
      </w:r>
      <w:r>
        <w:rPr>
          <w:rFonts w:hint="eastAsia" w:ascii="宋体" w:hAnsi="宋体"/>
          <w:sz w:val="28"/>
          <w:szCs w:val="28"/>
          <w:lang w:val="en-US" w:eastAsia="zh-CN"/>
        </w:rPr>
        <w:t>具体按实结算。超出预算价的报价无效</w:t>
      </w:r>
      <w:r>
        <w:rPr>
          <w:rFonts w:ascii="宋体" w:hAnsi="宋体"/>
          <w:sz w:val="28"/>
          <w:szCs w:val="28"/>
        </w:rPr>
        <w:t>。</w:t>
      </w:r>
    </w:p>
    <w:p>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lang w:val="en-US" w:eastAsia="zh-CN"/>
        </w:rPr>
        <w:t>非联合体投标。</w:t>
      </w:r>
    </w:p>
    <w:p>
      <w:pPr>
        <w:pStyle w:val="3"/>
        <w:spacing w:line="560" w:lineRule="exact"/>
      </w:pPr>
      <w:bookmarkStart w:id="13" w:name="_Toc508103354"/>
      <w:bookmarkStart w:id="14" w:name="_Toc60236701"/>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10890"/>
      <w:bookmarkStart w:id="20" w:name="_Toc508103356"/>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color w:val="000000" w:themeColor="text1"/>
          <w:sz w:val="28"/>
          <w:szCs w:val="28"/>
          <w:u w:val="single"/>
          <w14:textFill>
            <w14:solidFill>
              <w14:schemeClr w14:val="tx1"/>
            </w14:solidFill>
          </w14:textFill>
        </w:rPr>
        <w:t>（ 一 ）</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3</w:t>
            </w:r>
          </w:p>
        </w:tc>
        <w:tc>
          <w:tcPr>
            <w:tcW w:w="6557" w:type="dxa"/>
            <w:noWrap/>
            <w:vAlign w:val="center"/>
          </w:tcPr>
          <w:p>
            <w:pPr>
              <w:spacing w:line="560" w:lineRule="exact"/>
              <w:rPr>
                <w:rFonts w:hint="eastAsia" w:ascii="宋体" w:hAnsi="宋体"/>
                <w:sz w:val="28"/>
                <w:szCs w:val="28"/>
              </w:rPr>
            </w:pPr>
            <w:bookmarkStart w:id="31" w:name="_GoBack"/>
            <w:bookmarkEnd w:id="31"/>
            <w:r>
              <w:rPr>
                <w:rFonts w:hint="eastAsia" w:ascii="宋体" w:hAnsi="宋体"/>
                <w:sz w:val="28"/>
                <w:szCs w:val="28"/>
                <w:lang w:val="en-US" w:eastAsia="zh-CN"/>
              </w:rPr>
              <w:t>非联合体投标。</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hint="eastAsia" w:ascii="宋体" w:hAnsi="宋体" w:eastAsia="宋体"/>
          <w:b/>
          <w:bCs/>
          <w:sz w:val="28"/>
          <w:szCs w:val="28"/>
          <w:lang w:eastAsia="zh-CN"/>
        </w:rPr>
      </w:pPr>
      <w:r>
        <w:rPr>
          <w:rFonts w:hint="eastAsia" w:ascii="宋体" w:hAnsi="宋体"/>
          <w:b/>
          <w:bCs/>
          <w:sz w:val="28"/>
          <w:szCs w:val="28"/>
        </w:rPr>
        <w:t>详细评审表</w:t>
      </w:r>
      <w:r>
        <w:rPr>
          <w:rFonts w:hint="eastAsia" w:ascii="宋体" w:hAnsi="宋体"/>
          <w:b/>
          <w:bCs/>
          <w:sz w:val="28"/>
          <w:szCs w:val="28"/>
          <w:lang w:eastAsia="zh-CN"/>
        </w:rPr>
        <w:t>（</w:t>
      </w:r>
      <w:r>
        <w:rPr>
          <w:rFonts w:hint="eastAsia" w:ascii="宋体" w:hAnsi="宋体"/>
          <w:b/>
          <w:bCs/>
          <w:sz w:val="28"/>
          <w:szCs w:val="28"/>
          <w:lang w:val="en-US" w:eastAsia="zh-CN"/>
        </w:rPr>
        <w:t>评审方法二使用</w:t>
      </w:r>
      <w:r>
        <w:rPr>
          <w:rFonts w:hint="eastAsia" w:ascii="宋体" w:hAnsi="宋体"/>
          <w:b/>
          <w:bCs/>
          <w:sz w:val="28"/>
          <w:szCs w:val="28"/>
          <w:lang w:eastAsia="zh-CN"/>
        </w:rPr>
        <w:t>）</w:t>
      </w:r>
    </w:p>
    <w:tbl>
      <w:tblPr>
        <w:tblStyle w:val="29"/>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rPr>
              <w:t>XX（取小数点后二位）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auto"/>
              </w:rPr>
            </w:pPr>
            <w:r>
              <w:rPr>
                <w:color w:val="auto"/>
              </w:rPr>
              <w:t>技术</w:t>
            </w:r>
            <w:r>
              <w:rPr>
                <w:rFonts w:hint="eastAsia"/>
                <w:color w:val="auto"/>
              </w:rPr>
              <w:t>因素</w:t>
            </w:r>
          </w:p>
        </w:tc>
        <w:tc>
          <w:tcPr>
            <w:tcW w:w="1980" w:type="dxa"/>
            <w:noWrap/>
            <w:vAlign w:val="center"/>
          </w:tcPr>
          <w:p>
            <w:pPr>
              <w:jc w:val="center"/>
              <w:rPr>
                <w:color w:val="auto"/>
              </w:rPr>
            </w:pPr>
            <w:r>
              <w:rPr>
                <w:color w:val="auto"/>
              </w:rPr>
              <w:t>技术指标</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szCs w:val="21"/>
              </w:rPr>
            </w:pPr>
            <w:r>
              <w:rPr>
                <w:color w:val="auto"/>
                <w:szCs w:val="21"/>
              </w:rPr>
              <w:t>完全满足</w:t>
            </w:r>
            <w:r>
              <w:rPr>
                <w:rFonts w:hint="eastAsia"/>
                <w:color w:val="auto"/>
                <w:szCs w:val="21"/>
              </w:rPr>
              <w:t>采购书</w:t>
            </w:r>
            <w:r>
              <w:rPr>
                <w:color w:val="auto"/>
                <w:szCs w:val="21"/>
              </w:rPr>
              <w:t>技术指标</w:t>
            </w:r>
            <w:r>
              <w:rPr>
                <w:rFonts w:hint="eastAsia"/>
                <w:color w:val="auto"/>
                <w:szCs w:val="21"/>
              </w:rPr>
              <w:t>及</w:t>
            </w:r>
            <w:r>
              <w:rPr>
                <w:color w:val="auto"/>
                <w:szCs w:val="21"/>
              </w:rPr>
              <w:t>配置要求得基准分</w:t>
            </w:r>
            <w:r>
              <w:rPr>
                <w:rFonts w:hint="eastAsia"/>
                <w:color w:val="auto"/>
                <w:szCs w:val="21"/>
              </w:rPr>
              <w:t>X</w:t>
            </w:r>
            <w:r>
              <w:rPr>
                <w:color w:val="auto"/>
                <w:szCs w:val="21"/>
              </w:rPr>
              <w:t>分；有实质性</w:t>
            </w:r>
            <w:r>
              <w:rPr>
                <w:rFonts w:hint="eastAsia"/>
                <w:color w:val="auto"/>
                <w:szCs w:val="21"/>
              </w:rPr>
              <w:t>正偏离</w:t>
            </w:r>
            <w:r>
              <w:rPr>
                <w:color w:val="auto"/>
                <w:szCs w:val="21"/>
              </w:rPr>
              <w:t>、确有实用价值且为用户所需，每项加</w:t>
            </w:r>
            <w:r>
              <w:rPr>
                <w:rFonts w:hint="eastAsia"/>
                <w:color w:val="auto"/>
                <w:szCs w:val="21"/>
              </w:rPr>
              <w:t>X</w:t>
            </w:r>
            <w:r>
              <w:rPr>
                <w:color w:val="auto"/>
                <w:szCs w:val="21"/>
              </w:rPr>
              <w:t>分，最多加</w:t>
            </w:r>
            <w:r>
              <w:rPr>
                <w:rFonts w:hint="eastAsia"/>
                <w:color w:val="auto"/>
                <w:szCs w:val="21"/>
              </w:rPr>
              <w:t>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性能及品质</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szCs w:val="21"/>
              </w:rPr>
            </w:pPr>
            <w:r>
              <w:rPr>
                <w:color w:val="auto"/>
                <w:szCs w:val="21"/>
              </w:rPr>
              <w:t>对</w:t>
            </w:r>
            <w:r>
              <w:rPr>
                <w:rFonts w:hint="eastAsia"/>
                <w:color w:val="auto"/>
                <w:szCs w:val="21"/>
              </w:rPr>
              <w:t>报价</w:t>
            </w:r>
            <w:r>
              <w:rPr>
                <w:color w:val="auto"/>
                <w:szCs w:val="21"/>
              </w:rPr>
              <w:t>产品的品牌、影响力以及产品的先进性、可靠性、稳定性等方面进行综合评价，评价好得</w:t>
            </w:r>
            <w:r>
              <w:rPr>
                <w:rFonts w:hint="eastAsia"/>
                <w:color w:val="auto"/>
                <w:szCs w:val="21"/>
              </w:rPr>
              <w:t>XX</w:t>
            </w:r>
            <w:r>
              <w:rPr>
                <w:color w:val="auto"/>
                <w:szCs w:val="21"/>
              </w:rPr>
              <w:t>—</w:t>
            </w:r>
            <w:r>
              <w:rPr>
                <w:rFonts w:hint="eastAsia"/>
                <w:color w:val="auto"/>
                <w:szCs w:val="21"/>
              </w:rPr>
              <w:t>XX</w:t>
            </w:r>
            <w:r>
              <w:rPr>
                <w:color w:val="auto"/>
                <w:szCs w:val="21"/>
              </w:rPr>
              <w:t>分；评价较好得</w:t>
            </w:r>
            <w:r>
              <w:rPr>
                <w:rFonts w:hint="eastAsia"/>
                <w:color w:val="auto"/>
                <w:szCs w:val="21"/>
              </w:rPr>
              <w:t>XX</w:t>
            </w:r>
            <w:r>
              <w:rPr>
                <w:color w:val="auto"/>
                <w:szCs w:val="21"/>
              </w:rPr>
              <w:t>—</w:t>
            </w:r>
            <w:r>
              <w:rPr>
                <w:rFonts w:hint="eastAsia"/>
                <w:color w:val="auto"/>
                <w:szCs w:val="21"/>
              </w:rPr>
              <w:t>XX</w:t>
            </w:r>
            <w:r>
              <w:rPr>
                <w:color w:val="auto"/>
                <w:szCs w:val="21"/>
              </w:rPr>
              <w:t>分；评价一般得</w:t>
            </w:r>
            <w:r>
              <w:rPr>
                <w:rFonts w:hint="eastAsia"/>
                <w:color w:val="auto"/>
                <w:szCs w:val="21"/>
              </w:rPr>
              <w:t>XX</w:t>
            </w:r>
            <w:r>
              <w:rPr>
                <w:color w:val="auto"/>
                <w:szCs w:val="21"/>
              </w:rPr>
              <w:t>—</w:t>
            </w:r>
            <w:r>
              <w:rPr>
                <w:rFonts w:hint="eastAsia"/>
                <w:color w:val="auto"/>
                <w:szCs w:val="21"/>
              </w:rPr>
              <w:t>XX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w:t>
            </w:r>
            <w:r>
              <w:rPr>
                <w:rFonts w:hint="eastAsia"/>
                <w:color w:val="auto"/>
              </w:rPr>
              <w:t>.</w:t>
            </w:r>
          </w:p>
        </w:tc>
        <w:tc>
          <w:tcPr>
            <w:tcW w:w="1080" w:type="dxa"/>
            <w:noWrap/>
            <w:vAlign w:val="center"/>
          </w:tcPr>
          <w:p>
            <w:pPr>
              <w:jc w:val="center"/>
              <w:rPr>
                <w:color w:val="auto"/>
              </w:rPr>
            </w:pPr>
            <w:r>
              <w:rPr>
                <w:color w:val="auto"/>
              </w:rPr>
              <w:t>……</w:t>
            </w:r>
            <w:r>
              <w:rPr>
                <w:rFonts w:hint="eastAsia"/>
                <w:color w:val="auto"/>
              </w:rPr>
              <w:t>.</w:t>
            </w:r>
          </w:p>
        </w:tc>
        <w:tc>
          <w:tcPr>
            <w:tcW w:w="5400" w:type="dxa"/>
            <w:noWrap/>
            <w:vAlign w:val="center"/>
          </w:tcPr>
          <w:p>
            <w:pPr>
              <w:rPr>
                <w:color w:val="auto"/>
                <w:szCs w:val="21"/>
              </w:rPr>
            </w:pPr>
            <w:r>
              <w:rPr>
                <w:color w:val="auto"/>
              </w:rPr>
              <w:t>……</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auto"/>
              </w:rPr>
            </w:pPr>
            <w:r>
              <w:rPr>
                <w:rFonts w:hint="eastAsia"/>
                <w:color w:val="auto"/>
              </w:rPr>
              <w:t>商务因素</w:t>
            </w:r>
          </w:p>
        </w:tc>
        <w:tc>
          <w:tcPr>
            <w:tcW w:w="1980" w:type="dxa"/>
            <w:noWrap/>
            <w:vAlign w:val="center"/>
          </w:tcPr>
          <w:p>
            <w:pPr>
              <w:jc w:val="center"/>
              <w:rPr>
                <w:color w:val="auto"/>
              </w:rPr>
            </w:pPr>
            <w:r>
              <w:rPr>
                <w:color w:val="auto"/>
              </w:rPr>
              <w:t>保修期</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szCs w:val="21"/>
              </w:rPr>
            </w:pPr>
            <w:r>
              <w:rPr>
                <w:color w:val="auto"/>
                <w:szCs w:val="21"/>
              </w:rPr>
              <w:t>满足</w:t>
            </w:r>
            <w:r>
              <w:rPr>
                <w:rFonts w:hint="eastAsia"/>
                <w:color w:val="auto"/>
                <w:szCs w:val="21"/>
              </w:rPr>
              <w:t>采购书</w:t>
            </w:r>
            <w:r>
              <w:rPr>
                <w:color w:val="auto"/>
                <w:szCs w:val="21"/>
              </w:rPr>
              <w:t>要求得</w:t>
            </w:r>
            <w:r>
              <w:rPr>
                <w:rFonts w:hint="eastAsia"/>
                <w:color w:val="auto"/>
              </w:rPr>
              <w:t>X</w:t>
            </w:r>
            <w:r>
              <w:rPr>
                <w:color w:val="auto"/>
                <w:szCs w:val="21"/>
              </w:rPr>
              <w:t>分；每延长一年加</w:t>
            </w:r>
            <w:r>
              <w:rPr>
                <w:rFonts w:hint="eastAsia"/>
                <w:color w:val="auto"/>
              </w:rPr>
              <w:t>X</w:t>
            </w:r>
            <w:r>
              <w:rPr>
                <w:color w:val="auto"/>
                <w:szCs w:val="21"/>
              </w:rPr>
              <w:t>分，最多加</w:t>
            </w:r>
            <w:r>
              <w:rPr>
                <w:rFonts w:hint="eastAsia"/>
                <w:color w:val="auto"/>
              </w:rPr>
              <w:t>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服务承诺</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rPr>
            </w:pPr>
            <w:r>
              <w:rPr>
                <w:color w:val="auto"/>
                <w:szCs w:val="21"/>
              </w:rPr>
              <w:t>根据</w:t>
            </w:r>
            <w:r>
              <w:rPr>
                <w:rFonts w:hint="eastAsia"/>
                <w:color w:val="auto"/>
                <w:szCs w:val="21"/>
              </w:rPr>
              <w:t>对</w:t>
            </w:r>
            <w:r>
              <w:rPr>
                <w:color w:val="auto"/>
                <w:szCs w:val="21"/>
              </w:rPr>
              <w:t>产品故障报修的响应时间、处理速度、定期巡检以及技术支持、软件升级、技术培训等服务</w:t>
            </w:r>
            <w:r>
              <w:rPr>
                <w:color w:val="auto"/>
              </w:rPr>
              <w:t>承诺</w:t>
            </w:r>
            <w:r>
              <w:rPr>
                <w:rFonts w:hint="eastAsia"/>
                <w:color w:val="auto"/>
              </w:rPr>
              <w:t>进行评价，</w:t>
            </w:r>
            <w:r>
              <w:rPr>
                <w:color w:val="auto"/>
                <w:szCs w:val="21"/>
              </w:rPr>
              <w:t>评价好得</w:t>
            </w:r>
            <w:r>
              <w:rPr>
                <w:rFonts w:hint="eastAsia"/>
                <w:color w:val="auto"/>
              </w:rPr>
              <w:t>X</w:t>
            </w:r>
            <w:r>
              <w:rPr>
                <w:color w:val="auto"/>
                <w:szCs w:val="21"/>
              </w:rPr>
              <w:t>分；评价较好得</w:t>
            </w:r>
            <w:r>
              <w:rPr>
                <w:rFonts w:hint="eastAsia"/>
                <w:color w:val="auto"/>
              </w:rPr>
              <w:t>X</w:t>
            </w:r>
            <w:r>
              <w:rPr>
                <w:color w:val="auto"/>
                <w:szCs w:val="21"/>
              </w:rPr>
              <w:t>分；评价一般得</w:t>
            </w:r>
            <w:r>
              <w:rPr>
                <w:rFonts w:hint="eastAsia"/>
                <w:color w:val="auto"/>
              </w:rPr>
              <w:t>X</w:t>
            </w:r>
            <w:r>
              <w:rPr>
                <w:color w:val="auto"/>
                <w:szCs w:val="21"/>
              </w:rPr>
              <w:t>分</w:t>
            </w: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业   绩</w:t>
            </w:r>
          </w:p>
        </w:tc>
        <w:tc>
          <w:tcPr>
            <w:tcW w:w="1080" w:type="dxa"/>
            <w:noWrap/>
            <w:vAlign w:val="center"/>
          </w:tcPr>
          <w:p>
            <w:pPr>
              <w:jc w:val="center"/>
              <w:rPr>
                <w:color w:val="auto"/>
              </w:rPr>
            </w:pPr>
            <w:r>
              <w:rPr>
                <w:rFonts w:hint="eastAsia"/>
                <w:color w:val="auto"/>
              </w:rPr>
              <w:t>XX</w:t>
            </w:r>
          </w:p>
        </w:tc>
        <w:tc>
          <w:tcPr>
            <w:tcW w:w="5400" w:type="dxa"/>
            <w:noWrap/>
            <w:vAlign w:val="center"/>
          </w:tcPr>
          <w:p>
            <w:pPr>
              <w:rPr>
                <w:color w:val="auto"/>
              </w:rPr>
            </w:pPr>
            <w:r>
              <w:rPr>
                <w:color w:val="auto"/>
                <w:szCs w:val="21"/>
              </w:rPr>
              <w:t>根据</w:t>
            </w:r>
            <w:r>
              <w:rPr>
                <w:rFonts w:hint="eastAsia"/>
                <w:color w:val="auto"/>
                <w:szCs w:val="21"/>
              </w:rPr>
              <w:t>报价人近3</w:t>
            </w:r>
            <w:r>
              <w:rPr>
                <w:color w:val="auto"/>
                <w:szCs w:val="21"/>
              </w:rPr>
              <w:t>年来</w:t>
            </w:r>
            <w:r>
              <w:rPr>
                <w:rFonts w:hint="eastAsia"/>
                <w:color w:val="auto"/>
                <w:szCs w:val="21"/>
              </w:rPr>
              <w:t>近似项目业绩进行评价</w:t>
            </w:r>
            <w:r>
              <w:rPr>
                <w:color w:val="auto"/>
                <w:szCs w:val="21"/>
              </w:rPr>
              <w:t>（以合同为准），每份</w:t>
            </w:r>
            <w:r>
              <w:rPr>
                <w:rFonts w:hint="eastAsia"/>
                <w:color w:val="auto"/>
                <w:szCs w:val="21"/>
              </w:rPr>
              <w:t>得</w:t>
            </w:r>
            <w:r>
              <w:rPr>
                <w:rFonts w:hint="eastAsia"/>
                <w:color w:val="auto"/>
              </w:rPr>
              <w:t>X</w:t>
            </w:r>
            <w:r>
              <w:rPr>
                <w:color w:val="auto"/>
                <w:szCs w:val="21"/>
              </w:rPr>
              <w:t>分，最多得</w:t>
            </w:r>
            <w:r>
              <w:rPr>
                <w:rFonts w:hint="eastAsia"/>
                <w:color w:val="auto"/>
              </w:rPr>
              <w:t>X</w:t>
            </w:r>
            <w:r>
              <w:rPr>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color w:val="auto"/>
              </w:rPr>
              <w:t>……</w:t>
            </w:r>
          </w:p>
        </w:tc>
        <w:tc>
          <w:tcPr>
            <w:tcW w:w="1080" w:type="dxa"/>
            <w:noWrap/>
            <w:vAlign w:val="center"/>
          </w:tcPr>
          <w:p>
            <w:pPr>
              <w:jc w:val="center"/>
              <w:rPr>
                <w:color w:val="auto"/>
              </w:rPr>
            </w:pPr>
          </w:p>
        </w:tc>
        <w:tc>
          <w:tcPr>
            <w:tcW w:w="5400" w:type="dxa"/>
            <w:noWrap/>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auto"/>
                <w:szCs w:val="21"/>
              </w:rPr>
            </w:pPr>
            <w:r>
              <w:rPr>
                <w:rFonts w:hint="eastAsia"/>
                <w:color w:val="auto"/>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auto"/>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9"/>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7"/>
        <w:gridCol w:w="4949"/>
        <w:gridCol w:w="2376"/>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2"/>
                <w:rFonts w:hint="eastAsia" w:ascii="宋体" w:hAnsi="宋体" w:cs="宋体"/>
                <w:color w:val="333333"/>
                <w:kern w:val="0"/>
                <w:sz w:val="24"/>
              </w:rPr>
              <w:t>序号</w:t>
            </w:r>
          </w:p>
        </w:tc>
        <w:tc>
          <w:tcPr>
            <w:tcW w:w="270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2"/>
                <w:rFonts w:hint="eastAsia" w:ascii="宋体" w:hAnsi="宋体" w:cs="宋体"/>
                <w:color w:val="333333"/>
                <w:kern w:val="0"/>
                <w:sz w:val="24"/>
              </w:rPr>
              <w:t>物资名称</w:t>
            </w:r>
          </w:p>
        </w:tc>
        <w:tc>
          <w:tcPr>
            <w:tcW w:w="1297"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2"/>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2"/>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8"/>
                <w:szCs w:val="28"/>
              </w:rPr>
            </w:pPr>
            <w:r>
              <w:rPr>
                <w:rFonts w:hint="eastAsia" w:ascii="宋体" w:hAnsi="宋体" w:cs="宋体"/>
                <w:sz w:val="28"/>
                <w:szCs w:val="28"/>
                <w:lang w:val="en-US" w:eastAsia="zh-CN"/>
              </w:rPr>
              <w:t>门</w:t>
            </w:r>
            <w:r>
              <w:rPr>
                <w:rFonts w:hint="eastAsia" w:ascii="宋体" w:hAnsi="宋体" w:cs="宋体"/>
                <w:sz w:val="28"/>
                <w:szCs w:val="28"/>
              </w:rPr>
              <w:t>锁</w:t>
            </w:r>
          </w:p>
        </w:tc>
        <w:tc>
          <w:tcPr>
            <w:tcW w:w="1297"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把</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auto"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2</w:t>
            </w:r>
          </w:p>
        </w:tc>
        <w:tc>
          <w:tcPr>
            <w:tcW w:w="2701" w:type="pct"/>
            <w:tcBorders>
              <w:top w:val="nil"/>
              <w:left w:val="nil"/>
              <w:bottom w:val="single" w:color="auto" w:sz="4" w:space="0"/>
              <w:right w:val="single" w:color="000000" w:sz="4" w:space="0"/>
            </w:tcBorders>
            <w:shd w:val="clear" w:color="auto" w:fill="auto"/>
            <w:tcMar>
              <w:left w:w="70" w:type="dxa"/>
              <w:right w:w="70" w:type="dxa"/>
            </w:tcMar>
          </w:tcPr>
          <w:p>
            <w:pPr>
              <w:jc w:val="center"/>
              <w:rPr>
                <w:sz w:val="30"/>
                <w:szCs w:val="30"/>
              </w:rPr>
            </w:pPr>
            <w:r>
              <w:rPr>
                <w:rFonts w:hint="eastAsia"/>
                <w:sz w:val="30"/>
                <w:szCs w:val="30"/>
              </w:rPr>
              <w:t>房卡</w:t>
            </w:r>
          </w:p>
        </w:tc>
        <w:tc>
          <w:tcPr>
            <w:tcW w:w="1297" w:type="pct"/>
            <w:tcBorders>
              <w:top w:val="nil"/>
              <w:left w:val="nil"/>
              <w:bottom w:val="single" w:color="auto" w:sz="4" w:space="0"/>
              <w:right w:val="single" w:color="000000" w:sz="4" w:space="0"/>
            </w:tcBorders>
            <w:shd w:val="clear" w:color="auto" w:fill="auto"/>
            <w:tcMar>
              <w:left w:w="70" w:type="dxa"/>
              <w:right w:w="70" w:type="dxa"/>
            </w:tcMar>
          </w:tcPr>
          <w:p>
            <w:pPr>
              <w:jc w:val="center"/>
              <w:rPr>
                <w:rFonts w:hint="eastAsia" w:ascii="宋体" w:hAnsi="宋体" w:eastAsia="宋体" w:cs="宋体"/>
                <w:sz w:val="24"/>
                <w:lang w:eastAsia="zh-CN"/>
              </w:rPr>
            </w:pPr>
            <w:r>
              <w:rPr>
                <w:rFonts w:hint="eastAsia"/>
                <w:sz w:val="30"/>
                <w:szCs w:val="30"/>
                <w:lang w:val="en-US" w:eastAsia="zh-CN"/>
              </w:rPr>
              <w:t>张</w:t>
            </w:r>
          </w:p>
        </w:tc>
        <w:tc>
          <w:tcPr>
            <w:tcW w:w="554" w:type="pct"/>
            <w:tcBorders>
              <w:top w:val="nil"/>
              <w:left w:val="nil"/>
              <w:bottom w:val="single" w:color="auto" w:sz="4" w:space="0"/>
              <w:right w:val="single" w:color="000000" w:sz="4" w:space="0"/>
            </w:tcBorders>
            <w:shd w:val="clear" w:color="auto" w:fill="auto"/>
            <w:tcMar>
              <w:left w:w="70" w:type="dxa"/>
              <w:right w:w="70" w:type="dxa"/>
            </w:tcMar>
          </w:tcPr>
          <w:p>
            <w:pPr>
              <w:jc w:val="center"/>
              <w:rPr>
                <w:rFonts w:hint="default" w:eastAsia="宋体"/>
                <w:lang w:val="en-US" w:eastAsia="zh-CN"/>
              </w:rPr>
            </w:pPr>
            <w:r>
              <w:rPr>
                <w:rFonts w:hint="eastAsia" w:ascii="宋体" w:hAnsi="宋体" w:cs="宋体"/>
                <w:sz w:val="28"/>
                <w:szCs w:val="28"/>
                <w:lang w:val="en-US" w:eastAsia="zh-CN"/>
              </w:rPr>
              <w:t>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single" w:color="auto" w:sz="4" w:space="0"/>
              <w:left w:val="single" w:color="auto" w:sz="4" w:space="0"/>
              <w:bottom w:val="single" w:color="auto"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rPr>
            </w:pPr>
            <w:r>
              <w:rPr>
                <w:rFonts w:hint="eastAsia" w:ascii="宋体" w:hAnsi="宋体" w:cs="宋体"/>
                <w:color w:val="333333"/>
                <w:kern w:val="0"/>
                <w:sz w:val="24"/>
              </w:rPr>
              <w:t>3</w:t>
            </w:r>
          </w:p>
        </w:tc>
        <w:tc>
          <w:tcPr>
            <w:tcW w:w="2701" w:type="pct"/>
            <w:tcBorders>
              <w:top w:val="single" w:color="auto" w:sz="4" w:space="0"/>
              <w:left w:val="nil"/>
              <w:bottom w:val="single" w:color="auto" w:sz="4" w:space="0"/>
              <w:right w:val="single" w:color="000000" w:sz="4" w:space="0"/>
            </w:tcBorders>
            <w:shd w:val="clear" w:color="auto" w:fill="auto"/>
            <w:tcMar>
              <w:left w:w="70" w:type="dxa"/>
              <w:right w:w="70" w:type="dxa"/>
            </w:tcMar>
          </w:tcPr>
          <w:p>
            <w:pPr>
              <w:jc w:val="center"/>
              <w:rPr>
                <w:sz w:val="30"/>
                <w:szCs w:val="30"/>
              </w:rPr>
            </w:pPr>
            <w:r>
              <w:rPr>
                <w:rFonts w:hint="eastAsia"/>
                <w:sz w:val="30"/>
                <w:szCs w:val="30"/>
              </w:rPr>
              <w:t>发卡器</w:t>
            </w:r>
          </w:p>
        </w:tc>
        <w:tc>
          <w:tcPr>
            <w:tcW w:w="1297" w:type="pct"/>
            <w:tcBorders>
              <w:top w:val="single" w:color="auto" w:sz="4" w:space="0"/>
              <w:left w:val="nil"/>
              <w:bottom w:val="single" w:color="auto" w:sz="4" w:space="0"/>
              <w:right w:val="single" w:color="000000" w:sz="4" w:space="0"/>
            </w:tcBorders>
            <w:shd w:val="clear" w:color="auto" w:fill="auto"/>
            <w:tcMar>
              <w:left w:w="70" w:type="dxa"/>
              <w:right w:w="70" w:type="dxa"/>
            </w:tcMar>
          </w:tcPr>
          <w:p>
            <w:pPr>
              <w:jc w:val="center"/>
              <w:rPr>
                <w:rFonts w:hint="eastAsia" w:ascii="宋体" w:hAnsi="宋体" w:eastAsia="宋体" w:cs="宋体"/>
                <w:sz w:val="24"/>
                <w:lang w:eastAsia="zh-CN"/>
              </w:rPr>
            </w:pPr>
            <w:r>
              <w:rPr>
                <w:rFonts w:hint="eastAsia"/>
                <w:sz w:val="30"/>
                <w:szCs w:val="30"/>
                <w:lang w:val="en-US" w:eastAsia="zh-CN"/>
              </w:rPr>
              <w:t>套</w:t>
            </w:r>
          </w:p>
        </w:tc>
        <w:tc>
          <w:tcPr>
            <w:tcW w:w="554" w:type="pct"/>
            <w:tcBorders>
              <w:top w:val="single" w:color="auto" w:sz="4" w:space="0"/>
              <w:left w:val="nil"/>
              <w:bottom w:val="single" w:color="auto" w:sz="4" w:space="0"/>
              <w:right w:val="single" w:color="auto" w:sz="4" w:space="0"/>
            </w:tcBorders>
            <w:shd w:val="clear" w:color="auto" w:fill="auto"/>
            <w:tcMar>
              <w:left w:w="70" w:type="dxa"/>
              <w:right w:w="70" w:type="dxa"/>
            </w:tcMar>
          </w:tcPr>
          <w:p>
            <w:pPr>
              <w:jc w:val="center"/>
              <w:rPr>
                <w:rFonts w:hint="eastAsia" w:eastAsia="宋体"/>
                <w:lang w:eastAsia="zh-CN"/>
              </w:rPr>
            </w:pPr>
            <w:r>
              <w:rPr>
                <w:rFonts w:hint="eastAsia" w:ascii="宋体" w:hAnsi="宋体" w:cs="宋体"/>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single" w:color="auto" w:sz="4" w:space="0"/>
              <w:left w:val="single" w:color="000000" w:sz="4" w:space="0"/>
              <w:bottom w:val="single" w:color="auto" w:sz="4" w:space="0"/>
              <w:right w:val="single" w:color="000000" w:sz="4" w:space="0"/>
            </w:tcBorders>
            <w:shd w:val="clear" w:color="auto" w:fill="auto"/>
            <w:tcMar>
              <w:left w:w="70" w:type="dxa"/>
              <w:right w:w="70" w:type="dxa"/>
            </w:tcMar>
          </w:tcPr>
          <w:p>
            <w:pPr>
              <w:widowControl/>
              <w:spacing w:line="560" w:lineRule="exact"/>
              <w:jc w:val="center"/>
              <w:rPr>
                <w:rFonts w:hint="eastAsia" w:ascii="宋体" w:hAnsi="宋体" w:eastAsia="宋体" w:cs="宋体"/>
                <w:color w:val="333333"/>
                <w:kern w:val="0"/>
                <w:sz w:val="24"/>
                <w:lang w:val="en-US" w:eastAsia="zh-CN"/>
              </w:rPr>
            </w:pPr>
            <w:r>
              <w:rPr>
                <w:rFonts w:hint="eastAsia" w:ascii="宋体" w:hAnsi="宋体" w:cs="宋体"/>
                <w:color w:val="333333"/>
                <w:kern w:val="0"/>
                <w:sz w:val="24"/>
                <w:lang w:val="en-US" w:eastAsia="zh-CN"/>
              </w:rPr>
              <w:t>4</w:t>
            </w:r>
          </w:p>
        </w:tc>
        <w:tc>
          <w:tcPr>
            <w:tcW w:w="2701" w:type="pct"/>
            <w:tcBorders>
              <w:top w:val="single" w:color="auto" w:sz="4" w:space="0"/>
              <w:left w:val="nil"/>
              <w:bottom w:val="single" w:color="auto" w:sz="4" w:space="0"/>
              <w:right w:val="single" w:color="000000" w:sz="4" w:space="0"/>
            </w:tcBorders>
            <w:shd w:val="clear" w:color="auto" w:fill="auto"/>
            <w:tcMar>
              <w:left w:w="70" w:type="dxa"/>
              <w:right w:w="70" w:type="dxa"/>
            </w:tcMar>
          </w:tcPr>
          <w:p>
            <w:pPr>
              <w:jc w:val="center"/>
              <w:rPr>
                <w:rFonts w:hint="default" w:eastAsia="宋体"/>
                <w:sz w:val="30"/>
                <w:szCs w:val="30"/>
                <w:lang w:val="en-US" w:eastAsia="zh-CN"/>
              </w:rPr>
            </w:pPr>
            <w:r>
              <w:rPr>
                <w:rFonts w:hint="eastAsia"/>
                <w:sz w:val="30"/>
                <w:szCs w:val="30"/>
                <w:lang w:val="en-US" w:eastAsia="zh-CN"/>
              </w:rPr>
              <w:t>系统软件</w:t>
            </w:r>
          </w:p>
        </w:tc>
        <w:tc>
          <w:tcPr>
            <w:tcW w:w="1297" w:type="pct"/>
            <w:tcBorders>
              <w:top w:val="single" w:color="auto" w:sz="4" w:space="0"/>
              <w:left w:val="nil"/>
              <w:bottom w:val="single" w:color="auto" w:sz="4" w:space="0"/>
              <w:right w:val="single" w:color="000000" w:sz="4" w:space="0"/>
            </w:tcBorders>
            <w:shd w:val="clear" w:color="auto" w:fill="auto"/>
            <w:tcMar>
              <w:left w:w="70" w:type="dxa"/>
              <w:right w:w="70" w:type="dxa"/>
            </w:tcMar>
          </w:tcPr>
          <w:p>
            <w:pPr>
              <w:jc w:val="center"/>
              <w:rPr>
                <w:rFonts w:hint="eastAsia"/>
                <w:sz w:val="30"/>
                <w:szCs w:val="30"/>
                <w:lang w:val="en-US" w:eastAsia="zh-CN"/>
              </w:rPr>
            </w:pPr>
            <w:r>
              <w:rPr>
                <w:rFonts w:hint="eastAsia"/>
                <w:sz w:val="30"/>
                <w:szCs w:val="30"/>
                <w:lang w:val="en-US" w:eastAsia="zh-CN"/>
              </w:rPr>
              <w:t>套</w:t>
            </w:r>
          </w:p>
        </w:tc>
        <w:tc>
          <w:tcPr>
            <w:tcW w:w="554" w:type="pct"/>
            <w:tcBorders>
              <w:top w:val="single" w:color="auto" w:sz="4" w:space="0"/>
              <w:left w:val="nil"/>
              <w:bottom w:val="single" w:color="auto" w:sz="4" w:space="0"/>
              <w:right w:val="single" w:color="000000" w:sz="4" w:space="0"/>
            </w:tcBorders>
            <w:shd w:val="clear" w:color="auto" w:fill="auto"/>
            <w:tcMar>
              <w:left w:w="70" w:type="dxa"/>
              <w:right w:w="70" w:type="dxa"/>
            </w:tcMar>
          </w:tcPr>
          <w:p>
            <w:pPr>
              <w:jc w:val="center"/>
              <w:rPr>
                <w:rFonts w:hint="default" w:ascii="宋体" w:hAnsi="宋体" w:cs="宋体"/>
                <w:sz w:val="28"/>
                <w:szCs w:val="28"/>
                <w:lang w:val="en-US" w:eastAsia="zh-CN"/>
              </w:rPr>
            </w:pPr>
            <w:r>
              <w:rPr>
                <w:rFonts w:hint="eastAsia" w:ascii="宋体" w:hAnsi="宋体" w:cs="宋体"/>
                <w:sz w:val="28"/>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hint="default" w:ascii="宋体" w:hAnsi="宋体" w:cs="宋体"/>
                <w:color w:val="333333"/>
                <w:kern w:val="0"/>
                <w:sz w:val="24"/>
                <w:lang w:val="en-US" w:eastAsia="zh-CN"/>
              </w:rPr>
            </w:pPr>
            <w:r>
              <w:rPr>
                <w:rFonts w:hint="eastAsia" w:ascii="宋体" w:hAnsi="宋体" w:cs="宋体"/>
                <w:color w:val="333333"/>
                <w:kern w:val="0"/>
                <w:sz w:val="24"/>
                <w:lang w:val="en-US" w:eastAsia="zh-CN"/>
              </w:rPr>
              <w:t>5</w:t>
            </w:r>
          </w:p>
        </w:tc>
        <w:tc>
          <w:tcPr>
            <w:tcW w:w="2701" w:type="pct"/>
            <w:tcBorders>
              <w:top w:val="single" w:color="auto" w:sz="4" w:space="0"/>
              <w:left w:val="nil"/>
              <w:bottom w:val="single" w:color="000000" w:sz="4" w:space="0"/>
              <w:right w:val="single" w:color="000000" w:sz="4" w:space="0"/>
            </w:tcBorders>
            <w:shd w:val="clear" w:color="auto" w:fill="auto"/>
            <w:tcMar>
              <w:left w:w="70" w:type="dxa"/>
              <w:right w:w="70" w:type="dxa"/>
            </w:tcMar>
          </w:tcPr>
          <w:p>
            <w:pPr>
              <w:jc w:val="center"/>
              <w:rPr>
                <w:rFonts w:hint="default"/>
                <w:sz w:val="30"/>
                <w:szCs w:val="30"/>
                <w:lang w:val="en-US" w:eastAsia="zh-CN"/>
              </w:rPr>
            </w:pPr>
            <w:r>
              <w:rPr>
                <w:rFonts w:hint="eastAsia"/>
                <w:sz w:val="30"/>
                <w:szCs w:val="30"/>
                <w:lang w:val="en-US" w:eastAsia="zh-CN"/>
              </w:rPr>
              <w:t>门牌</w:t>
            </w:r>
          </w:p>
        </w:tc>
        <w:tc>
          <w:tcPr>
            <w:tcW w:w="1297" w:type="pct"/>
            <w:tcBorders>
              <w:top w:val="single" w:color="auto" w:sz="4" w:space="0"/>
              <w:left w:val="nil"/>
              <w:bottom w:val="single" w:color="000000" w:sz="4" w:space="0"/>
              <w:right w:val="single" w:color="000000" w:sz="4" w:space="0"/>
            </w:tcBorders>
            <w:shd w:val="clear" w:color="auto" w:fill="auto"/>
            <w:tcMar>
              <w:left w:w="70" w:type="dxa"/>
              <w:right w:w="70" w:type="dxa"/>
            </w:tcMar>
          </w:tcPr>
          <w:p>
            <w:pPr>
              <w:jc w:val="center"/>
              <w:rPr>
                <w:rFonts w:hint="eastAsia"/>
                <w:sz w:val="30"/>
                <w:szCs w:val="30"/>
                <w:lang w:val="en-US" w:eastAsia="zh-CN"/>
              </w:rPr>
            </w:pPr>
            <w:r>
              <w:rPr>
                <w:rFonts w:hint="eastAsia"/>
                <w:sz w:val="30"/>
                <w:szCs w:val="30"/>
                <w:lang w:val="en-US" w:eastAsia="zh-CN"/>
              </w:rPr>
              <w:t>个</w:t>
            </w:r>
          </w:p>
        </w:tc>
        <w:tc>
          <w:tcPr>
            <w:tcW w:w="554" w:type="pct"/>
            <w:tcBorders>
              <w:top w:val="single" w:color="auto" w:sz="4" w:space="0"/>
              <w:left w:val="nil"/>
              <w:bottom w:val="single" w:color="000000" w:sz="4" w:space="0"/>
              <w:right w:val="single" w:color="000000" w:sz="4" w:space="0"/>
            </w:tcBorders>
            <w:shd w:val="clear" w:color="auto" w:fill="auto"/>
            <w:tcMar>
              <w:left w:w="70" w:type="dxa"/>
              <w:right w:w="70" w:type="dxa"/>
            </w:tcMar>
          </w:tcPr>
          <w:p>
            <w:pPr>
              <w:jc w:val="center"/>
              <w:rPr>
                <w:rFonts w:hint="default" w:ascii="宋体" w:hAnsi="宋体" w:cs="宋体"/>
                <w:sz w:val="28"/>
                <w:szCs w:val="28"/>
                <w:lang w:val="en-US" w:eastAsia="zh-CN"/>
              </w:rPr>
            </w:pPr>
            <w:r>
              <w:rPr>
                <w:rFonts w:hint="eastAsia" w:ascii="宋体" w:hAnsi="宋体" w:cs="宋体"/>
                <w:sz w:val="28"/>
                <w:szCs w:val="28"/>
                <w:lang w:val="en-US" w:eastAsia="zh-CN"/>
              </w:rPr>
              <w:t>332</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pPr>
        <w:ind w:firstLine="560" w:firstLineChars="200"/>
        <w:rPr>
          <w:rFonts w:hint="eastAsia"/>
          <w:sz w:val="28"/>
          <w:szCs w:val="28"/>
          <w:lang w:val="en-US" w:eastAsia="zh-CN"/>
        </w:rPr>
      </w:pPr>
      <w:r>
        <w:rPr>
          <w:rFonts w:hint="eastAsia"/>
          <w:sz w:val="28"/>
          <w:szCs w:val="28"/>
          <w:lang w:val="en-US" w:eastAsia="zh-CN"/>
        </w:rPr>
        <w:t>1）门锁</w:t>
      </w:r>
    </w:p>
    <w:p>
      <w:pPr>
        <w:adjustRightInd w:val="0"/>
        <w:snapToGrid w:val="0"/>
        <w:spacing w:line="560" w:lineRule="exact"/>
        <w:ind w:firstLine="638" w:firstLineChars="228"/>
        <w:jc w:val="left"/>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1.主要功能：时间限制，门锁内设实时时钟，可以对房卡的有效性进行时间限制，如只能在入住期间使用。</w:t>
      </w:r>
    </w:p>
    <w:p>
      <w:pPr>
        <w:adjustRightInd w:val="0"/>
        <w:snapToGrid w:val="0"/>
        <w:spacing w:line="560" w:lineRule="exact"/>
        <w:ind w:firstLine="638" w:firstLineChars="228"/>
        <w:jc w:val="left"/>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2.区域限制：每把门锁都设有房号、楼栋号，只有相应区域的房卡才能开锁。</w:t>
      </w:r>
    </w:p>
    <w:p>
      <w:pPr>
        <w:adjustRightInd w:val="0"/>
        <w:snapToGrid w:val="0"/>
        <w:spacing w:line="560" w:lineRule="exact"/>
        <w:ind w:firstLine="638" w:firstLineChars="228"/>
        <w:jc w:val="left"/>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3.级别限制：不同级别的房卡可开启不同的门锁范围及状态。</w:t>
      </w:r>
    </w:p>
    <w:p>
      <w:pPr>
        <w:adjustRightInd w:val="0"/>
        <w:snapToGrid w:val="0"/>
        <w:spacing w:line="560" w:lineRule="exact"/>
        <w:ind w:firstLine="638" w:firstLineChars="228"/>
        <w:jc w:val="left"/>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4.记录功能：每次开锁时，门锁都记录开锁卡号和时间。任何开门记录都可查询。</w:t>
      </w:r>
    </w:p>
    <w:p>
      <w:pPr>
        <w:adjustRightInd w:val="0"/>
        <w:snapToGrid w:val="0"/>
        <w:spacing w:line="560" w:lineRule="exact"/>
        <w:ind w:firstLine="638" w:firstLineChars="228"/>
        <w:jc w:val="left"/>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5.挂失功能：当房卡丢失时，可以重新发一张新卡作废丢失的房卡。</w:t>
      </w:r>
    </w:p>
    <w:p>
      <w:pPr>
        <w:adjustRightInd w:val="0"/>
        <w:snapToGrid w:val="0"/>
        <w:spacing w:line="560" w:lineRule="exact"/>
        <w:ind w:firstLine="638" w:firstLineChars="228"/>
        <w:jc w:val="left"/>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6.应急功能：紧急状态下，可制作应急卡将门锁置于常开状态。</w:t>
      </w:r>
    </w:p>
    <w:p>
      <w:pPr>
        <w:adjustRightInd w:val="0"/>
        <w:snapToGrid w:val="0"/>
        <w:spacing w:line="560" w:lineRule="exact"/>
        <w:ind w:firstLine="638" w:firstLineChars="228"/>
        <w:jc w:val="left"/>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7.封闭功能：根据需要，封闭某个房间，使该房间所有房卡失效。</w:t>
      </w:r>
    </w:p>
    <w:p>
      <w:pPr>
        <w:adjustRightInd w:val="0"/>
        <w:snapToGrid w:val="0"/>
        <w:spacing w:line="560" w:lineRule="exact"/>
        <w:ind w:firstLine="638" w:firstLineChars="228"/>
        <w:jc w:val="left"/>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8.设置公共门功能，可设置楼层公共门和楼栋公共门。</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9.扩充功能：智能卡容量大，可储存多种信息，实现一卡多用。</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10.门锁性能：活动把手结构，防外力破坏，五锁舌联动电子锁芯。</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11.异常控制：门锁防斜插，非正常状态报警提醒。</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12.电池：工作电压6V，使用4节高能碱性电池。电池寿命6个月以上。</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13.可靠性：连续正常刷卡1000次零失误。接触任何非法卡，锁内电路不会损坏，仍能正常使用。</w:t>
      </w:r>
    </w:p>
    <w:p>
      <w:pPr>
        <w:adjustRightInd w:val="0"/>
        <w:snapToGrid w:val="0"/>
        <w:spacing w:line="560" w:lineRule="exact"/>
        <w:ind w:firstLine="638" w:firstLineChars="228"/>
        <w:jc w:val="left"/>
        <w:rPr>
          <w:rFonts w:hint="eastAsia" w:ascii="宋体" w:hAnsi="宋体"/>
          <w:bCs/>
          <w:sz w:val="28"/>
          <w:szCs w:val="28"/>
          <w:lang w:val="en-US" w:eastAsia="zh-CN"/>
        </w:rPr>
      </w:pPr>
      <w:r>
        <w:rPr>
          <w:rFonts w:hint="eastAsia" w:ascii="宋体" w:hAnsi="宋体"/>
          <w:bCs/>
          <w:sz w:val="28"/>
          <w:szCs w:val="28"/>
          <w:lang w:val="en-US" w:eastAsia="zh-CN"/>
        </w:rPr>
        <w:t>14.机械钥匙：具有传动系统完全独立的机械应急开锁机构，确保紧急情况下门锁仍能正常开启。</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2）房卡</w:t>
      </w:r>
    </w:p>
    <w:p>
      <w:pPr>
        <w:adjustRightInd w:val="0"/>
        <w:snapToGrid w:val="0"/>
        <w:spacing w:line="560" w:lineRule="exact"/>
        <w:ind w:firstLine="638" w:firstLineChars="228"/>
        <w:rPr>
          <w:rFonts w:hint="eastAsia" w:ascii="宋体" w:hAnsi="宋体"/>
          <w:sz w:val="28"/>
          <w:szCs w:val="28"/>
          <w:lang w:val="en-US" w:eastAsia="zh-CN"/>
        </w:rPr>
      </w:pPr>
      <w:r>
        <w:rPr>
          <w:rFonts w:hint="default" w:ascii="宋体" w:hAnsi="宋体"/>
          <w:sz w:val="28"/>
          <w:szCs w:val="28"/>
          <w:lang w:val="en-US" w:eastAsia="zh-CN"/>
        </w:rPr>
        <w:t>加印校徽</w:t>
      </w:r>
      <w:r>
        <w:rPr>
          <w:rFonts w:hint="eastAsia" w:ascii="宋体" w:hAnsi="宋体"/>
          <w:sz w:val="28"/>
          <w:szCs w:val="28"/>
          <w:lang w:val="en-US" w:eastAsia="zh-CN"/>
        </w:rPr>
        <w:t>、</w:t>
      </w:r>
      <w:r>
        <w:rPr>
          <w:rFonts w:hint="default" w:ascii="宋体" w:hAnsi="宋体"/>
          <w:sz w:val="28"/>
          <w:szCs w:val="28"/>
          <w:lang w:val="en-US" w:eastAsia="zh-CN"/>
        </w:rPr>
        <w:t>广东财经大学Logo</w:t>
      </w:r>
      <w:r>
        <w:rPr>
          <w:rFonts w:hint="eastAsia" w:ascii="宋体" w:hAnsi="宋体"/>
          <w:sz w:val="28"/>
          <w:szCs w:val="28"/>
          <w:lang w:val="en-US" w:eastAsia="zh-CN"/>
        </w:rPr>
        <w:t>、字样。</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系统管理发卡器</w:t>
      </w:r>
    </w:p>
    <w:p>
      <w:pPr>
        <w:adjustRightInd w:val="0"/>
        <w:snapToGrid w:val="0"/>
        <w:spacing w:line="560" w:lineRule="exact"/>
        <w:ind w:firstLine="638" w:firstLineChars="228"/>
        <w:rPr>
          <w:rFonts w:hint="default" w:ascii="宋体" w:hAnsi="宋体"/>
          <w:sz w:val="28"/>
          <w:szCs w:val="28"/>
          <w:lang w:val="en-US" w:eastAsia="zh-CN"/>
        </w:rPr>
      </w:pPr>
      <w:r>
        <w:rPr>
          <w:rFonts w:hint="eastAsia" w:ascii="宋体" w:hAnsi="宋体"/>
          <w:sz w:val="28"/>
          <w:szCs w:val="28"/>
          <w:lang w:val="en-US" w:eastAsia="zh-CN"/>
        </w:rPr>
        <w:t>1.</w:t>
      </w:r>
      <w:r>
        <w:rPr>
          <w:rFonts w:hint="default" w:ascii="宋体" w:hAnsi="宋体"/>
          <w:sz w:val="28"/>
          <w:szCs w:val="28"/>
          <w:lang w:val="en-US" w:eastAsia="zh-CN"/>
        </w:rPr>
        <w:t>直接读取</w:t>
      </w:r>
      <w:r>
        <w:rPr>
          <w:rFonts w:hint="eastAsia" w:ascii="宋体" w:hAnsi="宋体"/>
          <w:sz w:val="28"/>
          <w:szCs w:val="28"/>
          <w:lang w:val="en-US" w:eastAsia="zh-CN"/>
        </w:rPr>
        <w:t>信息</w:t>
      </w:r>
      <w:r>
        <w:rPr>
          <w:rFonts w:hint="default" w:ascii="宋体" w:hAnsi="宋体"/>
          <w:sz w:val="28"/>
          <w:szCs w:val="28"/>
          <w:lang w:val="en-US" w:eastAsia="zh-CN"/>
        </w:rPr>
        <w:t>，无需手工操作，并具有防冲突功能，可同时处理多张卡片。</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2.</w:t>
      </w:r>
      <w:r>
        <w:rPr>
          <w:rFonts w:hint="default" w:ascii="宋体" w:hAnsi="宋体"/>
          <w:sz w:val="28"/>
          <w:szCs w:val="28"/>
          <w:lang w:val="en-US" w:eastAsia="zh-CN"/>
        </w:rPr>
        <w:t>提供完整的读写卡操作功能，并配有动态库，方便进行二次开发</w:t>
      </w:r>
      <w:r>
        <w:rPr>
          <w:rFonts w:hint="eastAsia" w:ascii="宋体" w:hAnsi="宋体"/>
          <w:sz w:val="28"/>
          <w:szCs w:val="28"/>
          <w:lang w:val="en-US" w:eastAsia="zh-CN"/>
        </w:rPr>
        <w:t>。</w:t>
      </w:r>
    </w:p>
    <w:p>
      <w:pPr>
        <w:adjustRightInd w:val="0"/>
        <w:snapToGrid w:val="0"/>
        <w:spacing w:line="560" w:lineRule="exact"/>
        <w:ind w:firstLine="560" w:firstLineChars="200"/>
        <w:rPr>
          <w:rFonts w:hint="eastAsia" w:ascii="宋体" w:hAnsi="宋体"/>
          <w:sz w:val="28"/>
          <w:szCs w:val="28"/>
          <w:lang w:val="en-US" w:eastAsia="zh-CN"/>
        </w:rPr>
      </w:pPr>
      <w:r>
        <w:rPr>
          <w:rFonts w:hint="eastAsia" w:ascii="宋体" w:hAnsi="宋体"/>
          <w:sz w:val="28"/>
          <w:szCs w:val="28"/>
        </w:rPr>
        <w:t>★</w:t>
      </w:r>
      <w:r>
        <w:rPr>
          <w:rFonts w:hint="eastAsia" w:ascii="宋体" w:hAnsi="宋体"/>
          <w:sz w:val="28"/>
          <w:szCs w:val="28"/>
          <w:lang w:val="en-US" w:eastAsia="zh-CN"/>
        </w:rPr>
        <w:t>3.</w:t>
      </w:r>
      <w:r>
        <w:rPr>
          <w:rFonts w:hint="default" w:ascii="宋体" w:hAnsi="宋体"/>
          <w:sz w:val="28"/>
          <w:szCs w:val="28"/>
          <w:lang w:val="en-US" w:eastAsia="zh-CN"/>
        </w:rPr>
        <w:t>可设置房中房</w:t>
      </w:r>
      <w:r>
        <w:rPr>
          <w:rFonts w:hint="eastAsia" w:ascii="宋体" w:hAnsi="宋体"/>
          <w:sz w:val="28"/>
          <w:szCs w:val="28"/>
          <w:lang w:val="en-US" w:eastAsia="zh-CN"/>
        </w:rPr>
        <w:t>层级菜单</w:t>
      </w:r>
      <w:r>
        <w:rPr>
          <w:rFonts w:hint="default" w:ascii="宋体" w:hAnsi="宋体"/>
          <w:sz w:val="28"/>
          <w:szCs w:val="28"/>
          <w:lang w:val="en-US" w:eastAsia="zh-CN"/>
        </w:rPr>
        <w:t>，方便一房多室管理</w:t>
      </w:r>
      <w:r>
        <w:rPr>
          <w:rFonts w:hint="eastAsia" w:ascii="宋体" w:hAnsi="宋体"/>
          <w:sz w:val="28"/>
          <w:szCs w:val="28"/>
          <w:lang w:val="en-US" w:eastAsia="zh-CN"/>
        </w:rPr>
        <w:t>入住</w:t>
      </w:r>
      <w:r>
        <w:rPr>
          <w:rFonts w:hint="default" w:ascii="宋体" w:hAnsi="宋体"/>
          <w:sz w:val="28"/>
          <w:szCs w:val="28"/>
          <w:lang w:val="en-US" w:eastAsia="zh-CN"/>
        </w:rPr>
        <w:t>人员。</w:t>
      </w:r>
    </w:p>
    <w:p>
      <w:pPr>
        <w:adjustRightInd w:val="0"/>
        <w:snapToGrid w:val="0"/>
        <w:spacing w:line="560" w:lineRule="exact"/>
        <w:ind w:firstLine="638" w:firstLineChars="228"/>
        <w:rPr>
          <w:rFonts w:hint="eastAsia"/>
          <w:sz w:val="30"/>
          <w:szCs w:val="30"/>
          <w:lang w:val="en-US" w:eastAsia="zh-CN"/>
        </w:rPr>
      </w:pPr>
      <w:r>
        <w:rPr>
          <w:rFonts w:hint="eastAsia" w:ascii="宋体" w:hAnsi="宋体"/>
          <w:sz w:val="28"/>
          <w:szCs w:val="28"/>
          <w:lang w:val="en-US" w:eastAsia="zh-CN"/>
        </w:rPr>
        <w:t>4）</w:t>
      </w:r>
      <w:r>
        <w:rPr>
          <w:rFonts w:hint="eastAsia"/>
          <w:sz w:val="30"/>
          <w:szCs w:val="30"/>
          <w:lang w:val="en-US" w:eastAsia="zh-CN"/>
        </w:rPr>
        <w:t>系统软件</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1.前台接待模块</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快速入住、资料维护、自动登记、房类、房态查询（实时动态房态查询、楼层态查询）。</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2.房务中心管理模块</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房态设置、需求处理、电脑报房、失物管理、物品损坏管理、客房耗品管理、客房维修计划、综合查询、报表系统。</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3.系统维护模块</w:t>
      </w:r>
    </w:p>
    <w:p>
      <w:pPr>
        <w:numPr>
          <w:ilvl w:val="0"/>
          <w:numId w:val="0"/>
        </w:numPr>
        <w:spacing w:line="360" w:lineRule="auto"/>
        <w:ind w:leftChars="0" w:firstLine="560" w:firstLineChars="200"/>
        <w:rPr>
          <w:rFonts w:hint="eastAsia" w:ascii="宋体" w:hAnsi="宋体"/>
          <w:sz w:val="28"/>
          <w:szCs w:val="28"/>
          <w:lang w:val="en-US" w:eastAsia="zh-CN"/>
        </w:rPr>
      </w:pPr>
      <w:r>
        <w:rPr>
          <w:rFonts w:hint="eastAsia" w:ascii="宋体" w:hAnsi="宋体"/>
          <w:sz w:val="28"/>
          <w:szCs w:val="28"/>
          <w:lang w:val="en-US" w:eastAsia="zh-CN"/>
        </w:rPr>
        <w:t xml:space="preserve">系统参数维护、操作员权限设定、查询报表权限设定、各类数据代码维护、系统数据备份（自动备份，可以保存常年数据）。 </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4.仓库管理模块</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仓库库存管理（入库、出库、报损、盘点），货物安全库存设置管理，过期货物警示等。</w:t>
      </w:r>
    </w:p>
    <w:p>
      <w:pPr>
        <w:adjustRightInd w:val="0"/>
        <w:snapToGrid w:val="0"/>
        <w:spacing w:line="560" w:lineRule="exact"/>
        <w:ind w:firstLine="638" w:firstLineChars="228"/>
        <w:rPr>
          <w:rFonts w:hint="eastAsia" w:ascii="宋体" w:hAnsi="宋体"/>
          <w:sz w:val="28"/>
          <w:szCs w:val="28"/>
          <w:lang w:val="en-US" w:eastAsia="zh-CN"/>
        </w:rPr>
      </w:pPr>
      <w:r>
        <w:rPr>
          <w:rFonts w:hint="eastAsia" w:ascii="宋体" w:hAnsi="宋体"/>
          <w:sz w:val="28"/>
          <w:szCs w:val="28"/>
          <w:lang w:val="en-US" w:eastAsia="zh-CN"/>
        </w:rPr>
        <w:t>5）门牌</w:t>
      </w:r>
    </w:p>
    <w:p>
      <w:pPr>
        <w:adjustRightInd w:val="0"/>
        <w:snapToGrid w:val="0"/>
        <w:spacing w:line="560" w:lineRule="exact"/>
        <w:ind w:firstLine="638" w:firstLineChars="228"/>
        <w:rPr>
          <w:rFonts w:hint="default" w:ascii="宋体" w:hAnsi="宋体"/>
          <w:sz w:val="28"/>
          <w:szCs w:val="28"/>
          <w:lang w:val="en-US" w:eastAsia="zh-CN"/>
        </w:rPr>
      </w:pPr>
      <w:r>
        <w:rPr>
          <w:rFonts w:hint="eastAsia" w:ascii="宋体" w:hAnsi="宋体"/>
          <w:sz w:val="28"/>
          <w:szCs w:val="28"/>
          <w:lang w:val="en-US" w:eastAsia="zh-CN"/>
        </w:rPr>
        <w:t>尺寸：10cm*5cm,厚度≥2mm,椭圆形。</w:t>
      </w:r>
    </w:p>
    <w:p>
      <w:pPr>
        <w:adjustRightInd w:val="0"/>
        <w:snapToGrid w:val="0"/>
        <w:spacing w:line="560" w:lineRule="exact"/>
        <w:ind w:firstLine="638" w:firstLineChars="228"/>
        <w:rPr>
          <w:rFonts w:hint="default" w:ascii="宋体" w:hAnsi="宋体"/>
          <w:sz w:val="28"/>
          <w:szCs w:val="28"/>
          <w:lang w:val="en-US" w:eastAsia="zh-CN"/>
        </w:rPr>
      </w:pPr>
      <w:r>
        <w:rPr>
          <w:rFonts w:hint="eastAsia" w:ascii="宋体" w:hAnsi="宋体"/>
          <w:sz w:val="28"/>
          <w:szCs w:val="28"/>
          <w:lang w:val="en-US" w:eastAsia="zh-CN"/>
        </w:rPr>
        <w:t>亚克力材质，丝印工艺。</w:t>
      </w:r>
    </w:p>
    <w:p>
      <w:pPr>
        <w:spacing w:line="560" w:lineRule="exact"/>
        <w:ind w:firstLine="560" w:firstLineChars="200"/>
        <w:rPr>
          <w:rFonts w:hint="eastAsia" w:ascii="宋体" w:hAnsi="宋体" w:eastAsia="宋体"/>
          <w:sz w:val="32"/>
          <w:szCs w:val="32"/>
          <w:lang w:eastAsia="zh-CN"/>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r>
        <w:rPr>
          <w:rFonts w:hint="eastAsia" w:ascii="宋体" w:hAnsi="宋体"/>
          <w:kern w:val="0"/>
          <w:sz w:val="28"/>
          <w:szCs w:val="28"/>
          <w:lang w:eastAsia="zh-CN"/>
        </w:rPr>
        <w:t>。</w:t>
      </w:r>
    </w:p>
    <w:p>
      <w:pPr>
        <w:pStyle w:val="3"/>
        <w:pageBreakBefore w:val="0"/>
        <w:widowControl w:val="0"/>
        <w:numPr>
          <w:ilvl w:val="0"/>
          <w:numId w:val="4"/>
        </w:numPr>
        <w:kinsoku/>
        <w:wordWrap/>
        <w:overflowPunct/>
        <w:topLinePunct w:val="0"/>
        <w:autoSpaceDE/>
        <w:autoSpaceDN/>
        <w:bidi w:val="0"/>
        <w:spacing w:line="560" w:lineRule="exact"/>
        <w:textAlignment w:val="auto"/>
      </w:pPr>
      <w:bookmarkStart w:id="26" w:name="_Toc17787"/>
      <w:bookmarkStart w:id="27" w:name="_Toc60236709"/>
      <w:r>
        <w:rPr>
          <w:rFonts w:hint="eastAsia"/>
        </w:rPr>
        <w:t>商务要求</w:t>
      </w:r>
      <w:bookmarkEnd w:id="26"/>
      <w:bookmarkEnd w:id="27"/>
    </w:p>
    <w:p>
      <w:pPr>
        <w:pageBreakBefore w:val="0"/>
        <w:widowControl w:val="0"/>
        <w:kinsoku/>
        <w:wordWrap/>
        <w:overflowPunct/>
        <w:topLinePunct w:val="0"/>
        <w:autoSpaceDE/>
        <w:autoSpaceDN/>
        <w:bidi w:val="0"/>
        <w:adjustRightInd w:val="0"/>
        <w:snapToGrid w:val="0"/>
        <w:spacing w:line="560" w:lineRule="exact"/>
        <w:ind w:firstLine="641" w:firstLineChars="228"/>
        <w:jc w:val="left"/>
        <w:textAlignment w:val="auto"/>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交货时间：自合同签订之日起</w:t>
      </w:r>
      <w:r>
        <w:rPr>
          <w:rFonts w:hint="eastAsia" w:ascii="宋体" w:hAnsi="宋体"/>
          <w:bCs/>
          <w:sz w:val="28"/>
          <w:szCs w:val="28"/>
          <w:lang w:val="en-US" w:eastAsia="zh-CN"/>
        </w:rPr>
        <w:t>20</w:t>
      </w:r>
      <w:r>
        <w:rPr>
          <w:rFonts w:hint="eastAsia" w:ascii="宋体" w:hAnsi="宋体"/>
          <w:bCs/>
          <w:sz w:val="28"/>
          <w:szCs w:val="28"/>
        </w:rPr>
        <w:t>天内完成。</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eastAsia" w:ascii="宋体" w:hAnsi="宋体"/>
          <w:bCs/>
          <w:sz w:val="28"/>
          <w:szCs w:val="28"/>
          <w:lang w:val="en-US" w:eastAsia="zh-CN"/>
        </w:rPr>
        <w:t>佛山</w:t>
      </w:r>
      <w:r>
        <w:rPr>
          <w:rFonts w:hint="eastAsia" w:ascii="宋体" w:hAnsi="宋体"/>
          <w:bCs/>
          <w:sz w:val="28"/>
          <w:szCs w:val="28"/>
        </w:rPr>
        <w:t>校区。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本项目采购内容包括安装、调试和培训。需提供上门使用培训两次或以上。</w:t>
      </w:r>
    </w:p>
    <w:p>
      <w:pPr>
        <w:numPr>
          <w:ilvl w:val="0"/>
          <w:numId w:val="5"/>
        </w:num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项目质量与验收标准</w:t>
      </w:r>
    </w:p>
    <w:p>
      <w:pPr>
        <w:adjustRightInd w:val="0"/>
        <w:snapToGrid w:val="0"/>
        <w:spacing w:line="560" w:lineRule="exact"/>
        <w:ind w:firstLine="638" w:firstLineChars="228"/>
        <w:jc w:val="lef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（四）质保期</w:t>
      </w:r>
    </w:p>
    <w:p>
      <w:pPr>
        <w:adjustRightInd w:val="0"/>
        <w:snapToGrid w:val="0"/>
        <w:spacing w:line="560" w:lineRule="exact"/>
        <w:ind w:firstLine="638" w:firstLineChars="228"/>
        <w:jc w:val="left"/>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本项目的质量保证期限为</w:t>
      </w:r>
      <w:r>
        <w:rPr>
          <w:rFonts w:hint="eastAsia" w:ascii="宋体" w:hAnsi="宋体"/>
          <w:b/>
          <w:bCs/>
          <w:color w:val="000000" w:themeColor="text1"/>
          <w:sz w:val="28"/>
          <w:szCs w:val="28"/>
          <w:lang w:val="en-US" w:eastAsia="zh-CN"/>
          <w14:textFill>
            <w14:solidFill>
              <w14:schemeClr w14:val="tx1"/>
            </w14:solidFill>
          </w14:textFill>
        </w:rPr>
        <w:t>两</w:t>
      </w:r>
      <w:r>
        <w:rPr>
          <w:rFonts w:hint="eastAsia" w:ascii="宋体" w:hAnsi="宋体"/>
          <w:b/>
          <w:bCs/>
          <w:color w:val="000000" w:themeColor="text1"/>
          <w:sz w:val="28"/>
          <w:szCs w:val="28"/>
          <w14:textFill>
            <w14:solidFill>
              <w14:schemeClr w14:val="tx1"/>
            </w14:solidFill>
          </w14:textFill>
        </w:rPr>
        <w:t>年</w:t>
      </w:r>
      <w:r>
        <w:rPr>
          <w:rFonts w:hint="eastAsia" w:ascii="宋体" w:hAnsi="宋体"/>
          <w:color w:val="000000" w:themeColor="text1"/>
          <w:sz w:val="28"/>
          <w:szCs w:val="28"/>
          <w14:textFill>
            <w14:solidFill>
              <w14:schemeClr w14:val="tx1"/>
            </w14:solidFill>
          </w14:textFill>
        </w:rPr>
        <w:t>，质保期内</w:t>
      </w: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免费提供系统正常使用情况下的维修及保养服务，质保期内的任何问题（人为及自然灾害除外），</w:t>
      </w: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负责免费维修更换处理。如国家质保标准或生产厂商产品质保标准优于本条款，从其规定。质保期从验收合格之日起计算。</w:t>
      </w:r>
    </w:p>
    <w:p>
      <w:pPr>
        <w:adjustRightInd w:val="0"/>
        <w:snapToGrid w:val="0"/>
        <w:spacing w:line="560" w:lineRule="exact"/>
        <w:ind w:firstLine="641" w:firstLineChars="228"/>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（五）售后服务要求</w:t>
      </w:r>
    </w:p>
    <w:p>
      <w:pPr>
        <w:adjustRightInd w:val="0"/>
        <w:snapToGrid w:val="0"/>
        <w:spacing w:line="560" w:lineRule="exact"/>
        <w:ind w:firstLine="638" w:firstLineChars="228"/>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必须依照采购文件的要求和投标文件的承诺，将设备、系统安装并调试至正常运行的最佳状态。对</w:t>
      </w:r>
      <w:r>
        <w:rPr>
          <w:rFonts w:hint="eastAsia" w:ascii="宋体" w:hAnsi="宋体"/>
          <w:sz w:val="28"/>
          <w:szCs w:val="28"/>
        </w:rPr>
        <w:t>采购方</w:t>
      </w:r>
      <w:r>
        <w:rPr>
          <w:rFonts w:hint="eastAsia" w:ascii="宋体" w:hAnsi="宋体"/>
          <w:color w:val="000000" w:themeColor="text1"/>
          <w:sz w:val="28"/>
          <w:szCs w:val="28"/>
          <w14:textFill>
            <w14:solidFill>
              <w14:schemeClr w14:val="tx1"/>
            </w14:solidFill>
          </w14:textFill>
        </w:rPr>
        <w:t>的服务通知，</w:t>
      </w: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在接报后</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小时内响应，</w:t>
      </w:r>
      <w:r>
        <w:rPr>
          <w:rFonts w:hint="eastAsia" w:ascii="宋体" w:hAnsi="宋体"/>
          <w:color w:val="000000" w:themeColor="text1"/>
          <w:sz w:val="28"/>
          <w:szCs w:val="28"/>
          <w:lang w:val="en-US" w:eastAsia="zh-CN"/>
          <w14:textFill>
            <w14:solidFill>
              <w14:schemeClr w14:val="tx1"/>
            </w14:solidFill>
          </w14:textFill>
        </w:rPr>
        <w:t>2小时内到达现场，</w:t>
      </w:r>
      <w:r>
        <w:rPr>
          <w:rFonts w:hint="eastAsia" w:ascii="宋体" w:hAnsi="宋体"/>
          <w:color w:val="000000" w:themeColor="text1"/>
          <w:sz w:val="28"/>
          <w:szCs w:val="28"/>
          <w14:textFill>
            <w14:solidFill>
              <w14:schemeClr w14:val="tx1"/>
            </w14:solidFill>
          </w14:textFill>
        </w:rPr>
        <w:t>24小时内处理完毕。若在24小时内仍未能有效解决，</w:t>
      </w:r>
      <w:r>
        <w:rPr>
          <w:rFonts w:hint="eastAsia" w:ascii="宋体" w:hAnsi="宋体"/>
          <w:color w:val="000000" w:themeColor="text1"/>
          <w:sz w:val="28"/>
          <w:szCs w:val="28"/>
          <w:lang w:val="en-US" w:eastAsia="zh-CN"/>
          <w14:textFill>
            <w14:solidFill>
              <w14:schemeClr w14:val="tx1"/>
            </w14:solidFill>
          </w14:textFill>
        </w:rPr>
        <w:t>成交人</w:t>
      </w:r>
      <w:r>
        <w:rPr>
          <w:rFonts w:hint="eastAsia" w:ascii="宋体" w:hAnsi="宋体"/>
          <w:color w:val="000000" w:themeColor="text1"/>
          <w:sz w:val="28"/>
          <w:szCs w:val="28"/>
          <w14:textFill>
            <w14:solidFill>
              <w14:schemeClr w14:val="tx1"/>
            </w14:solidFill>
          </w14:textFill>
        </w:rPr>
        <w:t>须免费提供同档次的设备予</w:t>
      </w:r>
      <w:r>
        <w:rPr>
          <w:rFonts w:hint="eastAsia" w:ascii="宋体" w:hAnsi="宋体"/>
          <w:sz w:val="28"/>
          <w:szCs w:val="28"/>
        </w:rPr>
        <w:t>采购方</w:t>
      </w:r>
      <w:r>
        <w:rPr>
          <w:rFonts w:hint="eastAsia" w:ascii="宋体" w:hAnsi="宋体"/>
          <w:color w:val="000000" w:themeColor="text1"/>
          <w:sz w:val="28"/>
          <w:szCs w:val="28"/>
          <w14:textFill>
            <w14:solidFill>
              <w14:schemeClr w14:val="tx1"/>
            </w14:solidFill>
          </w14:textFill>
        </w:rPr>
        <w:t>临时使用。</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pPr>
        <w:spacing w:line="560" w:lineRule="exact"/>
        <w:ind w:firstLine="638" w:firstLineChars="228"/>
        <w:rPr>
          <w:rFonts w:hint="eastAsia" w:ascii="宋体" w:hAnsi="宋体"/>
          <w:sz w:val="28"/>
          <w:szCs w:val="28"/>
        </w:rPr>
      </w:pPr>
      <w:r>
        <w:rPr>
          <w:rFonts w:hint="eastAsia" w:ascii="宋体" w:hAnsi="宋体"/>
          <w:sz w:val="28"/>
          <w:szCs w:val="28"/>
        </w:rPr>
        <w:t>该项目验收合格后，在成交人提供发票后，采购方1个月内将合同款100%转账支付给成交人。</w:t>
      </w:r>
    </w:p>
    <w:p>
      <w:pPr>
        <w:spacing w:line="560" w:lineRule="exact"/>
        <w:ind w:firstLine="638" w:firstLineChars="228"/>
        <w:rPr>
          <w:rFonts w:hint="eastAsia" w:ascii="宋体" w:hAnsi="宋体"/>
          <w:sz w:val="28"/>
          <w:szCs w:val="28"/>
        </w:rPr>
      </w:pPr>
      <w:r>
        <w:rPr>
          <w:rFonts w:hint="eastAsia" w:ascii="宋体" w:hAnsi="宋体"/>
          <w:sz w:val="28"/>
          <w:szCs w:val="28"/>
        </w:rPr>
        <w:t>如遇节假日或学校寒暑假期，支付时间相应顺延，具体以学校财务部门办理时限为准。付款方式：银行网转。</w:t>
      </w:r>
    </w:p>
    <w:p>
      <w:pPr>
        <w:adjustRightInd w:val="0"/>
        <w:snapToGrid w:val="0"/>
        <w:spacing w:line="560" w:lineRule="exact"/>
        <w:ind w:firstLine="641" w:firstLineChars="228"/>
        <w:jc w:val="left"/>
        <w:rPr>
          <w:rFonts w:hint="default" w:ascii="宋体" w:hAnsi="宋体"/>
          <w:b/>
          <w:sz w:val="28"/>
          <w:szCs w:val="28"/>
          <w:lang w:val="en-US" w:eastAsia="zh-CN"/>
        </w:rPr>
      </w:pPr>
      <w:r>
        <w:rPr>
          <w:rFonts w:hint="eastAsia" w:ascii="宋体" w:hAnsi="宋体"/>
          <w:b/>
          <w:sz w:val="28"/>
          <w:szCs w:val="28"/>
          <w:lang w:eastAsia="zh-CN"/>
        </w:rPr>
        <w:t>（</w:t>
      </w:r>
      <w:r>
        <w:rPr>
          <w:rFonts w:hint="eastAsia" w:ascii="宋体" w:hAnsi="宋体"/>
          <w:b/>
          <w:sz w:val="28"/>
          <w:szCs w:val="28"/>
          <w:lang w:val="en-US" w:eastAsia="zh-CN"/>
        </w:rPr>
        <w:t>七</w:t>
      </w:r>
      <w:r>
        <w:rPr>
          <w:rFonts w:hint="eastAsia" w:ascii="宋体" w:hAnsi="宋体"/>
          <w:b/>
          <w:sz w:val="28"/>
          <w:szCs w:val="28"/>
          <w:lang w:eastAsia="zh-CN"/>
        </w:rPr>
        <w:t>）</w:t>
      </w:r>
      <w:r>
        <w:rPr>
          <w:rFonts w:hint="eastAsia" w:ascii="宋体" w:hAnsi="宋体"/>
          <w:b/>
          <w:sz w:val="28"/>
          <w:szCs w:val="28"/>
          <w:lang w:val="en-US" w:eastAsia="zh-CN"/>
        </w:rPr>
        <w:t>履约保证金</w:t>
      </w:r>
    </w:p>
    <w:p>
      <w:pPr>
        <w:spacing w:line="560" w:lineRule="exact"/>
        <w:ind w:firstLine="638" w:firstLineChars="228"/>
        <w:rPr>
          <w:rFonts w:hint="eastAsia" w:ascii="宋体" w:hAnsi="宋体"/>
          <w:sz w:val="28"/>
          <w:szCs w:val="28"/>
        </w:rPr>
      </w:pPr>
      <w:r>
        <w:rPr>
          <w:rFonts w:hint="eastAsia" w:ascii="宋体" w:hAnsi="宋体"/>
          <w:sz w:val="28"/>
          <w:szCs w:val="28"/>
          <w:lang w:val="en-US" w:eastAsia="zh-CN"/>
        </w:rPr>
        <w:t>供应商</w:t>
      </w:r>
      <w:r>
        <w:rPr>
          <w:rFonts w:hint="eastAsia" w:ascii="宋体" w:hAnsi="宋体"/>
          <w:sz w:val="28"/>
          <w:szCs w:val="28"/>
        </w:rPr>
        <w:t>在合同正式签订后10个工作日内，以支票、银行汇票等方式向</w:t>
      </w:r>
      <w:r>
        <w:rPr>
          <w:rFonts w:hint="eastAsia" w:ascii="宋体" w:hAnsi="宋体"/>
          <w:sz w:val="28"/>
          <w:szCs w:val="28"/>
          <w:lang w:eastAsia="zh-CN"/>
        </w:rPr>
        <w:t>采购人</w:t>
      </w:r>
      <w:r>
        <w:rPr>
          <w:rFonts w:hint="eastAsia" w:ascii="宋体" w:hAnsi="宋体"/>
          <w:sz w:val="28"/>
          <w:szCs w:val="28"/>
        </w:rPr>
        <w:t>指定账户缴纳合同履约保证金</w:t>
      </w:r>
      <w:r>
        <w:rPr>
          <w:rFonts w:hint="eastAsia" w:ascii="宋体" w:hAnsi="宋体"/>
          <w:b/>
          <w:bCs/>
          <w:sz w:val="28"/>
          <w:szCs w:val="28"/>
        </w:rPr>
        <w:t>伍仟元整</w:t>
      </w:r>
      <w:r>
        <w:rPr>
          <w:rFonts w:hint="eastAsia" w:ascii="宋体" w:hAnsi="宋体"/>
          <w:sz w:val="28"/>
          <w:szCs w:val="28"/>
        </w:rPr>
        <w:t>。若</w:t>
      </w:r>
      <w:r>
        <w:rPr>
          <w:rFonts w:hint="eastAsia" w:ascii="宋体" w:hAnsi="宋体"/>
          <w:sz w:val="28"/>
          <w:szCs w:val="28"/>
          <w:lang w:eastAsia="zh-CN"/>
        </w:rPr>
        <w:t>供应商</w:t>
      </w:r>
      <w:r>
        <w:rPr>
          <w:rFonts w:hint="eastAsia" w:ascii="宋体" w:hAnsi="宋体"/>
          <w:sz w:val="28"/>
          <w:szCs w:val="28"/>
        </w:rPr>
        <w:t>在合同期限内无违约行为或致</w:t>
      </w:r>
      <w:r>
        <w:rPr>
          <w:rFonts w:hint="eastAsia" w:ascii="宋体" w:hAnsi="宋体"/>
          <w:sz w:val="28"/>
          <w:szCs w:val="28"/>
          <w:lang w:eastAsia="zh-CN"/>
        </w:rPr>
        <w:t>采购人</w:t>
      </w:r>
      <w:r>
        <w:rPr>
          <w:rFonts w:hint="eastAsia" w:ascii="宋体" w:hAnsi="宋体"/>
          <w:sz w:val="28"/>
          <w:szCs w:val="28"/>
        </w:rPr>
        <w:t>利益受损行为的，则履约保证金在合同结束后30个工作日内由</w:t>
      </w:r>
      <w:r>
        <w:rPr>
          <w:rFonts w:hint="eastAsia" w:ascii="宋体" w:hAnsi="宋体"/>
          <w:sz w:val="28"/>
          <w:szCs w:val="28"/>
          <w:lang w:eastAsia="zh-CN"/>
        </w:rPr>
        <w:t>采购人</w:t>
      </w:r>
      <w:r>
        <w:rPr>
          <w:rFonts w:hint="eastAsia" w:ascii="宋体" w:hAnsi="宋体"/>
          <w:sz w:val="28"/>
          <w:szCs w:val="28"/>
        </w:rPr>
        <w:t>无息退还；如有扣缴，则退回余额；如不足，则</w:t>
      </w:r>
      <w:r>
        <w:rPr>
          <w:rFonts w:hint="eastAsia" w:ascii="宋体" w:hAnsi="宋体"/>
          <w:sz w:val="28"/>
          <w:szCs w:val="28"/>
          <w:lang w:val="en-US" w:eastAsia="zh-CN"/>
        </w:rPr>
        <w:t>供应商应在10日内补足，且</w:t>
      </w:r>
      <w:r>
        <w:rPr>
          <w:rFonts w:hint="eastAsia" w:ascii="宋体" w:hAnsi="宋体"/>
          <w:sz w:val="28"/>
          <w:szCs w:val="28"/>
          <w:lang w:eastAsia="zh-CN"/>
        </w:rPr>
        <w:t>采购人</w:t>
      </w:r>
      <w:r>
        <w:rPr>
          <w:rFonts w:hint="eastAsia" w:ascii="宋体" w:hAnsi="宋体"/>
          <w:sz w:val="28"/>
          <w:szCs w:val="28"/>
        </w:rPr>
        <w:t>有权追偿不足部分。</w:t>
      </w:r>
    </w:p>
    <w:p>
      <w:pPr>
        <w:adjustRightInd w:val="0"/>
        <w:snapToGrid w:val="0"/>
        <w:spacing w:line="560" w:lineRule="exact"/>
        <w:ind w:firstLine="641" w:firstLineChars="228"/>
        <w:jc w:val="left"/>
        <w:rPr>
          <w:rFonts w:hint="eastAsia" w:ascii="宋体" w:hAnsi="宋体" w:eastAsia="宋体"/>
          <w:b/>
          <w:sz w:val="28"/>
          <w:szCs w:val="28"/>
          <w:lang w:val="en-US" w:eastAsia="zh-CN"/>
        </w:rPr>
      </w:pPr>
      <w:r>
        <w:rPr>
          <w:rFonts w:hint="eastAsia" w:ascii="宋体" w:hAnsi="宋体"/>
          <w:b/>
          <w:sz w:val="28"/>
          <w:szCs w:val="28"/>
        </w:rPr>
        <w:t>（</w:t>
      </w:r>
      <w:r>
        <w:rPr>
          <w:rFonts w:hint="eastAsia" w:ascii="宋体" w:hAnsi="宋体"/>
          <w:b/>
          <w:sz w:val="28"/>
          <w:szCs w:val="28"/>
          <w:lang w:val="en-US" w:eastAsia="zh-CN"/>
        </w:rPr>
        <w:t>八</w:t>
      </w:r>
      <w:r>
        <w:rPr>
          <w:rFonts w:hint="eastAsia" w:ascii="宋体" w:hAnsi="宋体"/>
          <w:b/>
          <w:sz w:val="28"/>
          <w:szCs w:val="28"/>
        </w:rPr>
        <w:t>）违约</w:t>
      </w:r>
      <w:r>
        <w:rPr>
          <w:rFonts w:hint="eastAsia" w:ascii="宋体" w:hAnsi="宋体"/>
          <w:b/>
          <w:sz w:val="28"/>
          <w:szCs w:val="28"/>
          <w:lang w:val="en-US" w:eastAsia="zh-CN"/>
        </w:rPr>
        <w:t>责任</w:t>
      </w:r>
    </w:p>
    <w:p>
      <w:pPr>
        <w:pStyle w:val="105"/>
        <w:spacing w:before="0" w:beforeAutospacing="0" w:after="0" w:afterAutospacing="0" w:line="360" w:lineRule="auto"/>
        <w:ind w:firstLine="560" w:firstLineChars="200"/>
        <w:jc w:val="both"/>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（1）</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交付的货物/提供的服务不符合</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规定的，</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有权拒收，并且</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须向</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支付</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 5 %的违约金。</w:t>
      </w:r>
    </w:p>
    <w:p>
      <w:pPr>
        <w:pStyle w:val="105"/>
        <w:spacing w:before="0" w:beforeAutospacing="0" w:after="0" w:afterAutospacing="0" w:line="360" w:lineRule="auto"/>
        <w:ind w:firstLine="560" w:firstLineChars="200"/>
        <w:jc w:val="both"/>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（2）</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未能按</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规定的交货时间交付货物或提供服务，从逾期之日起每日按</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 0.1 %的数额向</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支付违约金；逾期半个月以上的，</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有权终止合同，且</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需向</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支付</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总价5%的违约金作为赔偿，由此造成的</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经济损失均由</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承担。</w:t>
      </w:r>
    </w:p>
    <w:p>
      <w:pPr>
        <w:pStyle w:val="105"/>
        <w:spacing w:before="0" w:beforeAutospacing="0" w:after="0" w:afterAutospacing="0" w:line="360" w:lineRule="auto"/>
        <w:ind w:firstLine="560" w:firstLineChars="200"/>
        <w:jc w:val="both"/>
        <w:rPr>
          <w:rFonts w:hint="default" w:ascii="宋体" w:hAnsi="宋体" w:eastAsia="宋体"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（3）</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无正当理由拒收货物或接受服务，无正当理由到期拒付货物或服务款项的，</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向</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偿付</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总价的 5 %的违约金。</w:t>
      </w:r>
      <w:r>
        <w:rPr>
          <w:rFonts w:hint="eastAsia" w:ascii="宋体" w:hAnsi="宋体" w:cs="Times New Roman"/>
          <w:color w:val="000000" w:themeColor="text1"/>
          <w:kern w:val="2"/>
          <w:sz w:val="28"/>
          <w:szCs w:val="28"/>
          <w:lang w:val="en-US" w:eastAsia="zh-CN" w:bidi="ar-SA"/>
          <w14:textFill>
            <w14:solidFill>
              <w14:schemeClr w14:val="tx1"/>
            </w14:solidFill>
          </w14:textFill>
        </w:rPr>
        <w:t>采购人</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无正当理由逾期付款的，则每日按</w:t>
      </w:r>
      <w:r>
        <w:rPr>
          <w:rFonts w:hint="eastAsia" w:ascii="宋体" w:hAnsi="宋体" w:cs="Times New Roman"/>
          <w:color w:val="000000" w:themeColor="text1"/>
          <w:kern w:val="2"/>
          <w:sz w:val="28"/>
          <w:szCs w:val="28"/>
          <w:lang w:val="en-US" w:eastAsia="zh-CN" w:bidi="ar-SA"/>
          <w14:textFill>
            <w14:solidFill>
              <w14:schemeClr w14:val="tx1"/>
            </w14:solidFill>
          </w14:textFill>
        </w:rPr>
        <w:t>采购</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总价的 0.1 %向</w:t>
      </w:r>
      <w:r>
        <w:rPr>
          <w:rFonts w:hint="eastAsia" w:ascii="宋体" w:hAnsi="宋体" w:cs="Times New Roman"/>
          <w:color w:val="000000" w:themeColor="text1"/>
          <w:kern w:val="2"/>
          <w:sz w:val="28"/>
          <w:szCs w:val="28"/>
          <w:lang w:val="en-US" w:eastAsia="zh-CN" w:bidi="ar-SA"/>
          <w14:textFill>
            <w14:solidFill>
              <w14:schemeClr w14:val="tx1"/>
            </w14:solidFill>
          </w14:textFill>
        </w:rPr>
        <w:t>供应商</w:t>
      </w: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偿付违约金，违约金累计总额不超过欠款总价的 10 %。</w:t>
      </w:r>
    </w:p>
    <w:p>
      <w:pPr>
        <w:pStyle w:val="105"/>
        <w:spacing w:before="0" w:beforeAutospacing="0" w:after="0" w:afterAutospacing="0" w:line="360" w:lineRule="auto"/>
        <w:ind w:firstLine="560" w:firstLineChars="200"/>
        <w:jc w:val="both"/>
        <w:rPr>
          <w:rFonts w:hint="eastAsia" w:ascii="宋体" w:hAnsi="宋体"/>
          <w:sz w:val="28"/>
          <w:szCs w:val="28"/>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（4）其它违约责任按《中华人民共和国民法典》处理。</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九</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 w:val="left" w:pos="993"/>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 w:val="left" w:pos="993"/>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 w:val="left" w:pos="851"/>
          <w:tab w:val="left" w:pos="993"/>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hint="eastAsia"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十</w:t>
      </w:r>
      <w:r>
        <w:rPr>
          <w:rFonts w:hint="eastAsia" w:ascii="宋体" w:hAnsi="宋体"/>
          <w:b/>
          <w:bCs/>
          <w:sz w:val="28"/>
          <w:szCs w:val="28"/>
        </w:rPr>
        <w:t>）争议解决</w:t>
      </w:r>
      <w:r>
        <w:rPr>
          <w:rFonts w:hint="eastAsia" w:ascii="宋体" w:hAnsi="宋体"/>
          <w:sz w:val="28"/>
          <w:szCs w:val="28"/>
        </w:rPr>
        <w:t>：双方因合同发生争议，双方应友好协商解决，如协商不成则应提交甲方所在地人民法院诉讼解决。</w:t>
      </w:r>
    </w:p>
    <w:p>
      <w:pPr>
        <w:spacing w:line="560" w:lineRule="exact"/>
        <w:ind w:firstLine="638" w:firstLineChars="228"/>
        <w:rPr>
          <w:rFonts w:ascii="宋体" w:hAnsi="宋体"/>
          <w:sz w:val="28"/>
          <w:szCs w:val="28"/>
        </w:rPr>
      </w:pP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4"/>
        <w:rPr>
          <w:rFonts w:ascii="Calibri" w:hAnsi="Calibri"/>
          <w:b/>
          <w:sz w:val="32"/>
          <w:szCs w:val="32"/>
        </w:rPr>
      </w:pPr>
    </w:p>
    <w:p>
      <w:pPr>
        <w:pStyle w:val="14"/>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w:t>
      </w:r>
      <w:r>
        <w:rPr>
          <w:rFonts w:hint="eastAsia" w:ascii="宋体" w:hAnsi="宋体" w:cs="宋体"/>
          <w:b/>
          <w:bCs/>
          <w:spacing w:val="30"/>
          <w:sz w:val="28"/>
          <w:szCs w:val="28"/>
          <w:lang w:val="en-US" w:eastAsia="zh-CN"/>
        </w:rPr>
        <w:t xml:space="preserve">  </w:t>
      </w:r>
      <w:r>
        <w:rPr>
          <w:rFonts w:hint="eastAsia" w:ascii="宋体" w:hAnsi="宋体" w:cs="宋体"/>
          <w:b/>
          <w:bCs/>
          <w:spacing w:val="30"/>
          <w:sz w:val="28"/>
          <w:szCs w:val="28"/>
        </w:rPr>
        <w:t>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pStyle w:val="14"/>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9"/>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4"/>
        <w:spacing w:line="480" w:lineRule="exact"/>
        <w:rPr>
          <w:rFonts w:hAnsi="宋体"/>
          <w:sz w:val="28"/>
          <w:szCs w:val="28"/>
        </w:rPr>
      </w:pPr>
      <w:r>
        <w:rPr>
          <w:rFonts w:hint="eastAsia" w:hAnsi="宋体"/>
          <w:sz w:val="28"/>
          <w:szCs w:val="28"/>
        </w:rPr>
        <w:t>注：</w:t>
      </w:r>
    </w:p>
    <w:p>
      <w:pPr>
        <w:pStyle w:val="14"/>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4"/>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4"/>
        <w:numPr>
          <w:ilvl w:val="0"/>
          <w:numId w:val="9"/>
        </w:numPr>
        <w:spacing w:line="0" w:lineRule="atLeast"/>
        <w:rPr>
          <w:rFonts w:hAnsi="宋体"/>
          <w:sz w:val="28"/>
          <w:szCs w:val="28"/>
        </w:rPr>
      </w:pPr>
      <w:r>
        <w:rPr>
          <w:rFonts w:hint="eastAsia"/>
          <w:sz w:val="28"/>
          <w:szCs w:val="28"/>
        </w:rPr>
        <w:t>填写此表时不得改变表格的形式。</w:t>
      </w:r>
    </w:p>
    <w:p>
      <w:pPr>
        <w:pStyle w:val="14"/>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ind w:firstLine="960" w:firstLineChars="300"/>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4"/>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4"/>
        <w:jc w:val="left"/>
        <w:rPr>
          <w:rFonts w:ascii="Times New Roman" w:hAnsi="Times New Roman"/>
          <w:szCs w:val="21"/>
        </w:rPr>
      </w:pPr>
    </w:p>
    <w:tbl>
      <w:tblPr>
        <w:tblStyle w:val="2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kern w:val="2"/>
                <w:sz w:val="24"/>
              </w:rPr>
            </w:pPr>
            <w:r>
              <w:rPr>
                <w:rFonts w:hint="eastAsia" w:hAnsi="宋体"/>
                <w:b/>
                <w:kern w:val="2"/>
                <w:sz w:val="24"/>
              </w:rPr>
              <w:t xml:space="preserve"> 人民币：</w:t>
            </w:r>
          </w:p>
        </w:tc>
      </w:tr>
    </w:tbl>
    <w:p>
      <w:pPr>
        <w:pStyle w:val="14"/>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4"/>
        <w:spacing w:line="0" w:lineRule="atLeast"/>
        <w:ind w:left="336"/>
        <w:rPr>
          <w:rFonts w:hAnsi="宋体"/>
          <w:sz w:val="28"/>
          <w:szCs w:val="28"/>
        </w:rPr>
      </w:pPr>
      <w:r>
        <w:rPr>
          <w:rFonts w:hint="eastAsia" w:hAnsi="宋体"/>
          <w:sz w:val="28"/>
          <w:szCs w:val="28"/>
        </w:rPr>
        <w:t>2、本表“报价总价”必须与《报价一览表》中的“报价总价”一致。</w:t>
      </w:r>
    </w:p>
    <w:p>
      <w:pPr>
        <w:pStyle w:val="14"/>
        <w:spacing w:line="0" w:lineRule="atLeast"/>
        <w:ind w:left="336"/>
        <w:rPr>
          <w:rFonts w:hAnsi="宋体"/>
          <w:sz w:val="28"/>
          <w:szCs w:val="28"/>
        </w:rPr>
      </w:pPr>
      <w:r>
        <w:rPr>
          <w:rFonts w:hint="eastAsia" w:hAnsi="宋体"/>
          <w:sz w:val="28"/>
          <w:szCs w:val="28"/>
        </w:rPr>
        <w:t>3、对于报价免费的项目必须标明“免费”。</w:t>
      </w:r>
    </w:p>
    <w:p>
      <w:pPr>
        <w:pStyle w:val="14"/>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4"/>
        <w:jc w:val="left"/>
        <w:rPr>
          <w:rFonts w:ascii="Times New Roman" w:hAnsi="Times New Roman"/>
          <w:szCs w:val="21"/>
        </w:rPr>
      </w:pPr>
    </w:p>
    <w:p>
      <w:pPr>
        <w:pStyle w:val="14"/>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ind w:firstLine="960" w:firstLineChars="300"/>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640" w:firstLineChars="200"/>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9"/>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320" w:firstLineChars="100"/>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ind w:firstLine="960" w:firstLineChars="300"/>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fmt="decimal"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3912B8-EDBE-4668-AD5B-2677F3449B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EE48D5-E763-4661-B888-FF13508F7F38}"/>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9252949F-5A88-4945-88FA-60EF2DD47EBA}"/>
  </w:font>
  <w:font w:name="楷体_GB2312">
    <w:panose1 w:val="02010609030101010101"/>
    <w:charset w:val="86"/>
    <w:family w:val="modern"/>
    <w:pitch w:val="default"/>
    <w:sig w:usb0="00000001" w:usb1="080E0000" w:usb2="00000000" w:usb3="00000000" w:csb0="00040000" w:csb1="00000000"/>
    <w:embedRegular r:id="rId4" w:fontKey="{EEC228E9-A972-4DE1-9E3A-803F20C10EA5}"/>
  </w:font>
  <w:font w:name="楷体">
    <w:panose1 w:val="02010609060101010101"/>
    <w:charset w:val="86"/>
    <w:family w:val="modern"/>
    <w:pitch w:val="default"/>
    <w:sig w:usb0="800002BF" w:usb1="38CF7CFA" w:usb2="00000016" w:usb3="00000000" w:csb0="00040001" w:csb1="00000000"/>
    <w:embedRegular r:id="rId5" w:fontKey="{6902950D-EE93-43CE-AEF0-A530A3E248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mc:Fallback>
      </mc:AlternateContent>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abstractNum w:abstractNumId="9">
    <w:nsid w:val="7ECBDDF7"/>
    <w:multiLevelType w:val="singleLevel"/>
    <w:tmpl w:val="7ECBDDF7"/>
    <w:lvl w:ilvl="0" w:tentative="0">
      <w:start w:val="2"/>
      <w:numFmt w:val="chineseCounting"/>
      <w:suff w:val="nothing"/>
      <w:lvlText w:val="%1、"/>
      <w:lvlJc w:val="left"/>
      <w:rPr>
        <w:rFonts w:hint="eastAsia"/>
      </w:rPr>
    </w:lvl>
  </w:abstractNum>
  <w:num w:numId="1">
    <w:abstractNumId w:val="5"/>
  </w:num>
  <w:num w:numId="2">
    <w:abstractNumId w:val="8"/>
  </w:num>
  <w:num w:numId="3">
    <w:abstractNumId w:val="3"/>
  </w:num>
  <w:num w:numId="4">
    <w:abstractNumId w:val="9"/>
  </w:num>
  <w:num w:numId="5">
    <w:abstractNumId w:val="2"/>
  </w:num>
  <w:num w:numId="6">
    <w:abstractNumId w:val="1"/>
  </w:num>
  <w:num w:numId="7">
    <w:abstractNumId w:val="7"/>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2759"/>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EC"/>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29B"/>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6B0"/>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69D"/>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E784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7FA"/>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06C"/>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85F"/>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5DB5"/>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369"/>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771"/>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4FD3"/>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B7"/>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0E2E"/>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B55611"/>
    <w:rsid w:val="029C7941"/>
    <w:rsid w:val="0338148D"/>
    <w:rsid w:val="03AD1858"/>
    <w:rsid w:val="03D568F0"/>
    <w:rsid w:val="05940418"/>
    <w:rsid w:val="07654F6A"/>
    <w:rsid w:val="079E325C"/>
    <w:rsid w:val="080A5070"/>
    <w:rsid w:val="08F82AEF"/>
    <w:rsid w:val="0A2F4D76"/>
    <w:rsid w:val="0B5944CA"/>
    <w:rsid w:val="0BEE41F8"/>
    <w:rsid w:val="0C263B52"/>
    <w:rsid w:val="0C465008"/>
    <w:rsid w:val="0D0015C5"/>
    <w:rsid w:val="0E6949B3"/>
    <w:rsid w:val="0F666038"/>
    <w:rsid w:val="0FEF4AD0"/>
    <w:rsid w:val="109D132A"/>
    <w:rsid w:val="10AC3A44"/>
    <w:rsid w:val="11FA2096"/>
    <w:rsid w:val="12254861"/>
    <w:rsid w:val="12B4052F"/>
    <w:rsid w:val="12EC524A"/>
    <w:rsid w:val="13071F04"/>
    <w:rsid w:val="139A6EC9"/>
    <w:rsid w:val="13C52591"/>
    <w:rsid w:val="14A66120"/>
    <w:rsid w:val="14E23522"/>
    <w:rsid w:val="156D1E5B"/>
    <w:rsid w:val="15BE479B"/>
    <w:rsid w:val="168532DC"/>
    <w:rsid w:val="173373DC"/>
    <w:rsid w:val="1753107A"/>
    <w:rsid w:val="18DC1D83"/>
    <w:rsid w:val="18DD33E1"/>
    <w:rsid w:val="18EE0C00"/>
    <w:rsid w:val="1A4172FB"/>
    <w:rsid w:val="1AE42B15"/>
    <w:rsid w:val="1DFE0D7B"/>
    <w:rsid w:val="1E8E6D3C"/>
    <w:rsid w:val="20BC39CA"/>
    <w:rsid w:val="20F40738"/>
    <w:rsid w:val="213E5304"/>
    <w:rsid w:val="218617B3"/>
    <w:rsid w:val="21E00F42"/>
    <w:rsid w:val="22162FFB"/>
    <w:rsid w:val="239F2545"/>
    <w:rsid w:val="245F6E0F"/>
    <w:rsid w:val="24905418"/>
    <w:rsid w:val="263B5217"/>
    <w:rsid w:val="27192484"/>
    <w:rsid w:val="27C423D8"/>
    <w:rsid w:val="28E13EA5"/>
    <w:rsid w:val="28E3573D"/>
    <w:rsid w:val="291150CE"/>
    <w:rsid w:val="29AD0563"/>
    <w:rsid w:val="2E2429AD"/>
    <w:rsid w:val="2E4F1FE5"/>
    <w:rsid w:val="2E7F096C"/>
    <w:rsid w:val="2E950643"/>
    <w:rsid w:val="305B2BFC"/>
    <w:rsid w:val="30B70974"/>
    <w:rsid w:val="311763F2"/>
    <w:rsid w:val="3237724D"/>
    <w:rsid w:val="32C61B83"/>
    <w:rsid w:val="32DA4D73"/>
    <w:rsid w:val="344B05CF"/>
    <w:rsid w:val="34683033"/>
    <w:rsid w:val="34C77CC1"/>
    <w:rsid w:val="350619E7"/>
    <w:rsid w:val="35B77661"/>
    <w:rsid w:val="36583023"/>
    <w:rsid w:val="3713274F"/>
    <w:rsid w:val="39A6093D"/>
    <w:rsid w:val="3A0A6BEF"/>
    <w:rsid w:val="3AFE4B50"/>
    <w:rsid w:val="3BF75747"/>
    <w:rsid w:val="3D7E6242"/>
    <w:rsid w:val="3D832EB5"/>
    <w:rsid w:val="3EB43B95"/>
    <w:rsid w:val="3F0535D6"/>
    <w:rsid w:val="401A05CF"/>
    <w:rsid w:val="40652603"/>
    <w:rsid w:val="40B86185"/>
    <w:rsid w:val="42532A81"/>
    <w:rsid w:val="42F56F60"/>
    <w:rsid w:val="442F0A64"/>
    <w:rsid w:val="44FE771E"/>
    <w:rsid w:val="453D2E2E"/>
    <w:rsid w:val="455B5F6E"/>
    <w:rsid w:val="457C47F0"/>
    <w:rsid w:val="45927D9D"/>
    <w:rsid w:val="462D713C"/>
    <w:rsid w:val="4678338B"/>
    <w:rsid w:val="476B2D91"/>
    <w:rsid w:val="48833F13"/>
    <w:rsid w:val="4ADD6003"/>
    <w:rsid w:val="4B2F50DD"/>
    <w:rsid w:val="4B9C0C82"/>
    <w:rsid w:val="4BEB2A35"/>
    <w:rsid w:val="4C8E1DBB"/>
    <w:rsid w:val="4C9204F0"/>
    <w:rsid w:val="4CC74B6F"/>
    <w:rsid w:val="4DBA5FA6"/>
    <w:rsid w:val="4DBB5998"/>
    <w:rsid w:val="4DD5065C"/>
    <w:rsid w:val="507A5425"/>
    <w:rsid w:val="50C30629"/>
    <w:rsid w:val="51577DD1"/>
    <w:rsid w:val="51AB09AF"/>
    <w:rsid w:val="51BA4830"/>
    <w:rsid w:val="520732F2"/>
    <w:rsid w:val="531269D1"/>
    <w:rsid w:val="5322177A"/>
    <w:rsid w:val="53E251E4"/>
    <w:rsid w:val="54B4589B"/>
    <w:rsid w:val="55B90436"/>
    <w:rsid w:val="56E54AE7"/>
    <w:rsid w:val="57434CFA"/>
    <w:rsid w:val="5A165665"/>
    <w:rsid w:val="5A965CB3"/>
    <w:rsid w:val="5C097FBF"/>
    <w:rsid w:val="5C837B0E"/>
    <w:rsid w:val="5CFE645C"/>
    <w:rsid w:val="5D5241C7"/>
    <w:rsid w:val="5D901B4E"/>
    <w:rsid w:val="5DCB7EB6"/>
    <w:rsid w:val="5EB743B6"/>
    <w:rsid w:val="6194517C"/>
    <w:rsid w:val="62437726"/>
    <w:rsid w:val="628F0A4F"/>
    <w:rsid w:val="6296560A"/>
    <w:rsid w:val="62D60C04"/>
    <w:rsid w:val="62DB6DB3"/>
    <w:rsid w:val="63065FF8"/>
    <w:rsid w:val="63550335"/>
    <w:rsid w:val="68742FE5"/>
    <w:rsid w:val="697C1D6F"/>
    <w:rsid w:val="6A80153E"/>
    <w:rsid w:val="6C9B174C"/>
    <w:rsid w:val="6E5725FE"/>
    <w:rsid w:val="6ECB3E6A"/>
    <w:rsid w:val="6F544E68"/>
    <w:rsid w:val="70514B2D"/>
    <w:rsid w:val="70D5507C"/>
    <w:rsid w:val="719242C5"/>
    <w:rsid w:val="72B62304"/>
    <w:rsid w:val="74051876"/>
    <w:rsid w:val="742D0AEA"/>
    <w:rsid w:val="750157C1"/>
    <w:rsid w:val="775F256E"/>
    <w:rsid w:val="77F228DE"/>
    <w:rsid w:val="78851ED1"/>
    <w:rsid w:val="79C61CFF"/>
    <w:rsid w:val="79C9679D"/>
    <w:rsid w:val="7A6D1E7C"/>
    <w:rsid w:val="7BD4376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0"/>
    <w:pPr>
      <w:keepNext/>
      <w:keepLines/>
      <w:spacing w:line="720" w:lineRule="exact"/>
      <w:jc w:val="center"/>
      <w:outlineLvl w:val="0"/>
    </w:pPr>
    <w:rPr>
      <w:b/>
      <w:bCs/>
      <w:kern w:val="44"/>
      <w:sz w:val="44"/>
      <w:szCs w:val="44"/>
    </w:rPr>
  </w:style>
  <w:style w:type="paragraph" w:styleId="3">
    <w:name w:val="heading 2"/>
    <w:basedOn w:val="1"/>
    <w:next w:val="1"/>
    <w:link w:val="49"/>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3"/>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8"/>
    <w:qFormat/>
    <w:uiPriority w:val="9"/>
    <w:pPr>
      <w:keepNext/>
      <w:keepLines/>
      <w:spacing w:before="280" w:after="290" w:line="376" w:lineRule="auto"/>
      <w:outlineLvl w:val="3"/>
    </w:pPr>
    <w:rPr>
      <w:rFonts w:ascii="Cambria" w:hAnsi="Cambria"/>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8"/>
    <w:qFormat/>
    <w:uiPriority w:val="0"/>
    <w:pPr>
      <w:ind w:firstLine="420"/>
    </w:pPr>
    <w:rPr>
      <w:rFonts w:ascii="Calibri" w:hAnsi="Calibri"/>
      <w:kern w:val="0"/>
      <w:sz w:val="20"/>
      <w:szCs w:val="20"/>
    </w:rPr>
  </w:style>
  <w:style w:type="paragraph" w:styleId="7">
    <w:name w:val="Document Map"/>
    <w:basedOn w:val="1"/>
    <w:link w:val="63"/>
    <w:semiHidden/>
    <w:qFormat/>
    <w:uiPriority w:val="0"/>
    <w:pPr>
      <w:shd w:val="clear" w:color="auto" w:fill="000080"/>
    </w:pPr>
    <w:rPr>
      <w:kern w:val="0"/>
      <w:sz w:val="20"/>
    </w:rPr>
  </w:style>
  <w:style w:type="paragraph" w:styleId="8">
    <w:name w:val="annotation text"/>
    <w:basedOn w:val="1"/>
    <w:next w:val="9"/>
    <w:link w:val="66"/>
    <w:qFormat/>
    <w:uiPriority w:val="0"/>
    <w:pPr>
      <w:spacing w:line="280" w:lineRule="exact"/>
      <w:jc w:val="left"/>
    </w:pPr>
    <w:rPr>
      <w:sz w:val="24"/>
    </w:rPr>
  </w:style>
  <w:style w:type="paragraph" w:styleId="9">
    <w:name w:val="Balloon Text"/>
    <w:basedOn w:val="1"/>
    <w:link w:val="42"/>
    <w:semiHidden/>
    <w:qFormat/>
    <w:uiPriority w:val="0"/>
    <w:pPr>
      <w:adjustRightInd w:val="0"/>
      <w:snapToGrid w:val="0"/>
    </w:pPr>
    <w:rPr>
      <w:sz w:val="28"/>
      <w:szCs w:val="18"/>
    </w:rPr>
  </w:style>
  <w:style w:type="paragraph" w:styleId="10">
    <w:name w:val="Body Text"/>
    <w:basedOn w:val="1"/>
    <w:qFormat/>
    <w:uiPriority w:val="0"/>
    <w:pPr>
      <w:spacing w:line="360" w:lineRule="auto"/>
    </w:pPr>
    <w:rPr>
      <w:szCs w:val="20"/>
    </w:rPr>
  </w:style>
  <w:style w:type="paragraph" w:styleId="11">
    <w:name w:val="Body Text Indent"/>
    <w:basedOn w:val="1"/>
    <w:link w:val="56"/>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3"/>
    <w:qFormat/>
    <w:uiPriority w:val="0"/>
    <w:rPr>
      <w:rFonts w:ascii="宋体" w:hAnsi="Courier New"/>
      <w:kern w:val="0"/>
      <w:sz w:val="20"/>
    </w:rPr>
  </w:style>
  <w:style w:type="paragraph" w:styleId="15">
    <w:name w:val="Date"/>
    <w:basedOn w:val="1"/>
    <w:next w:val="1"/>
    <w:link w:val="40"/>
    <w:qFormat/>
    <w:uiPriority w:val="0"/>
    <w:pPr>
      <w:ind w:left="100" w:leftChars="2500"/>
    </w:pPr>
    <w:rPr>
      <w:kern w:val="0"/>
      <w:sz w:val="28"/>
    </w:rPr>
  </w:style>
  <w:style w:type="paragraph" w:styleId="16">
    <w:name w:val="Body Text Indent 2"/>
    <w:basedOn w:val="1"/>
    <w:link w:val="61"/>
    <w:qFormat/>
    <w:uiPriority w:val="0"/>
    <w:pPr>
      <w:spacing w:line="300" w:lineRule="auto"/>
      <w:ind w:firstLine="540" w:firstLineChars="225"/>
    </w:pPr>
    <w:rPr>
      <w:rFonts w:ascii="宋体" w:hAnsi="宋体"/>
      <w:color w:val="000000"/>
      <w:kern w:val="0"/>
      <w:sz w:val="24"/>
    </w:rPr>
  </w:style>
  <w:style w:type="paragraph" w:styleId="17">
    <w:name w:val="footer"/>
    <w:basedOn w:val="1"/>
    <w:link w:val="57"/>
    <w:qFormat/>
    <w:uiPriority w:val="0"/>
    <w:pPr>
      <w:tabs>
        <w:tab w:val="center" w:pos="4153"/>
        <w:tab w:val="right" w:pos="8306"/>
      </w:tabs>
      <w:snapToGrid w:val="0"/>
      <w:jc w:val="left"/>
    </w:pPr>
    <w:rPr>
      <w:kern w:val="0"/>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1"/>
    <w:qFormat/>
    <w:uiPriority w:val="0"/>
    <w:pPr>
      <w:snapToGrid w:val="0"/>
      <w:jc w:val="left"/>
    </w:pPr>
    <w:rPr>
      <w:kern w:val="0"/>
      <w:sz w:val="18"/>
      <w:szCs w:val="18"/>
    </w:rPr>
  </w:style>
  <w:style w:type="paragraph" w:styleId="24">
    <w:name w:val="Body Text Indent 3"/>
    <w:basedOn w:val="1"/>
    <w:link w:val="47"/>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4"/>
    <w:semiHidden/>
    <w:qFormat/>
    <w:uiPriority w:val="0"/>
    <w:rPr>
      <w:b/>
      <w:bCs/>
      <w:kern w:val="0"/>
      <w:sz w:val="20"/>
    </w:rPr>
  </w:style>
  <w:style w:type="paragraph" w:styleId="28">
    <w:name w:val="Body Text First Indent"/>
    <w:basedOn w:val="10"/>
    <w:qFormat/>
    <w:uiPriority w:val="0"/>
    <w:pPr>
      <w:ind w:firstLine="420" w:firstLineChars="100"/>
    </w:p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Emphasis"/>
    <w:basedOn w:val="31"/>
    <w:qFormat/>
    <w:uiPriority w:val="20"/>
    <w:rPr>
      <w:color w:val="CC0000"/>
    </w:rPr>
  </w:style>
  <w:style w:type="character" w:styleId="36">
    <w:name w:val="Hyperlink"/>
    <w:qFormat/>
    <w:uiPriority w:val="99"/>
    <w:rPr>
      <w:color w:val="0000FF"/>
      <w:u w:val="single"/>
    </w:rPr>
  </w:style>
  <w:style w:type="character" w:styleId="37">
    <w:name w:val="annotation reference"/>
    <w:semiHidden/>
    <w:qFormat/>
    <w:uiPriority w:val="0"/>
    <w:rPr>
      <w:sz w:val="21"/>
      <w:szCs w:val="21"/>
    </w:rPr>
  </w:style>
  <w:style w:type="character" w:styleId="38">
    <w:name w:val="footnote reference"/>
    <w:qFormat/>
    <w:uiPriority w:val="0"/>
    <w:rPr>
      <w:vertAlign w:val="superscript"/>
    </w:rPr>
  </w:style>
  <w:style w:type="character" w:customStyle="1" w:styleId="39">
    <w:name w:val="副标题 字符"/>
    <w:link w:val="22"/>
    <w:qFormat/>
    <w:uiPriority w:val="0"/>
    <w:rPr>
      <w:rFonts w:ascii="Cambria" w:hAnsi="Cambria" w:eastAsia="宋体" w:cs="Times New Roman"/>
      <w:b/>
      <w:bCs/>
      <w:kern w:val="28"/>
      <w:sz w:val="32"/>
      <w:szCs w:val="32"/>
    </w:rPr>
  </w:style>
  <w:style w:type="character" w:customStyle="1" w:styleId="40">
    <w:name w:val="日期 字符"/>
    <w:link w:val="15"/>
    <w:qFormat/>
    <w:uiPriority w:val="0"/>
    <w:rPr>
      <w:rFonts w:ascii="Times New Roman" w:hAnsi="Times New Roman" w:eastAsia="宋体" w:cs="Times New Roman"/>
      <w:sz w:val="28"/>
      <w:szCs w:val="24"/>
    </w:rPr>
  </w:style>
  <w:style w:type="character" w:customStyle="1" w:styleId="41">
    <w:name w:val="脚注文本 字符"/>
    <w:link w:val="23"/>
    <w:qFormat/>
    <w:uiPriority w:val="0"/>
    <w:rPr>
      <w:rFonts w:ascii="Times New Roman" w:hAnsi="Times New Roman" w:eastAsia="宋体" w:cs="Times New Roman"/>
      <w:sz w:val="18"/>
      <w:szCs w:val="18"/>
    </w:rPr>
  </w:style>
  <w:style w:type="character" w:customStyle="1" w:styleId="42">
    <w:name w:val="批注框文本 字符"/>
    <w:link w:val="9"/>
    <w:semiHidden/>
    <w:qFormat/>
    <w:uiPriority w:val="0"/>
    <w:rPr>
      <w:rFonts w:ascii="Times New Roman" w:hAnsi="Times New Roman"/>
      <w:kern w:val="2"/>
      <w:sz w:val="28"/>
      <w:szCs w:val="18"/>
    </w:rPr>
  </w:style>
  <w:style w:type="character" w:customStyle="1" w:styleId="43">
    <w:name w:val="纯文本 字符"/>
    <w:link w:val="14"/>
    <w:qFormat/>
    <w:uiPriority w:val="0"/>
    <w:rPr>
      <w:rFonts w:ascii="宋体" w:hAnsi="Courier New" w:eastAsia="宋体"/>
      <w:szCs w:val="24"/>
    </w:rPr>
  </w:style>
  <w:style w:type="character" w:customStyle="1" w:styleId="44">
    <w:name w:val="列出段落 Char"/>
    <w:link w:val="45"/>
    <w:qFormat/>
    <w:locked/>
    <w:uiPriority w:val="99"/>
    <w:rPr>
      <w:rFonts w:ascii="Times New Roman" w:hAnsi="Times New Roman"/>
      <w:kern w:val="2"/>
      <w:sz w:val="21"/>
      <w:szCs w:val="24"/>
    </w:rPr>
  </w:style>
  <w:style w:type="paragraph" w:customStyle="1" w:styleId="45">
    <w:name w:val="列出段落2"/>
    <w:basedOn w:val="1"/>
    <w:link w:val="44"/>
    <w:qFormat/>
    <w:uiPriority w:val="99"/>
    <w:pPr>
      <w:ind w:firstLine="420" w:firstLineChars="200"/>
    </w:pPr>
  </w:style>
  <w:style w:type="character" w:customStyle="1" w:styleId="46">
    <w:name w:val="纯文本 Char1"/>
    <w:semiHidden/>
    <w:qFormat/>
    <w:uiPriority w:val="99"/>
    <w:rPr>
      <w:rFonts w:ascii="宋体" w:hAnsi="Courier New" w:eastAsia="宋体" w:cs="Courier New"/>
      <w:szCs w:val="21"/>
    </w:rPr>
  </w:style>
  <w:style w:type="character" w:customStyle="1" w:styleId="47">
    <w:name w:val="正文文本缩进 3 字符"/>
    <w:link w:val="24"/>
    <w:qFormat/>
    <w:uiPriority w:val="0"/>
    <w:rPr>
      <w:rFonts w:ascii="宋体" w:hAnsi="Times New Roman" w:eastAsia="宋体" w:cs="Times New Roman"/>
      <w:sz w:val="28"/>
      <w:szCs w:val="20"/>
    </w:rPr>
  </w:style>
  <w:style w:type="character" w:customStyle="1" w:styleId="48">
    <w:name w:val="正文缩进 字符"/>
    <w:link w:val="6"/>
    <w:qFormat/>
    <w:uiPriority w:val="0"/>
    <w:rPr>
      <w:rFonts w:eastAsia="宋体"/>
    </w:rPr>
  </w:style>
  <w:style w:type="character" w:customStyle="1" w:styleId="49">
    <w:name w:val="标题 2 字符"/>
    <w:link w:val="3"/>
    <w:qFormat/>
    <w:uiPriority w:val="0"/>
    <w:rPr>
      <w:rFonts w:ascii="Arial" w:hAnsi="Arial" w:eastAsia="宋体" w:cs="Times New Roman"/>
      <w:b/>
      <w:bCs/>
      <w:sz w:val="28"/>
      <w:szCs w:val="32"/>
    </w:rPr>
  </w:style>
  <w:style w:type="character" w:customStyle="1" w:styleId="50">
    <w:name w:val="页眉1 Char"/>
    <w:link w:val="51"/>
    <w:qFormat/>
    <w:uiPriority w:val="0"/>
    <w:rPr>
      <w:sz w:val="18"/>
      <w:szCs w:val="18"/>
    </w:rPr>
  </w:style>
  <w:style w:type="paragraph" w:customStyle="1" w:styleId="51">
    <w:name w:val="页眉1"/>
    <w:basedOn w:val="18"/>
    <w:link w:val="50"/>
    <w:qFormat/>
    <w:uiPriority w:val="0"/>
    <w:pPr>
      <w:pBdr>
        <w:bottom w:val="none" w:color="auto" w:sz="0" w:space="0"/>
      </w:pBdr>
      <w:jc w:val="both"/>
    </w:pPr>
  </w:style>
  <w:style w:type="character" w:customStyle="1" w:styleId="52">
    <w:name w:val="页眉 字符"/>
    <w:link w:val="18"/>
    <w:qFormat/>
    <w:uiPriority w:val="0"/>
    <w:rPr>
      <w:sz w:val="18"/>
      <w:szCs w:val="18"/>
    </w:rPr>
  </w:style>
  <w:style w:type="character" w:customStyle="1" w:styleId="53">
    <w:name w:val="标题 3 字符"/>
    <w:link w:val="4"/>
    <w:qFormat/>
    <w:uiPriority w:val="0"/>
    <w:rPr>
      <w:rFonts w:ascii="Times New Roman" w:hAnsi="Times New Roman" w:eastAsia="宋体" w:cs="Times New Roman"/>
      <w:b/>
      <w:bCs/>
      <w:sz w:val="24"/>
      <w:szCs w:val="32"/>
    </w:rPr>
  </w:style>
  <w:style w:type="character" w:customStyle="1" w:styleId="54">
    <w:name w:val="h2"/>
    <w:qFormat/>
    <w:uiPriority w:val="0"/>
    <w:rPr>
      <w:color w:val="000000"/>
      <w:sz w:val="24"/>
      <w:szCs w:val="24"/>
    </w:rPr>
  </w:style>
  <w:style w:type="character" w:customStyle="1" w:styleId="55">
    <w:name w:val="unnamed1"/>
    <w:basedOn w:val="31"/>
    <w:qFormat/>
    <w:uiPriority w:val="0"/>
  </w:style>
  <w:style w:type="character" w:customStyle="1" w:styleId="56">
    <w:name w:val="正文文本缩进 字符"/>
    <w:link w:val="11"/>
    <w:qFormat/>
    <w:uiPriority w:val="0"/>
    <w:rPr>
      <w:rFonts w:ascii="宋体" w:hAnsi="宋体" w:eastAsia="宋体" w:cs="Times New Roman"/>
      <w:sz w:val="24"/>
      <w:szCs w:val="24"/>
    </w:rPr>
  </w:style>
  <w:style w:type="character" w:customStyle="1" w:styleId="57">
    <w:name w:val="页脚 字符"/>
    <w:link w:val="17"/>
    <w:qFormat/>
    <w:uiPriority w:val="0"/>
    <w:rPr>
      <w:rFonts w:ascii="Times New Roman" w:hAnsi="Times New Roman" w:eastAsia="宋体" w:cs="Times New Roman"/>
      <w:sz w:val="18"/>
      <w:szCs w:val="18"/>
    </w:rPr>
  </w:style>
  <w:style w:type="character" w:customStyle="1" w:styleId="58">
    <w:name w:val="标题 4 字符"/>
    <w:link w:val="5"/>
    <w:semiHidden/>
    <w:qFormat/>
    <w:uiPriority w:val="9"/>
    <w:rPr>
      <w:rFonts w:ascii="Cambria" w:hAnsi="Cambria" w:eastAsia="宋体" w:cs="Times New Roman"/>
      <w:b/>
      <w:bCs/>
      <w:sz w:val="28"/>
      <w:szCs w:val="28"/>
    </w:rPr>
  </w:style>
  <w:style w:type="character" w:customStyle="1" w:styleId="59">
    <w:name w:val="font101"/>
    <w:qFormat/>
    <w:uiPriority w:val="0"/>
    <w:rPr>
      <w:rFonts w:hint="eastAsia" w:ascii="黑体" w:hAnsi="宋体" w:eastAsia="黑体" w:cs="黑体"/>
      <w:color w:val="000000"/>
      <w:sz w:val="20"/>
      <w:szCs w:val="20"/>
      <w:u w:val="none"/>
    </w:rPr>
  </w:style>
  <w:style w:type="character" w:customStyle="1" w:styleId="60">
    <w:name w:val="标题 1 字符"/>
    <w:link w:val="2"/>
    <w:qFormat/>
    <w:uiPriority w:val="0"/>
    <w:rPr>
      <w:rFonts w:ascii="Times New Roman" w:hAnsi="Times New Roman" w:eastAsia="宋体" w:cs="Times New Roman"/>
      <w:b/>
      <w:bCs/>
      <w:kern w:val="44"/>
      <w:sz w:val="44"/>
      <w:szCs w:val="44"/>
    </w:rPr>
  </w:style>
  <w:style w:type="character" w:customStyle="1" w:styleId="61">
    <w:name w:val="正文文本缩进 2 字符"/>
    <w:link w:val="16"/>
    <w:qFormat/>
    <w:uiPriority w:val="0"/>
    <w:rPr>
      <w:rFonts w:ascii="宋体" w:hAnsi="宋体" w:eastAsia="宋体" w:cs="Times New Roman"/>
      <w:color w:val="000000"/>
      <w:sz w:val="24"/>
      <w:szCs w:val="24"/>
    </w:rPr>
  </w:style>
  <w:style w:type="character" w:customStyle="1" w:styleId="62">
    <w:name w:val="font61"/>
    <w:qFormat/>
    <w:uiPriority w:val="0"/>
    <w:rPr>
      <w:rFonts w:hint="eastAsia" w:ascii="宋体" w:hAnsi="宋体" w:eastAsia="宋体" w:cs="宋体"/>
      <w:color w:val="000000"/>
      <w:sz w:val="20"/>
      <w:szCs w:val="20"/>
      <w:u w:val="none"/>
    </w:rPr>
  </w:style>
  <w:style w:type="character" w:customStyle="1" w:styleId="63">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4">
    <w:name w:val="批注主题 字符"/>
    <w:link w:val="27"/>
    <w:semiHidden/>
    <w:qFormat/>
    <w:uiPriority w:val="0"/>
    <w:rPr>
      <w:rFonts w:ascii="Times New Roman" w:hAnsi="Times New Roman" w:eastAsia="宋体" w:cs="Times New Roman"/>
      <w:b/>
      <w:bCs/>
      <w:szCs w:val="24"/>
    </w:rPr>
  </w:style>
  <w:style w:type="character" w:customStyle="1" w:styleId="65">
    <w:name w:val="页眉 Char1"/>
    <w:semiHidden/>
    <w:qFormat/>
    <w:uiPriority w:val="99"/>
    <w:rPr>
      <w:rFonts w:ascii="Times New Roman" w:hAnsi="Times New Roman" w:eastAsia="宋体" w:cs="Times New Roman"/>
      <w:sz w:val="18"/>
      <w:szCs w:val="18"/>
    </w:rPr>
  </w:style>
  <w:style w:type="character" w:customStyle="1" w:styleId="66">
    <w:name w:val="批注文字 字符"/>
    <w:link w:val="8"/>
    <w:qFormat/>
    <w:uiPriority w:val="0"/>
    <w:rPr>
      <w:rFonts w:ascii="Times New Roman" w:hAnsi="Times New Roman"/>
      <w:kern w:val="2"/>
      <w:sz w:val="24"/>
      <w:szCs w:val="24"/>
    </w:rPr>
  </w:style>
  <w:style w:type="character" w:customStyle="1" w:styleId="67">
    <w:name w:val="apple-converted-space"/>
    <w:qFormat/>
    <w:uiPriority w:val="99"/>
    <w:rPr>
      <w:rFonts w:cs="Times New Roman"/>
    </w:rPr>
  </w:style>
  <w:style w:type="paragraph" w:customStyle="1" w:styleId="68">
    <w:name w:val="1"/>
    <w:basedOn w:val="1"/>
    <w:qFormat/>
    <w:uiPriority w:val="0"/>
    <w:pPr>
      <w:widowControl/>
      <w:spacing w:after="160" w:line="240" w:lineRule="exact"/>
      <w:jc w:val="left"/>
    </w:pPr>
    <w:rPr>
      <w:rFonts w:ascii="Verdana" w:hAnsi="Verdana"/>
      <w:kern w:val="0"/>
      <w:szCs w:val="20"/>
      <w:lang w:eastAsia="en-US"/>
    </w:rPr>
  </w:style>
  <w:style w:type="paragraph" w:customStyle="1" w:styleId="69">
    <w:name w:val="Char Char Char"/>
    <w:basedOn w:val="1"/>
    <w:qFormat/>
    <w:uiPriority w:val="0"/>
    <w:rPr>
      <w:rFonts w:ascii="宋体" w:hAnsi="宋体"/>
      <w:b/>
      <w:sz w:val="28"/>
      <w:szCs w:val="28"/>
    </w:rPr>
  </w:style>
  <w:style w:type="paragraph" w:customStyle="1" w:styleId="70">
    <w:name w:val="Char Char Char Char"/>
    <w:basedOn w:val="1"/>
    <w:qFormat/>
    <w:uiPriority w:val="0"/>
    <w:rPr>
      <w:szCs w:val="20"/>
    </w:rPr>
  </w:style>
  <w:style w:type="paragraph" w:customStyle="1" w:styleId="71">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3">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6">
    <w:name w:val="列出段落1"/>
    <w:basedOn w:val="1"/>
    <w:qFormat/>
    <w:uiPriority w:val="0"/>
    <w:pPr>
      <w:ind w:firstLine="420" w:firstLineChars="200"/>
    </w:pPr>
    <w:rPr>
      <w:rFonts w:ascii="Calibri" w:hAnsi="Calibri"/>
      <w:szCs w:val="21"/>
    </w:rPr>
  </w:style>
  <w:style w:type="paragraph" w:customStyle="1" w:styleId="77">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8">
    <w:name w:val="Char1 Char Char Char"/>
    <w:basedOn w:val="1"/>
    <w:qFormat/>
    <w:uiPriority w:val="0"/>
    <w:pPr>
      <w:ind w:left="420" w:hanging="420"/>
    </w:pPr>
    <w:rPr>
      <w:sz w:val="24"/>
    </w:rPr>
  </w:style>
  <w:style w:type="paragraph" w:customStyle="1" w:styleId="79">
    <w:name w:val="_Style 1"/>
    <w:basedOn w:val="1"/>
    <w:qFormat/>
    <w:uiPriority w:val="99"/>
    <w:pPr>
      <w:ind w:firstLine="420" w:firstLineChars="200"/>
    </w:pPr>
  </w:style>
  <w:style w:type="paragraph" w:customStyle="1" w:styleId="80">
    <w:name w:val="样式2"/>
    <w:basedOn w:val="1"/>
    <w:qFormat/>
    <w:uiPriority w:val="0"/>
    <w:rPr>
      <w:b/>
      <w:sz w:val="24"/>
    </w:rPr>
  </w:style>
  <w:style w:type="paragraph" w:customStyle="1" w:styleId="81">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图"/>
    <w:basedOn w:val="1"/>
    <w:link w:val="94"/>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4">
    <w:name w:val="Char"/>
    <w:basedOn w:val="1"/>
    <w:qFormat/>
    <w:uiPriority w:val="0"/>
    <w:pPr>
      <w:tabs>
        <w:tab w:val="left" w:pos="0"/>
      </w:tabs>
      <w:ind w:left="964" w:hanging="964"/>
    </w:pPr>
    <w:rPr>
      <w:sz w:val="24"/>
    </w:rPr>
  </w:style>
  <w:style w:type="paragraph" w:styleId="85">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6">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hwyang"/>
    <w:basedOn w:val="1"/>
    <w:qFormat/>
    <w:uiPriority w:val="0"/>
    <w:pPr>
      <w:widowControl/>
      <w:spacing w:line="360" w:lineRule="auto"/>
      <w:ind w:firstLine="480" w:firstLineChars="200"/>
      <w:jc w:val="left"/>
    </w:pPr>
    <w:rPr>
      <w:kern w:val="0"/>
      <w:sz w:val="24"/>
      <w:szCs w:val="20"/>
    </w:rPr>
  </w:style>
  <w:style w:type="paragraph" w:customStyle="1" w:styleId="90">
    <w:name w:val="列表段落1"/>
    <w:basedOn w:val="1"/>
    <w:qFormat/>
    <w:uiPriority w:val="0"/>
    <w:pPr>
      <w:ind w:firstLine="420" w:firstLineChars="200"/>
    </w:pPr>
    <w:rPr>
      <w:rFonts w:ascii="Calibri" w:hAnsi="Calibri"/>
      <w:szCs w:val="21"/>
    </w:rPr>
  </w:style>
  <w:style w:type="paragraph" w:customStyle="1" w:styleId="91">
    <w:name w:val="正文_0_1"/>
    <w:basedOn w:val="1"/>
    <w:qFormat/>
    <w:uiPriority w:val="0"/>
    <w:pPr>
      <w:spacing w:line="360" w:lineRule="auto"/>
    </w:pPr>
    <w:rPr>
      <w:rFonts w:ascii="Calibri" w:hAnsi="Calibri" w:eastAsia="仿宋" w:cs="宋体"/>
      <w:sz w:val="28"/>
      <w:szCs w:val="28"/>
    </w:rPr>
  </w:style>
  <w:style w:type="paragraph" w:customStyle="1" w:styleId="92">
    <w:name w:val="￥正文"/>
    <w:basedOn w:val="1"/>
    <w:qFormat/>
    <w:uiPriority w:val="0"/>
    <w:pPr>
      <w:spacing w:line="360" w:lineRule="auto"/>
    </w:pPr>
    <w:rPr>
      <w:rFonts w:ascii="Calibri" w:hAnsi="Calibri"/>
      <w:kern w:val="0"/>
      <w:sz w:val="24"/>
      <w:szCs w:val="20"/>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4">
    <w:name w:val="图 Char Char"/>
    <w:link w:val="82"/>
    <w:qFormat/>
    <w:locked/>
    <w:uiPriority w:val="0"/>
    <w:rPr>
      <w:rFonts w:ascii="Times New Roman" w:hAnsi="Times New Roman"/>
      <w:snapToGrid w:val="0"/>
      <w:spacing w:val="20"/>
      <w:sz w:val="24"/>
    </w:rPr>
  </w:style>
  <w:style w:type="paragraph" w:customStyle="1" w:styleId="95">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6">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List Paragraph Char"/>
    <w:qFormat/>
    <w:locked/>
    <w:uiPriority w:val="99"/>
    <w:rPr>
      <w:kern w:val="0"/>
      <w:sz w:val="20"/>
      <w:szCs w:val="20"/>
    </w:rPr>
  </w:style>
  <w:style w:type="paragraph" w:customStyle="1" w:styleId="100">
    <w:name w:val="_正文段落"/>
    <w:basedOn w:val="1"/>
    <w:link w:val="101"/>
    <w:qFormat/>
    <w:uiPriority w:val="0"/>
    <w:pPr>
      <w:spacing w:beforeLines="15" w:afterLines="15" w:line="360" w:lineRule="auto"/>
      <w:ind w:firstLine="200" w:firstLineChars="200"/>
    </w:pPr>
    <w:rPr>
      <w:sz w:val="24"/>
    </w:rPr>
  </w:style>
  <w:style w:type="character" w:customStyle="1" w:styleId="101">
    <w:name w:val="_正文段落 Char"/>
    <w:link w:val="100"/>
    <w:qFormat/>
    <w:uiPriority w:val="0"/>
    <w:rPr>
      <w:rFonts w:ascii="Times New Roman" w:hAnsi="Times New Roman"/>
      <w:kern w:val="2"/>
      <w:sz w:val="24"/>
      <w:szCs w:val="24"/>
    </w:rPr>
  </w:style>
  <w:style w:type="paragraph" w:customStyle="1" w:styleId="102">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4">
    <w:name w:val="redlink"/>
    <w:basedOn w:val="1"/>
    <w:qFormat/>
    <w:uiPriority w:val="0"/>
    <w:pPr>
      <w:widowControl/>
      <w:spacing w:before="100" w:beforeLines="0" w:beforeAutospacing="1" w:after="100" w:afterLines="0" w:afterAutospacing="1"/>
      <w:jc w:val="left"/>
    </w:pPr>
    <w:rPr>
      <w:rFonts w:ascii="Arial" w:hAnsi="Arial" w:cs="Arial"/>
      <w:color w:val="FF0000"/>
      <w:kern w:val="0"/>
      <w:sz w:val="18"/>
      <w:szCs w:val="18"/>
    </w:rPr>
  </w:style>
  <w:style w:type="paragraph" w:customStyle="1" w:styleId="105">
    <w:name w:val="普通(网站)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7F579-8DF8-43A7-A1A0-EBE58A1CCCC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9421</Words>
  <Characters>9728</Characters>
  <Lines>444</Lines>
  <Paragraphs>180</Paragraphs>
  <TotalTime>1</TotalTime>
  <ScaleCrop>false</ScaleCrop>
  <LinksUpToDate>false</LinksUpToDate>
  <CharactersWithSpaces>10326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2024-05-06T01:50:00Z</dcterms:created>
  <dc:creator>招投标中心</dc:creator>
  <cp:lastModifiedBy>吴薇</cp:lastModifiedBy>
  <cp:lastPrinted>2022-01-21T10:35:00Z</cp:lastPrinted>
  <dcterms:modified xsi:type="dcterms:W3CDTF">2024-06-14T03:24:44Z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E6959727FCD542E1953E44D13AFFEBF0_13</vt:lpwstr>
  </property>
</Properties>
</file>