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65E6C">
      <w:pPr>
        <w:pStyle w:val="3"/>
        <w:pageBreakBefore w:val="0"/>
        <w:widowControl/>
        <w:numPr>
          <w:ilvl w:val="0"/>
          <w:numId w:val="0"/>
        </w:numPr>
        <w:kinsoku w:val="0"/>
        <w:wordWrap/>
        <w:overflowPunct/>
        <w:topLinePunct w:val="0"/>
        <w:autoSpaceDE w:val="0"/>
        <w:autoSpaceDN w:val="0"/>
        <w:bidi w:val="0"/>
        <w:adjustRightInd w:val="0"/>
        <w:snapToGrid w:val="0"/>
        <w:spacing w:line="500" w:lineRule="exact"/>
        <w:ind w:leftChars="0"/>
        <w:jc w:val="center"/>
        <w:textAlignment w:val="baseline"/>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招标需求书</w:t>
      </w:r>
    </w:p>
    <w:p w14:paraId="5EA05328">
      <w:pPr>
        <w:numPr>
          <w:ilvl w:val="-1"/>
          <w:numId w:val="0"/>
        </w:numPr>
        <w:ind w:left="0" w:leftChars="0" w:firstLine="0" w:firstLineChars="0"/>
        <w:jc w:val="center"/>
        <w:rPr>
          <w:rFonts w:hint="eastAsia"/>
          <w:sz w:val="22"/>
          <w:szCs w:val="16"/>
          <w:highlight w:val="none"/>
          <w:lang w:val="en-US" w:eastAsia="zh-CN"/>
        </w:rPr>
      </w:pPr>
      <w:bookmarkStart w:id="0" w:name="_GoBack"/>
      <w:bookmarkEnd w:id="0"/>
    </w:p>
    <w:p w14:paraId="7EC5D562">
      <w:pPr>
        <w:pageBreakBefore w:val="0"/>
        <w:numPr>
          <w:ilvl w:val="0"/>
          <w:numId w:val="0"/>
        </w:numPr>
        <w:wordWrap/>
        <w:overflowPunct/>
        <w:topLinePunct w:val="0"/>
        <w:bidi w:val="0"/>
        <w:spacing w:line="560" w:lineRule="exact"/>
        <w:ind w:left="0" w:firstLine="640" w:firstLineChars="200"/>
        <w:rPr>
          <w:rFonts w:hint="eastAsia"/>
          <w:highlight w:val="none"/>
        </w:rPr>
      </w:pPr>
    </w:p>
    <w:p w14:paraId="62855E1A">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rPr>
      </w:pPr>
      <w:r>
        <w:rPr>
          <w:rFonts w:hint="eastAsia"/>
          <w:highlight w:val="none"/>
        </w:rPr>
        <w:t>项目基本概况</w:t>
      </w:r>
    </w:p>
    <w:p w14:paraId="08DC8EFF">
      <w:pPr>
        <w:pStyle w:val="4"/>
        <w:pageBreakBefore w:val="0"/>
        <w:numPr>
          <w:ilvl w:val="0"/>
          <w:numId w:val="3"/>
        </w:numPr>
        <w:wordWrap/>
        <w:overflowPunct/>
        <w:topLinePunct w:val="0"/>
        <w:bidi w:val="0"/>
        <w:spacing w:line="560" w:lineRule="exact"/>
        <w:ind w:left="0" w:leftChars="0" w:firstLine="562" w:firstLineChars="200"/>
        <w:rPr>
          <w:rFonts w:hint="eastAsia"/>
          <w:highlight w:val="none"/>
        </w:rPr>
      </w:pPr>
      <w:r>
        <w:rPr>
          <w:rFonts w:hint="eastAsia"/>
          <w:highlight w:val="none"/>
        </w:rPr>
        <w:t>项目名称：</w:t>
      </w:r>
    </w:p>
    <w:p w14:paraId="6B307D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广东财经大学佛山校区食堂承包经营</w:t>
      </w:r>
      <w:r>
        <w:rPr>
          <w:rFonts w:hint="eastAsia" w:ascii="宋体" w:hAnsi="宋体" w:eastAsia="宋体" w:cs="宋体"/>
          <w:sz w:val="28"/>
          <w:szCs w:val="28"/>
          <w:highlight w:val="none"/>
          <w:lang w:eastAsia="zh-CN"/>
        </w:rPr>
        <w:t>招标</w:t>
      </w:r>
      <w:r>
        <w:rPr>
          <w:rFonts w:hint="eastAsia" w:ascii="宋体" w:hAnsi="宋体" w:eastAsia="宋体" w:cs="宋体"/>
          <w:sz w:val="28"/>
          <w:szCs w:val="28"/>
          <w:highlight w:val="none"/>
        </w:rPr>
        <w:t>项目。</w:t>
      </w:r>
    </w:p>
    <w:p w14:paraId="59C074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包组1：佛山校区</w:t>
      </w:r>
      <w:r>
        <w:rPr>
          <w:rFonts w:hint="eastAsia" w:ascii="宋体" w:hAnsi="宋体" w:eastAsia="宋体" w:cs="宋体"/>
          <w:sz w:val="28"/>
          <w:szCs w:val="28"/>
          <w:highlight w:val="none"/>
          <w:lang w:val="en-US" w:eastAsia="zh-CN"/>
        </w:rPr>
        <w:t>第</w:t>
      </w:r>
      <w:r>
        <w:rPr>
          <w:rFonts w:hint="eastAsia" w:ascii="宋体" w:hAnsi="宋体" w:eastAsia="宋体" w:cs="宋体"/>
          <w:sz w:val="28"/>
          <w:szCs w:val="28"/>
          <w:highlight w:val="none"/>
        </w:rPr>
        <w:t>一食堂承包经营；</w:t>
      </w:r>
    </w:p>
    <w:p w14:paraId="405C2F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包组2：佛山校区</w:t>
      </w:r>
      <w:r>
        <w:rPr>
          <w:rFonts w:hint="eastAsia" w:ascii="宋体" w:hAnsi="宋体" w:eastAsia="宋体" w:cs="宋体"/>
          <w:sz w:val="28"/>
          <w:szCs w:val="28"/>
          <w:highlight w:val="none"/>
          <w:lang w:val="en-US" w:eastAsia="zh-CN"/>
        </w:rPr>
        <w:t>第二</w:t>
      </w:r>
      <w:r>
        <w:rPr>
          <w:rFonts w:hint="eastAsia" w:ascii="宋体" w:hAnsi="宋体" w:eastAsia="宋体" w:cs="宋体"/>
          <w:sz w:val="28"/>
          <w:szCs w:val="28"/>
          <w:highlight w:val="none"/>
        </w:rPr>
        <w:t>食堂承包经营。</w:t>
      </w:r>
    </w:p>
    <w:p w14:paraId="25302B73">
      <w:pPr>
        <w:pStyle w:val="4"/>
        <w:pageBreakBefore w:val="0"/>
        <w:numPr>
          <w:ilvl w:val="0"/>
          <w:numId w:val="3"/>
        </w:numPr>
        <w:wordWrap/>
        <w:overflowPunct/>
        <w:topLinePunct w:val="0"/>
        <w:bidi w:val="0"/>
        <w:spacing w:line="560" w:lineRule="exact"/>
        <w:ind w:left="0" w:leftChars="0" w:firstLine="562" w:firstLineChars="200"/>
        <w:rPr>
          <w:rFonts w:hint="eastAsia"/>
          <w:highlight w:val="none"/>
        </w:rPr>
      </w:pPr>
      <w:r>
        <w:rPr>
          <w:rFonts w:hint="eastAsia"/>
          <w:highlight w:val="none"/>
        </w:rPr>
        <w:t>项目简介：</w:t>
      </w:r>
    </w:p>
    <w:p w14:paraId="01BE75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广东财经大学佛山校区位于广东省佛山市三水区云东海学海路（三水新城的核心区域），现有校园占地面积约1680亩，校舍建筑面积约39.23万</w:t>
      </w:r>
      <w:r>
        <w:rPr>
          <w:rFonts w:hint="eastAsia" w:ascii="宋体" w:hAnsi="宋体" w:eastAsia="宋体" w:cs="宋体"/>
          <w:sz w:val="28"/>
          <w:szCs w:val="28"/>
          <w:highlight w:val="none"/>
          <w:lang w:val="en-US" w:eastAsia="zh-CN"/>
        </w:rPr>
        <w:t>平方米</w:t>
      </w:r>
      <w:r>
        <w:rPr>
          <w:rFonts w:hint="eastAsia" w:ascii="宋体" w:hAnsi="宋体" w:eastAsia="宋体" w:cs="宋体"/>
          <w:sz w:val="28"/>
          <w:szCs w:val="28"/>
          <w:highlight w:val="none"/>
          <w:lang w:eastAsia="zh-CN"/>
        </w:rPr>
        <w:t>，校区在校师生规模约12500人</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此次对外承包有校区第一食堂、第二食堂</w:t>
      </w:r>
      <w:r>
        <w:rPr>
          <w:rFonts w:hint="eastAsia" w:ascii="宋体" w:hAnsi="宋体" w:eastAsia="宋体" w:cs="宋体"/>
          <w:sz w:val="28"/>
          <w:szCs w:val="28"/>
          <w:highlight w:val="none"/>
        </w:rPr>
        <w:t>。</w:t>
      </w:r>
    </w:p>
    <w:p w14:paraId="74D0B40D">
      <w:pPr>
        <w:pStyle w:val="4"/>
        <w:pageBreakBefore w:val="0"/>
        <w:numPr>
          <w:ilvl w:val="0"/>
          <w:numId w:val="3"/>
        </w:numPr>
        <w:wordWrap/>
        <w:overflowPunct/>
        <w:topLinePunct w:val="0"/>
        <w:bidi w:val="0"/>
        <w:spacing w:line="560" w:lineRule="exact"/>
        <w:ind w:left="0" w:leftChars="0" w:firstLine="562" w:firstLineChars="200"/>
        <w:rPr>
          <w:rFonts w:hint="eastAsia"/>
          <w:highlight w:val="none"/>
        </w:rPr>
      </w:pPr>
      <w:r>
        <w:rPr>
          <w:rFonts w:hint="eastAsia"/>
          <w:highlight w:val="none"/>
        </w:rPr>
        <w:t>项目内容：</w:t>
      </w:r>
    </w:p>
    <w:p w14:paraId="67E386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1.项目基本情况</w:t>
      </w:r>
    </w:p>
    <w:tbl>
      <w:tblPr>
        <w:tblStyle w:val="26"/>
        <w:tblW w:w="5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0"/>
        <w:gridCol w:w="1952"/>
        <w:gridCol w:w="2065"/>
        <w:gridCol w:w="819"/>
        <w:gridCol w:w="1273"/>
        <w:gridCol w:w="1928"/>
        <w:gridCol w:w="780"/>
      </w:tblGrid>
      <w:tr w14:paraId="54FB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222" w:type="pct"/>
            <w:vAlign w:val="center"/>
          </w:tcPr>
          <w:p w14:paraId="70A1B5A4">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包组</w:t>
            </w:r>
          </w:p>
        </w:tc>
        <w:tc>
          <w:tcPr>
            <w:tcW w:w="1058" w:type="pct"/>
            <w:vAlign w:val="center"/>
          </w:tcPr>
          <w:p w14:paraId="7BD55F5D">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名称</w:t>
            </w:r>
          </w:p>
        </w:tc>
        <w:tc>
          <w:tcPr>
            <w:tcW w:w="1119" w:type="pct"/>
            <w:vAlign w:val="center"/>
          </w:tcPr>
          <w:p w14:paraId="3AD415D8">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楼层</w:t>
            </w:r>
          </w:p>
        </w:tc>
        <w:tc>
          <w:tcPr>
            <w:tcW w:w="444" w:type="pct"/>
            <w:vAlign w:val="center"/>
          </w:tcPr>
          <w:p w14:paraId="060CEB59">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经营</w:t>
            </w:r>
            <w:r>
              <w:rPr>
                <w:rFonts w:hint="eastAsia" w:ascii="宋体" w:hAnsi="宋体" w:eastAsia="宋体" w:cs="宋体"/>
                <w:sz w:val="28"/>
                <w:szCs w:val="28"/>
                <w:highlight w:val="none"/>
              </w:rPr>
              <w:t>面积</w:t>
            </w:r>
          </w:p>
        </w:tc>
        <w:tc>
          <w:tcPr>
            <w:tcW w:w="690" w:type="pct"/>
            <w:vAlign w:val="center"/>
          </w:tcPr>
          <w:p w14:paraId="211B2C9A">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经营范围</w:t>
            </w:r>
          </w:p>
        </w:tc>
        <w:tc>
          <w:tcPr>
            <w:tcW w:w="1045" w:type="pct"/>
            <w:vAlign w:val="center"/>
          </w:tcPr>
          <w:p w14:paraId="42E3909D">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jc w:val="both"/>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经营年限</w:t>
            </w:r>
          </w:p>
        </w:tc>
        <w:tc>
          <w:tcPr>
            <w:tcW w:w="418" w:type="pct"/>
            <w:vAlign w:val="center"/>
          </w:tcPr>
          <w:p w14:paraId="3DE794D9">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jc w:val="both"/>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承包商数量</w:t>
            </w:r>
          </w:p>
        </w:tc>
      </w:tr>
      <w:tr w14:paraId="2458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222" w:type="pct"/>
            <w:vAlign w:val="top"/>
          </w:tcPr>
          <w:p w14:paraId="4101247C">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058" w:type="pct"/>
            <w:vAlign w:val="top"/>
          </w:tcPr>
          <w:p w14:paraId="3EDA01CA">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佛山校区</w:t>
            </w:r>
            <w:r>
              <w:rPr>
                <w:rFonts w:hint="eastAsia" w:ascii="宋体" w:hAnsi="宋体" w:eastAsia="宋体" w:cs="宋体"/>
                <w:sz w:val="28"/>
                <w:szCs w:val="28"/>
                <w:highlight w:val="none"/>
                <w:lang w:val="en-US" w:eastAsia="zh-CN"/>
              </w:rPr>
              <w:t>第一</w:t>
            </w:r>
            <w:r>
              <w:rPr>
                <w:rFonts w:hint="eastAsia" w:ascii="宋体" w:hAnsi="宋体" w:eastAsia="宋体" w:cs="宋体"/>
                <w:sz w:val="28"/>
                <w:szCs w:val="28"/>
                <w:highlight w:val="none"/>
              </w:rPr>
              <w:t>食堂承包经营</w:t>
            </w:r>
          </w:p>
        </w:tc>
        <w:tc>
          <w:tcPr>
            <w:tcW w:w="1119" w:type="pct"/>
            <w:vAlign w:val="top"/>
          </w:tcPr>
          <w:p w14:paraId="68359113">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食堂共两层，此次经营范围仅一楼</w:t>
            </w:r>
          </w:p>
        </w:tc>
        <w:tc>
          <w:tcPr>
            <w:tcW w:w="444" w:type="pct"/>
            <w:vAlign w:val="top"/>
          </w:tcPr>
          <w:p w14:paraId="6B5985A7">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约2100㎡</w:t>
            </w:r>
          </w:p>
        </w:tc>
        <w:tc>
          <w:tcPr>
            <w:tcW w:w="690" w:type="pct"/>
            <w:vAlign w:val="top"/>
          </w:tcPr>
          <w:p w14:paraId="7ED17085">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大众餐</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特色风味</w:t>
            </w:r>
          </w:p>
        </w:tc>
        <w:tc>
          <w:tcPr>
            <w:tcW w:w="1045" w:type="pct"/>
            <w:vAlign w:val="top"/>
          </w:tcPr>
          <w:p w14:paraId="311FF338">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2026年8月1日-2031年7月15日</w:t>
            </w:r>
          </w:p>
        </w:tc>
        <w:tc>
          <w:tcPr>
            <w:tcW w:w="418" w:type="pct"/>
            <w:vAlign w:val="top"/>
          </w:tcPr>
          <w:p w14:paraId="1DA194B6">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1家</w:t>
            </w:r>
          </w:p>
        </w:tc>
      </w:tr>
      <w:tr w14:paraId="455B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222" w:type="pct"/>
            <w:vAlign w:val="top"/>
          </w:tcPr>
          <w:p w14:paraId="748CCD36">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058" w:type="pct"/>
            <w:vAlign w:val="top"/>
          </w:tcPr>
          <w:p w14:paraId="3B12DBD5">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佛山校区</w:t>
            </w:r>
            <w:r>
              <w:rPr>
                <w:rFonts w:hint="eastAsia" w:ascii="宋体" w:hAnsi="宋体" w:eastAsia="宋体" w:cs="宋体"/>
                <w:sz w:val="28"/>
                <w:szCs w:val="28"/>
                <w:highlight w:val="none"/>
                <w:lang w:val="en-US" w:eastAsia="zh-CN"/>
              </w:rPr>
              <w:t>第二</w:t>
            </w:r>
            <w:r>
              <w:rPr>
                <w:rFonts w:hint="eastAsia" w:ascii="宋体" w:hAnsi="宋体" w:eastAsia="宋体" w:cs="宋体"/>
                <w:sz w:val="28"/>
                <w:szCs w:val="28"/>
                <w:highlight w:val="none"/>
              </w:rPr>
              <w:t>食堂承包经营</w:t>
            </w:r>
          </w:p>
        </w:tc>
        <w:tc>
          <w:tcPr>
            <w:tcW w:w="1119" w:type="pct"/>
            <w:vAlign w:val="top"/>
          </w:tcPr>
          <w:p w14:paraId="7ADCDF45">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食堂共三层，此次经营范围仅一楼</w:t>
            </w:r>
          </w:p>
        </w:tc>
        <w:tc>
          <w:tcPr>
            <w:tcW w:w="444" w:type="pct"/>
            <w:vAlign w:val="top"/>
          </w:tcPr>
          <w:p w14:paraId="78846701">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约</w:t>
            </w:r>
            <w:r>
              <w:rPr>
                <w:rFonts w:hint="eastAsia" w:ascii="宋体" w:hAnsi="宋体" w:eastAsia="宋体" w:cs="宋体"/>
                <w:sz w:val="28"/>
                <w:szCs w:val="28"/>
                <w:highlight w:val="none"/>
                <w:lang w:val="en-US" w:eastAsia="zh-CN"/>
              </w:rPr>
              <w:t>240</w:t>
            </w:r>
            <w:r>
              <w:rPr>
                <w:rFonts w:hint="eastAsia" w:ascii="宋体" w:hAnsi="宋体" w:eastAsia="宋体" w:cs="宋体"/>
                <w:sz w:val="28"/>
                <w:szCs w:val="28"/>
                <w:highlight w:val="none"/>
              </w:rPr>
              <w:t>0㎡</w:t>
            </w:r>
          </w:p>
        </w:tc>
        <w:tc>
          <w:tcPr>
            <w:tcW w:w="690" w:type="pct"/>
            <w:vAlign w:val="top"/>
          </w:tcPr>
          <w:p w14:paraId="7FE6A5AE">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大众餐</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特色风味</w:t>
            </w:r>
          </w:p>
        </w:tc>
        <w:tc>
          <w:tcPr>
            <w:tcW w:w="1045" w:type="pct"/>
            <w:vAlign w:val="top"/>
          </w:tcPr>
          <w:p w14:paraId="55368F7C">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2026年8月1日-2031年7月15日</w:t>
            </w:r>
          </w:p>
        </w:tc>
        <w:tc>
          <w:tcPr>
            <w:tcW w:w="418" w:type="pct"/>
            <w:vAlign w:val="top"/>
          </w:tcPr>
          <w:p w14:paraId="36931C72">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1家</w:t>
            </w:r>
          </w:p>
        </w:tc>
      </w:tr>
      <w:tr w14:paraId="300F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000" w:type="pct"/>
            <w:gridSpan w:val="7"/>
            <w:vAlign w:val="top"/>
          </w:tcPr>
          <w:p w14:paraId="6C561335">
            <w:pPr>
              <w:keepNext/>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0" w:firstLineChars="0"/>
              <w:textAlignment w:val="baseline"/>
              <w:rPr>
                <w:rFonts w:hint="eastAsia" w:ascii="宋体" w:hAnsi="宋体" w:eastAsia="宋体" w:cs="宋体"/>
                <w:sz w:val="28"/>
                <w:szCs w:val="28"/>
                <w:highlight w:val="none"/>
                <w:lang w:val="en-US" w:eastAsia="zh-CN"/>
              </w:rPr>
            </w:pPr>
            <w:r>
              <w:rPr>
                <w:rFonts w:hint="eastAsia" w:ascii="宋体" w:hAnsi="宋体" w:eastAsia="宋体" w:cs="宋体"/>
                <w:color w:val="000000"/>
                <w:spacing w:val="0"/>
                <w:kern w:val="0"/>
                <w:position w:val="0"/>
                <w:sz w:val="28"/>
                <w:szCs w:val="28"/>
                <w:highlight w:val="none"/>
                <w:lang w:val="en-US" w:eastAsia="zh-CN" w:bidi="ar"/>
              </w:rPr>
              <w:t>备注：最后经营日期为完成撤场时间，以招标人下达撤场通知为准。</w:t>
            </w:r>
          </w:p>
        </w:tc>
      </w:tr>
    </w:tbl>
    <w:p w14:paraId="2DED83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hint="eastAsia" w:ascii="宋体" w:hAnsi="宋体" w:eastAsia="宋体" w:cs="宋体"/>
          <w:b/>
          <w:bCs/>
          <w:sz w:val="28"/>
          <w:szCs w:val="28"/>
          <w:highlight w:val="none"/>
          <w:u w:val="single"/>
          <w:lang w:eastAsia="zh-CN"/>
        </w:rPr>
      </w:pPr>
      <w:r>
        <w:rPr>
          <w:rFonts w:hint="eastAsia" w:ascii="宋体" w:hAnsi="宋体" w:eastAsia="宋体" w:cs="宋体"/>
          <w:b/>
          <w:bCs/>
          <w:spacing w:val="0"/>
          <w:kern w:val="21"/>
          <w:position w:val="0"/>
          <w:sz w:val="28"/>
          <w:szCs w:val="28"/>
          <w:highlight w:val="none"/>
          <w:u w:val="single"/>
          <w:lang w:val="en-US" w:eastAsia="zh-CN"/>
        </w:rPr>
        <w:t>2.</w:t>
      </w:r>
      <w:r>
        <w:rPr>
          <w:rFonts w:hint="eastAsia" w:ascii="宋体" w:hAnsi="宋体" w:eastAsia="宋体" w:cs="宋体"/>
          <w:b/>
          <w:bCs/>
          <w:sz w:val="28"/>
          <w:szCs w:val="28"/>
          <w:highlight w:val="none"/>
          <w:u w:val="single"/>
          <w:lang w:val="en-US" w:eastAsia="zh-CN"/>
        </w:rPr>
        <w:t>★</w:t>
      </w:r>
      <w:r>
        <w:rPr>
          <w:rFonts w:hint="eastAsia" w:ascii="宋体" w:hAnsi="宋体" w:eastAsia="宋体" w:cs="宋体"/>
          <w:b/>
          <w:bCs/>
          <w:spacing w:val="0"/>
          <w:kern w:val="21"/>
          <w:position w:val="0"/>
          <w:sz w:val="28"/>
          <w:szCs w:val="28"/>
          <w:highlight w:val="none"/>
          <w:u w:val="single"/>
          <w:lang w:val="en-US" w:eastAsia="zh-CN"/>
        </w:rPr>
        <w:t>本项目可兼投不可兼中，投标人可以同时竞投多个采购包，评审顺序按各采购包1-采购包2依次评审。若投标人同时为2个采购包的第一中标候选人，则该投标人将被推荐为采购包1的第一中标候选人，采购包2则推荐综合得分排名第二的投标人为第一中标候选人，采购包1的第一中标候选人不再列为采购包2的中标候选人。</w:t>
      </w:r>
    </w:p>
    <w:p w14:paraId="725762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.项目提供的基本装修和设施设备</w:t>
      </w:r>
    </w:p>
    <w:p w14:paraId="23AEA4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包组1：佛山校区</w:t>
      </w:r>
      <w:r>
        <w:rPr>
          <w:rFonts w:hint="eastAsia" w:ascii="宋体" w:hAnsi="宋体" w:eastAsia="宋体" w:cs="宋体"/>
          <w:sz w:val="28"/>
          <w:szCs w:val="28"/>
          <w:highlight w:val="none"/>
          <w:lang w:val="en-US" w:eastAsia="zh-CN"/>
        </w:rPr>
        <w:t>第一</w:t>
      </w:r>
      <w:r>
        <w:rPr>
          <w:rFonts w:hint="eastAsia" w:ascii="宋体" w:hAnsi="宋体" w:eastAsia="宋体" w:cs="宋体"/>
          <w:sz w:val="28"/>
          <w:szCs w:val="28"/>
          <w:highlight w:val="none"/>
        </w:rPr>
        <w:t>食堂已提供的基本装修和设备</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基本装修、照明设备、通风设备、空调、餐桌椅、明厨亮灶监控设备、天然气炉灶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厨具橱柜、冷库冷柜、</w:t>
      </w:r>
      <w:r>
        <w:rPr>
          <w:rFonts w:hint="eastAsia" w:ascii="宋体" w:hAnsi="宋体" w:eastAsia="宋体" w:cs="宋体"/>
          <w:sz w:val="28"/>
          <w:szCs w:val="28"/>
          <w:highlight w:val="none"/>
          <w:lang w:val="en-US" w:eastAsia="zh-CN"/>
        </w:rPr>
        <w:t>净水设备、</w:t>
      </w:r>
      <w:r>
        <w:rPr>
          <w:rFonts w:hint="eastAsia" w:ascii="宋体" w:hAnsi="宋体" w:eastAsia="宋体" w:cs="宋体"/>
          <w:sz w:val="28"/>
          <w:szCs w:val="28"/>
          <w:highlight w:val="none"/>
        </w:rPr>
        <w:t>消毒设备及设备设施等已基本齐备；燃气管道已安装至相应位置；提供一卡通收费系统</w:t>
      </w:r>
      <w:r>
        <w:rPr>
          <w:rFonts w:hint="eastAsia" w:ascii="宋体" w:hAnsi="宋体" w:eastAsia="宋体" w:cs="宋体"/>
          <w:sz w:val="28"/>
          <w:szCs w:val="28"/>
          <w:highlight w:val="none"/>
          <w:lang w:eastAsia="zh-CN"/>
        </w:rPr>
        <w:t>（如因现有一卡通机器不足或设备老化等，由中标人负责购置、安装调试，直至满足学校一卡通系统的运行要求）</w:t>
      </w:r>
      <w:r>
        <w:rPr>
          <w:rFonts w:hint="eastAsia" w:ascii="宋体" w:hAnsi="宋体" w:eastAsia="宋体" w:cs="宋体"/>
          <w:sz w:val="28"/>
          <w:szCs w:val="28"/>
          <w:highlight w:val="none"/>
        </w:rPr>
        <w:t>。设备清单详见附件1：《广东财经大学佛山校区学一食堂固定资产明细表》。</w:t>
      </w:r>
      <w:r>
        <w:rPr>
          <w:rFonts w:hint="eastAsia" w:ascii="宋体" w:hAnsi="宋体" w:eastAsia="宋体" w:cs="宋体"/>
          <w:sz w:val="28"/>
          <w:szCs w:val="28"/>
          <w:highlight w:val="none"/>
          <w:lang w:val="en-US" w:eastAsia="zh-CN"/>
        </w:rPr>
        <w:t>食堂平面图见附件2。</w:t>
      </w:r>
    </w:p>
    <w:p w14:paraId="146AF0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包组2：佛山校区</w:t>
      </w:r>
      <w:r>
        <w:rPr>
          <w:rFonts w:hint="eastAsia" w:ascii="宋体" w:hAnsi="宋体" w:eastAsia="宋体" w:cs="宋体"/>
          <w:sz w:val="28"/>
          <w:szCs w:val="28"/>
          <w:highlight w:val="none"/>
          <w:lang w:val="en-US" w:eastAsia="zh-CN"/>
        </w:rPr>
        <w:t>第二</w:t>
      </w:r>
      <w:r>
        <w:rPr>
          <w:rFonts w:hint="eastAsia" w:ascii="宋体" w:hAnsi="宋体" w:eastAsia="宋体" w:cs="宋体"/>
          <w:sz w:val="28"/>
          <w:szCs w:val="28"/>
          <w:highlight w:val="none"/>
        </w:rPr>
        <w:t>食堂已提供的基本装修和设备</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基本装修、照明设备、通风设备、空调、餐桌椅、明厨亮灶监控设备、天然气炉灶、厨具橱柜、冷库冷柜、</w:t>
      </w:r>
      <w:r>
        <w:rPr>
          <w:rFonts w:hint="eastAsia" w:ascii="宋体" w:hAnsi="宋体" w:eastAsia="宋体" w:cs="宋体"/>
          <w:sz w:val="28"/>
          <w:szCs w:val="28"/>
          <w:highlight w:val="none"/>
          <w:lang w:val="en-US" w:eastAsia="zh-CN"/>
        </w:rPr>
        <w:t>净水设备、</w:t>
      </w:r>
      <w:r>
        <w:rPr>
          <w:rFonts w:hint="eastAsia" w:ascii="宋体" w:hAnsi="宋体" w:eastAsia="宋体" w:cs="宋体"/>
          <w:sz w:val="28"/>
          <w:szCs w:val="28"/>
          <w:highlight w:val="none"/>
        </w:rPr>
        <w:t>消毒设备及设备设施等已基本齐备；燃气管道已安装至相应位置；提供一卡通收费系统</w:t>
      </w:r>
      <w:r>
        <w:rPr>
          <w:rFonts w:hint="eastAsia" w:ascii="宋体" w:hAnsi="宋体" w:eastAsia="宋体" w:cs="宋体"/>
          <w:sz w:val="28"/>
          <w:szCs w:val="28"/>
          <w:highlight w:val="none"/>
          <w:lang w:eastAsia="zh-CN"/>
        </w:rPr>
        <w:t>（如因现有一卡通机器不足或设备老化等，由中标人负责购置、安装调试，直至满足学校一卡通系统的运行要求）</w:t>
      </w:r>
      <w:r>
        <w:rPr>
          <w:rFonts w:hint="eastAsia" w:ascii="宋体" w:hAnsi="宋体" w:eastAsia="宋体" w:cs="宋体"/>
          <w:sz w:val="28"/>
          <w:szCs w:val="28"/>
          <w:highlight w:val="none"/>
        </w:rPr>
        <w:t>。</w:t>
      </w:r>
    </w:p>
    <w:p w14:paraId="6F8025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具体清单详见附件</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：《广东财经大学佛山校区学</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食堂固定资产明细表》。</w:t>
      </w:r>
      <w:r>
        <w:rPr>
          <w:rFonts w:hint="eastAsia" w:ascii="宋体" w:hAnsi="宋体" w:eastAsia="宋体" w:cs="宋体"/>
          <w:sz w:val="28"/>
          <w:szCs w:val="28"/>
          <w:highlight w:val="none"/>
          <w:lang w:val="en-US" w:eastAsia="zh-CN"/>
        </w:rPr>
        <w:t>食堂平面图见附件4。</w:t>
      </w:r>
    </w:p>
    <w:p w14:paraId="74AC62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.本次食堂</w:t>
      </w:r>
      <w:r>
        <w:rPr>
          <w:rFonts w:hint="eastAsia" w:ascii="宋体" w:hAnsi="宋体" w:eastAsia="宋体" w:cs="宋体"/>
          <w:sz w:val="28"/>
          <w:szCs w:val="28"/>
          <w:highlight w:val="none"/>
          <w:lang w:val="en-US" w:eastAsia="zh-CN"/>
        </w:rPr>
        <w:t>对外承包中提供的</w:t>
      </w:r>
      <w:r>
        <w:rPr>
          <w:rFonts w:hint="eastAsia" w:ascii="宋体" w:hAnsi="宋体" w:eastAsia="宋体" w:cs="宋体"/>
          <w:sz w:val="28"/>
          <w:szCs w:val="28"/>
          <w:highlight w:val="none"/>
        </w:rPr>
        <w:t>项目基本</w:t>
      </w:r>
      <w:r>
        <w:rPr>
          <w:rFonts w:hint="eastAsia" w:ascii="宋体" w:hAnsi="宋体" w:eastAsia="宋体" w:cs="宋体"/>
          <w:sz w:val="28"/>
          <w:szCs w:val="28"/>
          <w:highlight w:val="none"/>
          <w:lang w:val="en-US" w:eastAsia="zh-CN"/>
        </w:rPr>
        <w:t>情况</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已有</w:t>
      </w:r>
      <w:r>
        <w:rPr>
          <w:rFonts w:hint="eastAsia" w:ascii="宋体" w:hAnsi="宋体" w:eastAsia="宋体" w:cs="宋体"/>
          <w:sz w:val="28"/>
          <w:szCs w:val="28"/>
          <w:highlight w:val="none"/>
        </w:rPr>
        <w:t>固定资产明细表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平面图等</w:t>
      </w:r>
      <w:r>
        <w:rPr>
          <w:rFonts w:hint="eastAsia" w:ascii="宋体" w:hAnsi="宋体" w:eastAsia="宋体" w:cs="宋体"/>
          <w:sz w:val="28"/>
          <w:szCs w:val="28"/>
          <w:highlight w:val="none"/>
        </w:rPr>
        <w:t>所包括的全部内容仅供投标人参考。如果与项目现场情况有差异</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以现场情况为准，投标人可到现场进行核实。</w:t>
      </w:r>
    </w:p>
    <w:p w14:paraId="4CD36E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b/>
          <w:bCs/>
          <w:sz w:val="28"/>
          <w:szCs w:val="28"/>
          <w:highlight w:val="none"/>
          <w:lang w:val="en-US" w:eastAsia="zh-CN"/>
        </w:rPr>
      </w:pPr>
      <w:r>
        <w:rPr>
          <w:rFonts w:hint="eastAsia" w:ascii="宋体" w:hAnsi="宋体" w:eastAsia="宋体" w:cs="宋体"/>
          <w:sz w:val="28"/>
          <w:szCs w:val="28"/>
          <w:highlight w:val="none"/>
          <w:lang w:val="en-US" w:eastAsia="zh-CN"/>
        </w:rPr>
        <w:t>5.</w:t>
      </w:r>
      <w:r>
        <w:rPr>
          <w:rFonts w:hint="eastAsia" w:ascii="宋体" w:hAnsi="宋体" w:eastAsia="宋体" w:cs="宋体"/>
          <w:b/>
          <w:bCs/>
          <w:sz w:val="28"/>
          <w:szCs w:val="28"/>
          <w:highlight w:val="none"/>
          <w:lang w:val="en-US" w:eastAsia="zh-CN"/>
        </w:rPr>
        <w:t>风险提示：现提供的师生规模人数为预估的所在校区人数，作为投标时项目的建设参考数据，招标人不承诺校区师生一定具有以上规模，具体以招标人实际招生人数及学生培养计划为准，投标人应充分预估可能存在的人数变化及佛山校区现有餐饮供应主体情况，谨慎进行投标。如师生规模人数等发生变化时，中标人仍需根据投标文件的响应内容进行项目建设、食堂经营，或提供更优质的建设与经营，且招标人不承担因此产生的任何责任。</w:t>
      </w:r>
    </w:p>
    <w:p w14:paraId="4F06571A">
      <w:pPr>
        <w:pStyle w:val="4"/>
        <w:pageBreakBefore w:val="0"/>
        <w:numPr>
          <w:ilvl w:val="0"/>
          <w:numId w:val="3"/>
        </w:numPr>
        <w:wordWrap/>
        <w:overflowPunct/>
        <w:topLinePunct w:val="0"/>
        <w:bidi w:val="0"/>
        <w:spacing w:line="560" w:lineRule="exact"/>
        <w:ind w:left="0" w:leftChars="0" w:firstLine="562" w:firstLineChars="200"/>
        <w:rPr>
          <w:rFonts w:hint="eastAsia"/>
          <w:highlight w:val="none"/>
        </w:rPr>
      </w:pPr>
      <w:r>
        <w:rPr>
          <w:rFonts w:hint="eastAsia"/>
          <w:highlight w:val="none"/>
          <w:lang w:val="en-US" w:eastAsia="zh-CN"/>
        </w:rPr>
        <w:t>现场勘察</w:t>
      </w:r>
      <w:r>
        <w:rPr>
          <w:rFonts w:hint="eastAsia"/>
          <w:highlight w:val="none"/>
        </w:rPr>
        <w:t>：</w:t>
      </w:r>
    </w:p>
    <w:p w14:paraId="3CF4A5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1.集中日期：2026年  月  日；</w:t>
      </w:r>
    </w:p>
    <w:p w14:paraId="255EAA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2.集中时间及地点：上午  :00广东财经大学佛山校区学一食堂；上午  :00广东财经大学佛山校区学二食堂（佛山市三水区云东海街道学海路1号）；</w:t>
      </w:r>
    </w:p>
    <w:p w14:paraId="713D27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3.联系人：</w:t>
      </w:r>
    </w:p>
    <w:p w14:paraId="55D043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4.联系电话：</w:t>
      </w:r>
    </w:p>
    <w:p w14:paraId="134423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5.勘查人数：每个投标单位最多为2人</w:t>
      </w:r>
    </w:p>
    <w:p w14:paraId="35C98F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已报名供应商可在招标人取得联系后，提前一天告知参加现场勘查人员姓名、身份证号、健康情况等，按以上集中时间、地点前往现场勘察，未按时到场的，视为不参与现场勘察。</w:t>
      </w:r>
    </w:p>
    <w:p w14:paraId="0FC81AD7">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rPr>
      </w:pPr>
      <w:r>
        <w:rPr>
          <w:rFonts w:hint="eastAsia"/>
          <w:highlight w:val="none"/>
          <w:lang w:val="en-US" w:eastAsia="zh-CN"/>
        </w:rPr>
        <w:t>供应商资格要求</w:t>
      </w:r>
    </w:p>
    <w:p w14:paraId="2DEABC6C">
      <w:pPr>
        <w:keepNext w:val="0"/>
        <w:keepLines w:val="0"/>
        <w:pageBreakBefore w:val="0"/>
        <w:widowControl w:val="0"/>
        <w:numPr>
          <w:ilvl w:val="0"/>
          <w:numId w:val="4"/>
        </w:numPr>
        <w:tabs>
          <w:tab w:val="left" w:pos="709"/>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pacing w:val="0"/>
          <w:kern w:val="21"/>
          <w:position w:val="0"/>
          <w:sz w:val="28"/>
          <w:szCs w:val="28"/>
          <w:highlight w:val="none"/>
        </w:rPr>
      </w:pPr>
      <w:r>
        <w:rPr>
          <w:rFonts w:hint="eastAsia" w:ascii="宋体" w:hAnsi="宋体" w:eastAsia="宋体" w:cs="宋体"/>
          <w:spacing w:val="0"/>
          <w:kern w:val="21"/>
          <w:position w:val="0"/>
          <w:sz w:val="28"/>
          <w:szCs w:val="28"/>
          <w:highlight w:val="none"/>
        </w:rPr>
        <w:t>投标人具有独立承担民事责任的能力的法人或其他组织，投标时提交有效的营业执照（或事业法人登记证等相关证明）副本扫描件。分支机构投标的，须提供总公司和分公司营业执照副本扫描件，总公司出具给分支机构的授权书；</w:t>
      </w:r>
    </w:p>
    <w:p w14:paraId="2DC8F8D9">
      <w:pPr>
        <w:keepNext w:val="0"/>
        <w:keepLines w:val="0"/>
        <w:pageBreakBefore w:val="0"/>
        <w:widowControl w:val="0"/>
        <w:numPr>
          <w:ilvl w:val="0"/>
          <w:numId w:val="4"/>
        </w:numPr>
        <w:tabs>
          <w:tab w:val="left" w:pos="709"/>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pacing w:val="0"/>
          <w:kern w:val="21"/>
          <w:position w:val="0"/>
          <w:sz w:val="28"/>
          <w:szCs w:val="28"/>
          <w:highlight w:val="none"/>
        </w:rPr>
      </w:pPr>
      <w:r>
        <w:rPr>
          <w:rFonts w:hint="eastAsia" w:ascii="宋体" w:hAnsi="宋体" w:eastAsia="宋体" w:cs="宋体"/>
          <w:spacing w:val="0"/>
          <w:kern w:val="21"/>
          <w:position w:val="0"/>
          <w:sz w:val="28"/>
          <w:szCs w:val="28"/>
          <w:highlight w:val="none"/>
          <w:lang w:val="en-US" w:eastAsia="zh-CN"/>
        </w:rPr>
        <w:t>投标人</w:t>
      </w:r>
      <w:r>
        <w:rPr>
          <w:rFonts w:hint="eastAsia" w:ascii="宋体" w:hAnsi="宋体" w:eastAsia="宋体" w:cs="宋体"/>
          <w:spacing w:val="0"/>
          <w:kern w:val="21"/>
          <w:position w:val="0"/>
          <w:sz w:val="28"/>
          <w:szCs w:val="28"/>
          <w:highlight w:val="none"/>
        </w:rPr>
        <w:t>具有良好的商业信誉和健全的财务会计制度</w:t>
      </w:r>
      <w:r>
        <w:rPr>
          <w:rFonts w:hint="eastAsia" w:ascii="宋体" w:hAnsi="宋体" w:eastAsia="宋体" w:cs="宋体"/>
          <w:spacing w:val="0"/>
          <w:kern w:val="21"/>
          <w:position w:val="0"/>
          <w:sz w:val="28"/>
          <w:szCs w:val="28"/>
          <w:highlight w:val="none"/>
          <w:lang w:eastAsia="zh-CN"/>
        </w:rPr>
        <w:t>；</w:t>
      </w:r>
      <w:r>
        <w:rPr>
          <w:rFonts w:hint="eastAsia" w:ascii="宋体" w:hAnsi="宋体" w:eastAsia="宋体" w:cs="宋体"/>
          <w:spacing w:val="0"/>
          <w:kern w:val="21"/>
          <w:position w:val="0"/>
          <w:sz w:val="28"/>
          <w:szCs w:val="28"/>
          <w:highlight w:val="none"/>
          <w:lang w:val="en-US" w:eastAsia="zh-CN"/>
        </w:rPr>
        <w:t>投标人</w:t>
      </w:r>
      <w:r>
        <w:rPr>
          <w:rFonts w:hint="eastAsia" w:ascii="宋体" w:hAnsi="宋体" w:eastAsia="宋体" w:cs="宋体"/>
          <w:spacing w:val="0"/>
          <w:kern w:val="21"/>
          <w:position w:val="0"/>
          <w:sz w:val="28"/>
          <w:szCs w:val="28"/>
          <w:highlight w:val="none"/>
        </w:rPr>
        <w:t>具有提供履行合同所必需的设备和专业技术能力</w:t>
      </w:r>
      <w:r>
        <w:rPr>
          <w:rFonts w:hint="eastAsia" w:ascii="宋体" w:hAnsi="宋体" w:eastAsia="宋体" w:cs="宋体"/>
          <w:spacing w:val="0"/>
          <w:kern w:val="21"/>
          <w:position w:val="0"/>
          <w:sz w:val="28"/>
          <w:szCs w:val="28"/>
          <w:highlight w:val="none"/>
          <w:lang w:eastAsia="zh-CN"/>
        </w:rPr>
        <w:t>；</w:t>
      </w:r>
      <w:r>
        <w:rPr>
          <w:rFonts w:hint="eastAsia" w:ascii="宋体" w:hAnsi="宋体" w:eastAsia="宋体" w:cs="宋体"/>
          <w:spacing w:val="0"/>
          <w:kern w:val="21"/>
          <w:position w:val="0"/>
          <w:sz w:val="28"/>
          <w:szCs w:val="28"/>
          <w:highlight w:val="none"/>
          <w:lang w:val="en-US" w:eastAsia="zh-CN"/>
        </w:rPr>
        <w:t>投标人</w:t>
      </w:r>
      <w:r>
        <w:rPr>
          <w:rFonts w:hint="eastAsia" w:ascii="宋体" w:hAnsi="宋体" w:eastAsia="宋体" w:cs="宋体"/>
          <w:spacing w:val="0"/>
          <w:kern w:val="21"/>
          <w:position w:val="0"/>
          <w:sz w:val="28"/>
          <w:szCs w:val="28"/>
          <w:highlight w:val="none"/>
        </w:rPr>
        <w:t>具有依法缴纳税收和社会保障资金的良好记录</w:t>
      </w:r>
      <w:r>
        <w:rPr>
          <w:rFonts w:hint="eastAsia" w:ascii="宋体" w:hAnsi="宋体" w:eastAsia="宋体" w:cs="宋体"/>
          <w:spacing w:val="0"/>
          <w:kern w:val="21"/>
          <w:position w:val="0"/>
          <w:sz w:val="28"/>
          <w:szCs w:val="28"/>
          <w:highlight w:val="none"/>
          <w:lang w:eastAsia="zh-CN"/>
        </w:rPr>
        <w:t>；</w:t>
      </w:r>
      <w:r>
        <w:rPr>
          <w:rFonts w:hint="eastAsia" w:ascii="宋体" w:hAnsi="宋体" w:eastAsia="宋体" w:cs="宋体"/>
          <w:spacing w:val="0"/>
          <w:kern w:val="21"/>
          <w:position w:val="0"/>
          <w:sz w:val="28"/>
          <w:szCs w:val="28"/>
          <w:highlight w:val="none"/>
          <w:lang w:val="en-US" w:eastAsia="zh-CN"/>
        </w:rPr>
        <w:t>投标人符合法律、行政法规规定的其他条件</w:t>
      </w:r>
      <w:r>
        <w:rPr>
          <w:rFonts w:hint="eastAsia" w:ascii="宋体" w:hAnsi="宋体" w:eastAsia="宋体" w:cs="宋体"/>
          <w:spacing w:val="0"/>
          <w:kern w:val="21"/>
          <w:position w:val="0"/>
          <w:sz w:val="28"/>
          <w:szCs w:val="28"/>
          <w:highlight w:val="none"/>
        </w:rPr>
        <w:t>。</w:t>
      </w:r>
    </w:p>
    <w:p w14:paraId="4F224ABB">
      <w:pPr>
        <w:keepNext w:val="0"/>
        <w:keepLines w:val="0"/>
        <w:pageBreakBefore w:val="0"/>
        <w:widowControl w:val="0"/>
        <w:numPr>
          <w:ilvl w:val="0"/>
          <w:numId w:val="4"/>
        </w:numPr>
        <w:tabs>
          <w:tab w:val="left" w:pos="709"/>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pacing w:val="0"/>
          <w:kern w:val="21"/>
          <w:position w:val="0"/>
          <w:sz w:val="28"/>
          <w:szCs w:val="28"/>
          <w:highlight w:val="none"/>
        </w:rPr>
      </w:pPr>
      <w:r>
        <w:rPr>
          <w:rFonts w:hint="eastAsia" w:ascii="宋体" w:hAnsi="宋体" w:eastAsia="宋体" w:cs="宋体"/>
          <w:spacing w:val="0"/>
          <w:kern w:val="21"/>
          <w:position w:val="0"/>
          <w:sz w:val="28"/>
          <w:szCs w:val="28"/>
          <w:highlight w:val="none"/>
        </w:rPr>
        <w:t>参加</w:t>
      </w:r>
      <w:r>
        <w:rPr>
          <w:rFonts w:hint="eastAsia" w:ascii="宋体" w:hAnsi="宋体" w:eastAsia="宋体" w:cs="宋体"/>
          <w:spacing w:val="0"/>
          <w:kern w:val="21"/>
          <w:position w:val="0"/>
          <w:sz w:val="28"/>
          <w:szCs w:val="28"/>
          <w:highlight w:val="none"/>
          <w:lang w:val="en-US" w:eastAsia="zh-CN"/>
        </w:rPr>
        <w:t>本次招标</w:t>
      </w:r>
      <w:r>
        <w:rPr>
          <w:rFonts w:hint="eastAsia" w:ascii="宋体" w:hAnsi="宋体" w:eastAsia="宋体" w:cs="宋体"/>
          <w:spacing w:val="0"/>
          <w:kern w:val="21"/>
          <w:position w:val="0"/>
          <w:sz w:val="28"/>
          <w:szCs w:val="28"/>
          <w:highlight w:val="none"/>
        </w:rPr>
        <w:t>活动前3年内，在经营活动中没有重大违法记录</w:t>
      </w:r>
      <w:r>
        <w:rPr>
          <w:rFonts w:hint="eastAsia" w:ascii="宋体" w:hAnsi="宋体" w:eastAsia="宋体" w:cs="宋体"/>
          <w:spacing w:val="0"/>
          <w:kern w:val="21"/>
          <w:position w:val="0"/>
          <w:sz w:val="28"/>
          <w:szCs w:val="28"/>
          <w:highlight w:val="none"/>
          <w:lang w:val="en-US" w:eastAsia="zh-CN"/>
        </w:rPr>
        <w:t>（提供声明函）</w:t>
      </w:r>
      <w:r>
        <w:rPr>
          <w:rFonts w:hint="eastAsia" w:ascii="宋体" w:hAnsi="宋体" w:eastAsia="宋体" w:cs="宋体"/>
          <w:spacing w:val="0"/>
          <w:kern w:val="21"/>
          <w:position w:val="0"/>
          <w:sz w:val="28"/>
          <w:szCs w:val="28"/>
          <w:highlight w:val="none"/>
        </w:rPr>
        <w:t>。</w:t>
      </w:r>
    </w:p>
    <w:p w14:paraId="2993F728">
      <w:pPr>
        <w:keepNext w:val="0"/>
        <w:keepLines w:val="0"/>
        <w:pageBreakBefore w:val="0"/>
        <w:widowControl w:val="0"/>
        <w:numPr>
          <w:ilvl w:val="0"/>
          <w:numId w:val="4"/>
        </w:numPr>
        <w:tabs>
          <w:tab w:val="left" w:pos="709"/>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pacing w:val="0"/>
          <w:kern w:val="21"/>
          <w:position w:val="0"/>
          <w:sz w:val="28"/>
          <w:szCs w:val="28"/>
          <w:highlight w:val="none"/>
        </w:rPr>
      </w:pPr>
      <w:r>
        <w:rPr>
          <w:rFonts w:hint="eastAsia" w:ascii="宋体" w:hAnsi="宋体" w:eastAsia="宋体" w:cs="宋体"/>
          <w:spacing w:val="0"/>
          <w:kern w:val="21"/>
          <w:position w:val="0"/>
          <w:sz w:val="28"/>
          <w:szCs w:val="28"/>
          <w:highlight w:val="none"/>
        </w:rPr>
        <w:t>投标人未被列入“信用中国”网站(www.creditchina.gov.cn)“记录失信被执行人或重大税收违法案件当事人名单”记录名单。（招标代理机构将于投标截止日当天在“信用中国”网站（www.creditchina.gov.cn）上查询相关信息。如查询结果未发现失信行为，视为评审时投标人符合本款要求）</w:t>
      </w:r>
    </w:p>
    <w:p w14:paraId="445BC8F1">
      <w:pPr>
        <w:keepNext w:val="0"/>
        <w:keepLines w:val="0"/>
        <w:pageBreakBefore w:val="0"/>
        <w:widowControl w:val="0"/>
        <w:numPr>
          <w:ilvl w:val="0"/>
          <w:numId w:val="4"/>
        </w:numPr>
        <w:tabs>
          <w:tab w:val="left" w:pos="709"/>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pacing w:val="0"/>
          <w:kern w:val="21"/>
          <w:position w:val="0"/>
          <w:sz w:val="28"/>
          <w:szCs w:val="28"/>
          <w:highlight w:val="none"/>
        </w:rPr>
      </w:pPr>
      <w:r>
        <w:rPr>
          <w:rFonts w:hint="eastAsia" w:ascii="宋体" w:hAnsi="宋体" w:eastAsia="宋体" w:cs="宋体"/>
          <w:spacing w:val="0"/>
          <w:kern w:val="21"/>
          <w:position w:val="0"/>
          <w:sz w:val="28"/>
          <w:szCs w:val="28"/>
          <w:highlight w:val="none"/>
        </w:rPr>
        <w:t>单位负责人为同一人或者存在直接控股、管理关系的不同投标人，不得同时参加本采购项目（或采购包）投标。为本项目提供整体设计、规范编制或者项目管理、监理、检测等服务的投标人，不得再参与本项目投标。</w:t>
      </w:r>
    </w:p>
    <w:p w14:paraId="4CFF8B3B">
      <w:pPr>
        <w:keepNext w:val="0"/>
        <w:keepLines w:val="0"/>
        <w:pageBreakBefore w:val="0"/>
        <w:widowControl w:val="0"/>
        <w:numPr>
          <w:ilvl w:val="0"/>
          <w:numId w:val="4"/>
        </w:numPr>
        <w:tabs>
          <w:tab w:val="left" w:pos="709"/>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投标人须具有有效的《食品经营许可证》，主体业态为餐饮服务经营者。投标时提供许可证复印件并加盖公章。</w:t>
      </w:r>
    </w:p>
    <w:p w14:paraId="50D5F0A7">
      <w:pPr>
        <w:pageBreakBefore w:val="0"/>
        <w:numPr>
          <w:ilvl w:val="0"/>
          <w:numId w:val="0"/>
        </w:numPr>
        <w:wordWrap/>
        <w:overflowPunct/>
        <w:topLinePunct w:val="0"/>
        <w:bidi w:val="0"/>
        <w:spacing w:line="560" w:lineRule="exact"/>
        <w:ind w:left="0" w:firstLine="640" w:firstLineChars="200"/>
        <w:rPr>
          <w:rFonts w:hint="eastAsia"/>
          <w:highlight w:val="none"/>
        </w:rPr>
      </w:pPr>
    </w:p>
    <w:p w14:paraId="3D7F5195">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rPr>
      </w:pPr>
      <w:r>
        <w:rPr>
          <w:rFonts w:hint="eastAsia"/>
          <w:highlight w:val="none"/>
          <w:lang w:val="en-US" w:eastAsia="zh-CN"/>
        </w:rPr>
        <w:t>经营方式、年限及范围</w:t>
      </w:r>
    </w:p>
    <w:p w14:paraId="316BFD00">
      <w:pPr>
        <w:pStyle w:val="4"/>
        <w:pageBreakBefore w:val="0"/>
        <w:numPr>
          <w:ilvl w:val="0"/>
          <w:numId w:val="5"/>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经营方式</w:t>
      </w:r>
    </w:p>
    <w:p w14:paraId="0FA01ED9">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中标人在招标人监管下自主经营，独立核算，自负盈亏，负责产生的水、电、燃气、垃圾清运等费用。不得转包、分包（需具有统一的采购台账，员工统一发工资）。招标人设立监管部门和专职监管人员对食堂的经营管理、安全生产、食品卫生、食品价格、伙食质量和饮食服务等方面进行监督管理，协助国家和地方相关部门的监督检查和指导。学生会学生权益部、膳食监督管理委员会等组织参与食堂监督。</w:t>
      </w:r>
    </w:p>
    <w:p w14:paraId="4A3DAC1F">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中标人必须认真执行《中华人民共和国食品安全法》《中华人民共和国安全生产法》《中华人民共和国消防法》《中华人民共和国劳动法》《中华人民共和国行政许可法》《中华人民共和国食品安全法实施条例》《餐饮服务食品安全操作规范》《食品经营许可和备案管理办法》《学校食品安全与营养健康管理规定》等法律法规。自觉遵守学校食堂管理等各项规章制度及有关通知要求，做到依法经营，守法经营。中标人承担食堂经营过程中的一切经济纠纷和法律责任。</w:t>
      </w:r>
    </w:p>
    <w:p w14:paraId="7AA20F7C">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3.中标人必须按招标文件、投标文件承诺的各项经营管理指标及双方签订的合同要求承担全部的质量、安全、效益、风险责任。</w:t>
      </w:r>
    </w:p>
    <w:p w14:paraId="7FE33A8F">
      <w:pPr>
        <w:pStyle w:val="4"/>
        <w:pageBreakBefore w:val="0"/>
        <w:numPr>
          <w:ilvl w:val="0"/>
          <w:numId w:val="5"/>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经营前期准备</w:t>
      </w:r>
    </w:p>
    <w:p w14:paraId="0A157612">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1.中标人自收到中标通知书后3天内进驻校园，到中标食堂现场精准勘查，做好建设、经营等筹备工作，如对食堂建筑内部进行重新设计和布局调整，应当在8月1日之前将细化的方案提交</w:t>
      </w:r>
      <w:r>
        <w:rPr>
          <w:rFonts w:hint="eastAsia" w:ascii="宋体" w:hAnsi="宋体" w:eastAsia="宋体" w:cs="宋体"/>
          <w:sz w:val="28"/>
          <w:szCs w:val="28"/>
          <w:highlight w:val="none"/>
          <w:lang w:val="en-US" w:eastAsia="zh-CN"/>
        </w:rPr>
        <w:t>招标人、属地市场监督管理局及相关部门，并审核通过。中标人在食堂移交经营后，立即开展相关建设，确保准时开餐。</w:t>
      </w:r>
    </w:p>
    <w:p w14:paraId="31393A27">
      <w:pPr>
        <w:pageBreakBefore w:val="0"/>
        <w:numPr>
          <w:ilvl w:val="0"/>
          <w:numId w:val="0"/>
        </w:numPr>
        <w:wordWrap/>
        <w:overflowPunct/>
        <w:topLinePunct w:val="0"/>
        <w:bidi w:val="0"/>
        <w:spacing w:line="560" w:lineRule="exact"/>
        <w:ind w:left="0" w:firstLine="562" w:firstLineChars="200"/>
        <w:rPr>
          <w:rFonts w:hint="default"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u w:val="single"/>
          <w:lang w:val="en-US" w:eastAsia="zh-CN"/>
        </w:rPr>
        <w:t>2.★</w:t>
      </w:r>
      <w:r>
        <w:rPr>
          <w:rFonts w:hint="eastAsia" w:ascii="宋体" w:hAnsi="宋体" w:eastAsia="宋体" w:cs="宋体"/>
          <w:b/>
          <w:bCs/>
          <w:kern w:val="21"/>
          <w:sz w:val="28"/>
          <w:szCs w:val="28"/>
          <w:highlight w:val="none"/>
          <w:u w:val="single"/>
          <w:lang w:val="en-US" w:eastAsia="zh-CN"/>
        </w:rPr>
        <w:t>根据《广东省市场监督管理局关于印发食品经营许可和备案实施细则的通知》（粤市监规字〔2025〕1号），“</w:t>
      </w:r>
      <w:r>
        <w:rPr>
          <w:rFonts w:hint="eastAsia" w:ascii="宋体" w:hAnsi="宋体" w:eastAsia="宋体" w:cs="宋体"/>
          <w:b/>
          <w:bCs/>
          <w:i w:val="0"/>
          <w:iCs w:val="0"/>
          <w:caps w:val="0"/>
          <w:color w:val="000000"/>
          <w:spacing w:val="0"/>
          <w:kern w:val="21"/>
          <w:sz w:val="28"/>
          <w:szCs w:val="28"/>
          <w:highlight w:val="none"/>
          <w:u w:val="single"/>
          <w:shd w:val="clear"/>
          <w:lang w:eastAsia="zh-CN"/>
        </w:rPr>
        <w:t>承包经营集中用餐单位食堂的企业，需在本省取得经营项目含有餐饮服务管理的食品经营许可。</w:t>
      </w:r>
      <w:r>
        <w:rPr>
          <w:rFonts w:hint="eastAsia" w:ascii="宋体" w:hAnsi="宋体" w:eastAsia="宋体" w:cs="宋体"/>
          <w:b/>
          <w:bCs/>
          <w:kern w:val="21"/>
          <w:sz w:val="28"/>
          <w:szCs w:val="28"/>
          <w:highlight w:val="none"/>
          <w:u w:val="single"/>
          <w:lang w:val="en-US" w:eastAsia="zh-CN"/>
        </w:rPr>
        <w:t>”中标人如未在本省取得</w:t>
      </w:r>
      <w:r>
        <w:rPr>
          <w:rFonts w:hint="eastAsia" w:ascii="宋体" w:hAnsi="宋体" w:eastAsia="宋体" w:cs="宋体"/>
          <w:b/>
          <w:bCs/>
          <w:i w:val="0"/>
          <w:iCs w:val="0"/>
          <w:caps w:val="0"/>
          <w:color w:val="000000"/>
          <w:spacing w:val="0"/>
          <w:kern w:val="21"/>
          <w:sz w:val="28"/>
          <w:szCs w:val="28"/>
          <w:highlight w:val="none"/>
          <w:u w:val="single"/>
          <w:shd w:val="clear"/>
          <w:lang w:eastAsia="zh-CN"/>
        </w:rPr>
        <w:t>经营项目含有餐饮服务管理的食品经营许可，</w:t>
      </w:r>
      <w:r>
        <w:rPr>
          <w:rFonts w:hint="eastAsia" w:ascii="宋体" w:hAnsi="宋体" w:eastAsia="宋体" w:cs="宋体"/>
          <w:b/>
          <w:bCs/>
          <w:i w:val="0"/>
          <w:iCs w:val="0"/>
          <w:caps w:val="0"/>
          <w:color w:val="000000"/>
          <w:spacing w:val="0"/>
          <w:kern w:val="21"/>
          <w:sz w:val="28"/>
          <w:szCs w:val="28"/>
          <w:highlight w:val="none"/>
          <w:u w:val="single"/>
          <w:shd w:val="clear"/>
          <w:lang w:val="en-US" w:eastAsia="zh-CN"/>
        </w:rPr>
        <w:t>应当在食堂开餐前办理并取得本省食品经营许可。</w:t>
      </w:r>
    </w:p>
    <w:p w14:paraId="643A2B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u w:val="single"/>
          <w:lang w:val="en-US" w:eastAsia="zh-CN"/>
        </w:rPr>
        <w:t>★3.开餐要求：食堂在新学期开学前至少一周（具体开学时间根据学校安排）前完成维护、调试、获取食品经营许可证、提供有资质的第三方检测机构出具的就餐大厅室内空气检测合格报告，通过招标人验收并点火试营业，且于教职工上班前一天试营业供餐、学生开学前一天正式开膳。（投标时需提供盖章承诺函，格式自拟）</w:t>
      </w:r>
    </w:p>
    <w:p w14:paraId="093E1026">
      <w:pPr>
        <w:pStyle w:val="4"/>
        <w:pageBreakBefore w:val="0"/>
        <w:numPr>
          <w:ilvl w:val="0"/>
          <w:numId w:val="5"/>
        </w:numPr>
        <w:wordWrap/>
        <w:overflowPunct/>
        <w:topLinePunct w:val="0"/>
        <w:bidi w:val="0"/>
        <w:spacing w:line="560" w:lineRule="exact"/>
        <w:ind w:left="0" w:leftChars="0" w:firstLine="562" w:firstLineChars="200"/>
        <w:rPr>
          <w:rFonts w:hint="default"/>
          <w:highlight w:val="none"/>
          <w:lang w:val="en-US" w:eastAsia="zh-CN"/>
        </w:rPr>
      </w:pPr>
      <w:r>
        <w:rPr>
          <w:rFonts w:hint="eastAsia"/>
          <w:highlight w:val="none"/>
          <w:lang w:val="en-US" w:eastAsia="zh-CN"/>
        </w:rPr>
        <w:t>经营范围</w:t>
      </w:r>
    </w:p>
    <w:p w14:paraId="530DA9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1.经营范围包括：热食类食品制售；烧卤熟肉冷食类食品（不含凉拌菜）制售；糕点类食品（不含裱花蛋糕）制售，具体</w:t>
      </w:r>
      <w:r>
        <w:rPr>
          <w:rFonts w:hint="eastAsia" w:ascii="宋体" w:hAnsi="宋体" w:eastAsia="宋体" w:cs="宋体"/>
          <w:sz w:val="28"/>
          <w:szCs w:val="28"/>
          <w:highlight w:val="none"/>
        </w:rPr>
        <w:t>按照《食品经营许可证》经营项目执行</w:t>
      </w:r>
      <w:r>
        <w:rPr>
          <w:rFonts w:hint="eastAsia" w:ascii="宋体" w:hAnsi="宋体" w:eastAsia="宋体" w:cs="宋体"/>
          <w:sz w:val="28"/>
          <w:szCs w:val="28"/>
          <w:highlight w:val="none"/>
          <w:lang w:val="en-US" w:eastAsia="zh-CN"/>
        </w:rPr>
        <w:t>。限于为所在校区人员提供餐饮服务，包括一日三餐膳食及宵夜的餐饮服务、接待用餐及招标人食堂监管部门要求的其他用餐安排等。因校园有大型活动、会议等需打包送餐服务的，必须能提供送餐服务，合作期间，中标人需配合招标人做好会议送餐、校园内延伸供餐配餐等工作。</w:t>
      </w:r>
    </w:p>
    <w:p w14:paraId="23482FD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val="0"/>
          <w:kern w:val="21"/>
          <w:sz w:val="28"/>
          <w:szCs w:val="28"/>
          <w:highlight w:val="none"/>
          <w:lang w:val="en-US" w:eastAsia="zh-CN"/>
        </w:rPr>
      </w:pPr>
      <w:r>
        <w:rPr>
          <w:rFonts w:hint="eastAsia" w:ascii="宋体" w:hAnsi="宋体" w:eastAsia="宋体" w:cs="宋体"/>
          <w:b w:val="0"/>
          <w:bCs w:val="0"/>
          <w:kern w:val="21"/>
          <w:sz w:val="28"/>
          <w:szCs w:val="28"/>
          <w:highlight w:val="none"/>
          <w:lang w:val="en-US" w:eastAsia="zh-CN"/>
        </w:rPr>
        <w:t>2.经营场地严格限制在项目工作场所内，中标人不得超场地范围经营，不得占用公共场地（包括公共通道）。未经招标人批准，不得在食堂大厅内设置档口制售食品，不得将产品拿到食堂门口、各宿舍门口或通道路口等公共场所区域摆卖。</w:t>
      </w:r>
    </w:p>
    <w:p w14:paraId="10A139C5">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rPr>
      </w:pPr>
      <w:r>
        <w:rPr>
          <w:rFonts w:hint="eastAsia"/>
          <w:highlight w:val="none"/>
          <w:lang w:val="en-US" w:eastAsia="zh-CN"/>
        </w:rPr>
        <w:t>食堂优化升级</w:t>
      </w:r>
      <w:r>
        <w:rPr>
          <w:rFonts w:hint="eastAsia"/>
          <w:highlight w:val="none"/>
        </w:rPr>
        <w:t>要求</w:t>
      </w:r>
    </w:p>
    <w:p w14:paraId="339A6DAB">
      <w:pPr>
        <w:pStyle w:val="4"/>
        <w:pageBreakBefore w:val="0"/>
        <w:numPr>
          <w:ilvl w:val="0"/>
          <w:numId w:val="6"/>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优化升级目标</w:t>
      </w:r>
    </w:p>
    <w:p w14:paraId="4CDBA6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文化浸润与育人融合：紧扣学校“厚德、励学、笃行、拓新”的校训精神，深度融入商科特色校园文化（如财经素养培育、创新创业氛围营造）与岭南地域文化元素，将食堂打造为校园文化传播的重要载体。装饰设计需体现“学术+生活”的双重属性，可通过财经历史典故、校友风采展示、岭南饮食文化科普等形式，营造兼具人文气息与青春活力的就餐氛围，实现“以食育人”的校园建设目标。其规划须超越基本餐饮功能，通过设置文化墙、书架、交流休闲区及多样化的餐桌，营造集美食、社交、学习与休闲于一体的环境。同时，食堂还应承担科普教育职能，设立专区向学生宣传食品安全与健康知识。</w:t>
      </w:r>
    </w:p>
    <w:p w14:paraId="607865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需求适配与服务升级：立足全校师生（含不同年级、不同专业、不同就餐习惯的学生及教职工）的核心需求，结合学校教学科研节奏与校园活动安排，提供多元化餐饮服务。重点满足早间便捷就餐、午间高效供餐、晚间灵活就餐需求，兼顾学生备考、社团活动等场景的延时服务；设置多样化餐品体系，涵盖岭南特色菜、大众家常菜、健康轻食等，适配不同口味偏好与营养需求，同时提供定制化团餐、节日特供等增值服务。</w:t>
      </w:r>
    </w:p>
    <w:p w14:paraId="5B05DA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规范运营与安全底线：严格遵守《食品安全法》《餐饮服务食品安全操作规范》及学校后勤管理、食堂承包管理等相关制度，以“标准化、精细化、规范化”为运营准则。后厨布局严格执行“人流、物流物理隔离”要求，实现食材采购、储存、加工、烹饪、备餐、清洗消毒全流程分区管控，明确功能分区边界与操作流程；建立健全食品安全追溯体系、从业人员健康管理制度、应急处置机制，定期开展食品安全培训与自查自纠，筑牢食品安全防线。</w:t>
      </w:r>
    </w:p>
    <w:p w14:paraId="2065757D">
      <w:pPr>
        <w:pStyle w:val="4"/>
        <w:pageBreakBefore w:val="0"/>
        <w:numPr>
          <w:ilvl w:val="0"/>
          <w:numId w:val="6"/>
        </w:numPr>
        <w:wordWrap/>
        <w:overflowPunct/>
        <w:topLinePunct w:val="0"/>
        <w:bidi w:val="0"/>
        <w:spacing w:line="560" w:lineRule="exact"/>
        <w:ind w:left="0" w:leftChars="0" w:firstLine="562" w:firstLineChars="200"/>
        <w:rPr>
          <w:rFonts w:hint="default"/>
          <w:highlight w:val="none"/>
          <w:lang w:val="en-US" w:eastAsia="zh-CN"/>
        </w:rPr>
      </w:pPr>
      <w:r>
        <w:rPr>
          <w:rFonts w:hint="eastAsia"/>
          <w:highlight w:val="none"/>
          <w:lang w:val="en-US" w:eastAsia="zh-CN"/>
        </w:rPr>
        <w:t>总体要求</w:t>
      </w:r>
    </w:p>
    <w:p w14:paraId="0D0B9A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目前食堂整体经营情况符合国家食品安全要求和规范操作流程，投标人对招标人食堂和招标人购置的食堂设备、给排水设施、电力照明设施设备、冷气通风设备、“明厨亮灶”等所有设备具有无偿使用权。中标人应按照《餐饮服务食品安全操作规范》，对基础设施设备进行补充和完善，并负责经营期间食堂所需普通设备与餐厨具的添置，如餐桌、座椅、厨房设备、餐具、一卡通收费终端（师生使用一卡通机器支付就餐）等。在食堂投入使用后一年内，应达到“6T”实务管理达标验收标准，符合广东省餐饮服务食品安全量化“A”级标准要求。</w:t>
      </w:r>
    </w:p>
    <w:p w14:paraId="500E79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投标人可从使用年限、效能、安全性能、装修配套一体化以及实际需求等因素综合考虑对食堂进行优化提升，要求如下：</w:t>
      </w:r>
    </w:p>
    <w:p w14:paraId="26D8B3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投标人须在实地勘察基础上，充分结合校区及所投食堂的建筑结构、设施设备现状与使用需求，在投标时提交一份详细、可行、完整的《食堂建设优化升级方案》。该方案将作为中标后合同的重要组成部分，是项目实施及履约的实质性依据。方案应至少包含以下内容：</w:t>
      </w:r>
    </w:p>
    <w:p w14:paraId="61A55E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(1)现状分析与优化目标：对食堂现状的评估及本次升级的具体目标。</w:t>
      </w:r>
    </w:p>
    <w:p w14:paraId="66300A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(2)详细建设内容：包括但不限于平面布局优化设计图、效果图、施工明细表、工程量清单及材料说明、配套图纸等。</w:t>
      </w:r>
    </w:p>
    <w:p w14:paraId="06E101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包组一学一食堂改造项目</w:t>
      </w:r>
      <w:r>
        <w:rPr>
          <w:rFonts w:hint="eastAsia" w:ascii="宋体" w:hAnsi="宋体" w:eastAsia="宋体" w:cs="宋体"/>
          <w:color w:val="000000"/>
          <w:kern w:val="0"/>
          <w:sz w:val="28"/>
          <w:szCs w:val="28"/>
          <w:highlight w:val="none"/>
          <w:lang w:eastAsia="zh-CN"/>
        </w:rPr>
        <w:t>（包含但不限于）</w:t>
      </w:r>
      <w:r>
        <w:rPr>
          <w:rFonts w:hint="eastAsia" w:ascii="宋体" w:hAnsi="宋体" w:eastAsia="宋体" w:cs="宋体"/>
          <w:sz w:val="28"/>
          <w:szCs w:val="28"/>
          <w:highlight w:val="none"/>
          <w:lang w:val="en-US" w:eastAsia="zh-CN"/>
        </w:rPr>
        <w:t>：</w:t>
      </w:r>
    </w:p>
    <w:p w14:paraId="1B1683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eastAsia="zh-CN"/>
        </w:rPr>
        <w:t>就餐区部分：</w:t>
      </w:r>
      <w:r>
        <w:rPr>
          <w:rFonts w:hint="eastAsia" w:ascii="宋体" w:hAnsi="宋体" w:eastAsia="宋体" w:cs="宋体"/>
          <w:sz w:val="28"/>
          <w:szCs w:val="28"/>
          <w:highlight w:val="none"/>
          <w:lang w:val="en-US" w:eastAsia="zh-CN"/>
        </w:rPr>
        <w:t>拆除大厅原有新增档口，大厅内不再设置摊位档口；</w:t>
      </w:r>
      <w:r>
        <w:rPr>
          <w:rFonts w:hint="eastAsia" w:ascii="宋体" w:hAnsi="宋体" w:eastAsia="宋体" w:cs="宋体"/>
          <w:color w:val="000000"/>
          <w:kern w:val="0"/>
          <w:sz w:val="28"/>
          <w:szCs w:val="28"/>
          <w:highlight w:val="none"/>
          <w:lang w:eastAsia="zh-CN"/>
        </w:rPr>
        <w:t>升级改造风扇、空调系统、照明系统等设施设备。</w:t>
      </w:r>
    </w:p>
    <w:p w14:paraId="471815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eastAsia="zh-CN"/>
        </w:rPr>
        <w:t>内厨部分：</w:t>
      </w:r>
      <w:r>
        <w:rPr>
          <w:rFonts w:hint="eastAsia" w:ascii="宋体" w:hAnsi="宋体" w:eastAsia="宋体" w:cs="宋体"/>
          <w:color w:val="000000"/>
          <w:kern w:val="0"/>
          <w:sz w:val="28"/>
          <w:szCs w:val="28"/>
          <w:highlight w:val="none"/>
          <w:lang w:val="en-US" w:eastAsia="zh-CN"/>
        </w:rPr>
        <w:t>后厨及洗消间地面、天花修缮及维护。</w:t>
      </w:r>
      <w:r>
        <w:rPr>
          <w:rFonts w:hint="eastAsia" w:ascii="宋体" w:hAnsi="宋体" w:eastAsia="宋体" w:cs="宋体"/>
          <w:color w:val="000000"/>
          <w:kern w:val="0"/>
          <w:sz w:val="28"/>
          <w:szCs w:val="28"/>
          <w:highlight w:val="none"/>
          <w:lang w:eastAsia="zh-CN"/>
        </w:rPr>
        <w:t>深化改造通风、抽风系统，排油烟管道、燃气管道重新规划管线走向，更新更换。按消防要求加装自动灭火系统。</w:t>
      </w:r>
    </w:p>
    <w:p w14:paraId="4DE46A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售卖区部分：封闭或改造处理地面明沟，保障地面平整卫生。</w:t>
      </w:r>
    </w:p>
    <w:p w14:paraId="14B411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其他部分区域：库房、储物间等按要求配备空调等设备，保障通风。室内墙面（尤其是顶部区域）铲除、找平并重新刷漆翻新。</w:t>
      </w:r>
    </w:p>
    <w:p w14:paraId="3761FD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eastAsia="zh-CN"/>
        </w:rPr>
        <w:t>食堂周围环境优化升级：外墙、地面、墙面、天花、栏杆的修缮及维护，铺设地砖、安装灯具；对外围洗水池进行翻新改造；</w:t>
      </w:r>
      <w:r>
        <w:rPr>
          <w:rFonts w:hint="eastAsia" w:ascii="宋体" w:hAnsi="宋体" w:eastAsia="宋体" w:cs="宋体"/>
          <w:sz w:val="28"/>
          <w:szCs w:val="28"/>
          <w:highlight w:val="none"/>
          <w:lang w:val="en-US" w:eastAsia="zh-CN"/>
        </w:rPr>
        <w:t>重新铺设收货区排水管道，</w:t>
      </w:r>
      <w:r>
        <w:rPr>
          <w:rFonts w:hint="eastAsia" w:ascii="宋体" w:hAnsi="宋体" w:eastAsia="宋体" w:cs="宋体"/>
          <w:color w:val="000000"/>
          <w:kern w:val="0"/>
          <w:sz w:val="28"/>
          <w:szCs w:val="28"/>
          <w:highlight w:val="none"/>
          <w:lang w:eastAsia="zh-CN"/>
        </w:rPr>
        <w:t>食堂门前三包范围内地面、排水沟、绿化优化提升。</w:t>
      </w:r>
    </w:p>
    <w:p w14:paraId="602D3D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val="en-US" w:eastAsia="zh-CN"/>
        </w:rPr>
        <w:t>其他要求：</w:t>
      </w:r>
      <w:r>
        <w:rPr>
          <w:rFonts w:hint="eastAsia" w:ascii="宋体" w:hAnsi="宋体" w:eastAsia="宋体" w:cs="宋体"/>
          <w:color w:val="000000"/>
          <w:kern w:val="0"/>
          <w:sz w:val="28"/>
          <w:szCs w:val="28"/>
          <w:highlight w:val="none"/>
          <w:lang w:eastAsia="zh-CN"/>
        </w:rPr>
        <w:t>按消防要求</w:t>
      </w:r>
      <w:r>
        <w:rPr>
          <w:rFonts w:hint="eastAsia" w:ascii="宋体" w:hAnsi="宋体" w:eastAsia="宋体" w:cs="宋体"/>
          <w:color w:val="000000"/>
          <w:kern w:val="0"/>
          <w:sz w:val="28"/>
          <w:szCs w:val="28"/>
          <w:highlight w:val="none"/>
          <w:lang w:val="en-US" w:eastAsia="zh-CN"/>
        </w:rPr>
        <w:t>增设或</w:t>
      </w:r>
      <w:r>
        <w:rPr>
          <w:rFonts w:hint="eastAsia" w:ascii="宋体" w:hAnsi="宋体" w:eastAsia="宋体" w:cs="宋体"/>
          <w:color w:val="000000"/>
          <w:kern w:val="0"/>
          <w:sz w:val="28"/>
          <w:szCs w:val="28"/>
          <w:highlight w:val="none"/>
          <w:lang w:eastAsia="zh-CN"/>
        </w:rPr>
        <w:t>完善消防设施及其他相关配套设施设备。</w:t>
      </w:r>
    </w:p>
    <w:p w14:paraId="33BB0B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eastAsia="zh-CN"/>
        </w:rPr>
        <w:t>以上实施方案须经招标人同意后执行。</w:t>
      </w:r>
    </w:p>
    <w:p w14:paraId="468581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包组二学二食堂改造项目</w:t>
      </w:r>
      <w:r>
        <w:rPr>
          <w:rFonts w:hint="eastAsia" w:ascii="宋体" w:hAnsi="宋体" w:eastAsia="宋体" w:cs="宋体"/>
          <w:color w:val="000000"/>
          <w:kern w:val="0"/>
          <w:sz w:val="28"/>
          <w:szCs w:val="28"/>
          <w:highlight w:val="none"/>
          <w:lang w:eastAsia="zh-CN"/>
        </w:rPr>
        <w:t>（包含但不限于）</w:t>
      </w:r>
      <w:r>
        <w:rPr>
          <w:rFonts w:hint="eastAsia" w:ascii="宋体" w:hAnsi="宋体" w:eastAsia="宋体" w:cs="宋体"/>
          <w:sz w:val="28"/>
          <w:szCs w:val="28"/>
          <w:highlight w:val="none"/>
          <w:lang w:val="en-US" w:eastAsia="zh-CN"/>
        </w:rPr>
        <w:t>：</w:t>
      </w:r>
    </w:p>
    <w:p w14:paraId="39CAA0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eastAsia="zh-CN"/>
        </w:rPr>
        <w:t>就餐区部分：升级改造风扇、空调系统、照明系统等设施设备。</w:t>
      </w:r>
    </w:p>
    <w:p w14:paraId="7FE470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eastAsia="zh-CN"/>
        </w:rPr>
        <w:t>内厨部分：</w:t>
      </w:r>
      <w:r>
        <w:rPr>
          <w:rFonts w:hint="eastAsia" w:ascii="宋体" w:hAnsi="宋体" w:eastAsia="宋体" w:cs="宋体"/>
          <w:color w:val="000000"/>
          <w:kern w:val="0"/>
          <w:sz w:val="28"/>
          <w:szCs w:val="28"/>
          <w:highlight w:val="none"/>
          <w:lang w:val="en-US" w:eastAsia="zh-CN"/>
        </w:rPr>
        <w:t>后厨及洗消间地面、天花修缮及维护。</w:t>
      </w:r>
      <w:r>
        <w:rPr>
          <w:rFonts w:hint="eastAsia" w:ascii="宋体" w:hAnsi="宋体" w:eastAsia="宋体" w:cs="宋体"/>
          <w:color w:val="000000"/>
          <w:kern w:val="0"/>
          <w:sz w:val="28"/>
          <w:szCs w:val="28"/>
          <w:highlight w:val="none"/>
          <w:lang w:eastAsia="zh-CN"/>
        </w:rPr>
        <w:t>深化改造通风、抽风系统，排油烟管道、燃气管道更新更换。</w:t>
      </w:r>
    </w:p>
    <w:p w14:paraId="12B4D3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eastAsia="zh-CN"/>
        </w:rPr>
        <w:t>食堂周围环境优化升级：外墙、地面、墙面、天花、栏杆的修缮及维护，铺设地砖、安装灯具；对外围洗水池</w:t>
      </w:r>
      <w:r>
        <w:rPr>
          <w:rFonts w:hint="eastAsia" w:ascii="宋体" w:hAnsi="宋体" w:eastAsia="宋体" w:cs="宋体"/>
          <w:sz w:val="28"/>
          <w:szCs w:val="28"/>
          <w:highlight w:val="none"/>
          <w:lang w:val="en-US" w:eastAsia="zh-CN"/>
        </w:rPr>
        <w:t>（含地面）</w:t>
      </w:r>
      <w:r>
        <w:rPr>
          <w:rFonts w:hint="eastAsia" w:ascii="宋体" w:hAnsi="宋体" w:eastAsia="宋体" w:cs="宋体"/>
          <w:color w:val="000000"/>
          <w:kern w:val="0"/>
          <w:sz w:val="28"/>
          <w:szCs w:val="28"/>
          <w:highlight w:val="none"/>
          <w:lang w:eastAsia="zh-CN"/>
        </w:rPr>
        <w:t>进行翻新改造；</w:t>
      </w:r>
      <w:r>
        <w:rPr>
          <w:rFonts w:hint="eastAsia" w:ascii="宋体" w:hAnsi="宋体" w:eastAsia="宋体" w:cs="宋体"/>
          <w:sz w:val="28"/>
          <w:szCs w:val="28"/>
          <w:highlight w:val="none"/>
          <w:lang w:val="en-US" w:eastAsia="zh-CN"/>
        </w:rPr>
        <w:t>改造排污管道及隔油排污池，修复外围花基；拆除一楼外围小卖部并恢复通行通道；</w:t>
      </w:r>
      <w:r>
        <w:rPr>
          <w:rFonts w:hint="eastAsia" w:ascii="宋体" w:hAnsi="宋体" w:eastAsia="宋体" w:cs="宋体"/>
          <w:color w:val="000000"/>
          <w:kern w:val="0"/>
          <w:sz w:val="28"/>
          <w:szCs w:val="28"/>
          <w:highlight w:val="none"/>
          <w:lang w:eastAsia="zh-CN"/>
        </w:rPr>
        <w:t>食堂门前三包范围内地面、排水沟、绿化优化提升。</w:t>
      </w:r>
    </w:p>
    <w:p w14:paraId="07E741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val="en-US" w:eastAsia="zh-CN"/>
        </w:rPr>
        <w:t>其他要求：</w:t>
      </w:r>
      <w:r>
        <w:rPr>
          <w:rFonts w:hint="eastAsia" w:ascii="宋体" w:hAnsi="宋体" w:eastAsia="宋体" w:cs="宋体"/>
          <w:color w:val="000000"/>
          <w:kern w:val="0"/>
          <w:sz w:val="28"/>
          <w:szCs w:val="28"/>
          <w:highlight w:val="none"/>
          <w:lang w:eastAsia="zh-CN"/>
        </w:rPr>
        <w:t>按消防要求增设消防系统，完善消防设施及其他相关配套设施设备。</w:t>
      </w:r>
    </w:p>
    <w:p w14:paraId="4C4A19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lang w:eastAsia="zh-CN"/>
        </w:rPr>
        <w:t>以上实施方案须经招标人同意后执行。</w:t>
      </w:r>
    </w:p>
    <w:p w14:paraId="2582DC5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(3)设备清单：厨房设施设备必须采用环保节能设备及不锈钢器材；优先采用有融合智能及自动化一体的设备。清单应明确设备名称、品牌、型号、规格参数、数量。</w:t>
      </w:r>
    </w:p>
    <w:p w14:paraId="1F91F5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(4)项目实施与保障：包括大致的施工组织计划、质量保障措施等。</w:t>
      </w:r>
    </w:p>
    <w:p w14:paraId="5CED6A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标人对食堂主要设备设施布局、操作流程、功能流程进行优化前，须经招标人食堂监管部门确认，并提交《食堂厨房平面布局图》等相关资料到属地市场监督管理部门审查。中标人不得擅自修改，如因客观原因确需变更，须提前向招标人食堂监管部门提交书面申请，经审核批准后方可实施。</w:t>
      </w:r>
    </w:p>
    <w:p w14:paraId="727399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在项目实施过程中，招标人食堂监管部门有权根据实际情况，提出合理范围内的修改调整要求，中标人应予以积极配合。</w:t>
      </w:r>
    </w:p>
    <w:p w14:paraId="4CD9BF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★2.投标人如对食堂建筑进行升级改造应做到：</w:t>
      </w:r>
    </w:p>
    <w:p w14:paraId="248B47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中标人的升级改造方案必须满足市场监管、环保和消防要求，不得改变原房屋主体结构或影响主体结构安全，并经过招标人、属地市场监督管理局及相关部门的审核通过方可实施（以上资料须及时交招标人保存备案）。</w:t>
      </w:r>
    </w:p>
    <w:p w14:paraId="070ED0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（2）中标人食堂环境提升须聘请有资质的设计单位、施工单位进行设计施工，聘请招标人认可的监理单位进行工程监理服务。费用由中标人负责。</w:t>
      </w:r>
    </w:p>
    <w:p w14:paraId="372A64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（3）项目建设完成后，通过招标人食堂监管部门验收。</w:t>
      </w:r>
    </w:p>
    <w:p w14:paraId="0D742B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所有优化提升装修改造投入的设施设备，合同到期（终止）后，入墙部分归招标人所有，不入墙的可移动部分归中标人所有，合同到期时中标人可自行处置可移动部分设施设备，招标人不负责任何资产折旧。（投标人投标时须提供承诺函，格式自拟。）</w:t>
      </w:r>
    </w:p>
    <w:p w14:paraId="02C1E2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4.</w:t>
      </w:r>
      <w:r>
        <w:rPr>
          <w:rFonts w:hint="eastAsia" w:ascii="宋体" w:hAnsi="宋体" w:eastAsia="宋体" w:cs="宋体"/>
          <w:sz w:val="28"/>
          <w:szCs w:val="28"/>
          <w:highlight w:val="none"/>
          <w:lang w:val="en-US" w:eastAsia="zh-CN"/>
        </w:rPr>
        <w:t>中标人在经营区域内应按规定配置必要的消防器材，并负责安装、维护和保养，并确保其完好有效。消防器材包括灭火器、灭火器箱、应急灯、安全出口指示灯、疏散指示标志、消防水系统（含消防栓箱和箱内的水枪、水带、阀门、接扣等）等。</w:t>
      </w:r>
    </w:p>
    <w:p w14:paraId="504ACA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食堂具备运行正常的燃气管道，中标人应按照燃气管理部门规定配置具有熄火保护装置的炉具，规范使用燃气设备。食堂生产加工区域应安装消防设备并受火灾自动报警系统联动控制；按规定为燃气具安装熄火保护装置；各类加工间的工作台边或设备边之间的净距离应符合防火疏散宽度的要求。</w:t>
      </w:r>
    </w:p>
    <w:p w14:paraId="040C60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6.食堂优化建设不得私自乱接电源线，不得改变原有建筑的雨水、污水的室外排放，不得出现雨污混排等现象，否则按政府部门相关要求改造的全部费用由中标人支付。</w:t>
      </w:r>
    </w:p>
    <w:p w14:paraId="58A70938">
      <w:pPr>
        <w:pStyle w:val="4"/>
        <w:pageBreakBefore w:val="0"/>
        <w:numPr>
          <w:ilvl w:val="0"/>
          <w:numId w:val="6"/>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智慧食堂建设要求</w:t>
      </w:r>
    </w:p>
    <w:p w14:paraId="6F8EC2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中标人应积极参与智慧健康食堂建设，智慧食堂建设标准应符合《广东省学校食堂智慧监管系统建设参考指南》（见附件）要求。招标人对管理系统应有管理员权限。如招标人在合同期内建设智慧食堂管理系统，中标人应主动接入招标人系统，并承担接入费用。（投标人提供承诺函，格式自拟）</w:t>
      </w:r>
    </w:p>
    <w:p w14:paraId="03CEAC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中标人应投入必要的智能化设备、智能平台，包括但不限于智慧食堂管理系统、智能验收、智能溯源、智慧晨检仪器、智能留样机等，后厨应采用智能门禁管控。招标人有权对中标人使用的智慧食堂系统提出功能需求，中标人应积极配合并落实。（投标人投标时须提供承诺函，格式自拟）</w:t>
      </w:r>
    </w:p>
    <w:p w14:paraId="2A0C4BAC">
      <w:pPr>
        <w:pStyle w:val="4"/>
        <w:pageBreakBefore w:val="0"/>
        <w:numPr>
          <w:ilvl w:val="0"/>
          <w:numId w:val="6"/>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视频监控系统优化要求</w:t>
      </w:r>
    </w:p>
    <w:p w14:paraId="60C984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现食堂已安装“明厨亮灶”系统，投标人根据实际情况对系统进行升级优化，达到以下要求：</w:t>
      </w:r>
    </w:p>
    <w:p w14:paraId="49710E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中标人应根据《广东省市场监督管理局关于“明厨亮灶”建设规范的指引》，在食堂安装视频监控，满足招标人、政府监管平台互联网式“明厨亮灶”建设要求及监控系统联网的终端需要。并接受招标人根据《学校食堂“互联网+明厨亮灶”智慧系统巡查管理规定》（粤市监规字〔2023〕7号）对食堂后厨的监管。</w:t>
      </w:r>
    </w:p>
    <w:p w14:paraId="67FF32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互联网式“明厨亮灶”由网络连接设备、视频监控摄像设备、智能分析后台（含AI抓拍系统）、视频展示平台、视频储存设备（含云储存）等五部分组成，建设的明厨亮灶系统应能实现食堂后厨加工区域全覆盖，并接入到市场监督管理局学校食堂“互联网+明厨亮灶”平台，由此产生的并网服务费由中标人承担。</w:t>
      </w:r>
    </w:p>
    <w:p w14:paraId="1C5B1E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3.网络连接设备采取互联网方式上传数据，上行带宽：不低于10Mbps，下行带宽：不低于2Mbps，具备条件的可优先采用VPN专线。</w:t>
      </w:r>
    </w:p>
    <w:p w14:paraId="418F25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4.视频监控摄像设备要求参照视频监控“明厨亮灶”建设规范要求，利用液晶电视或投影仪或扫码线上查看的方式向消费者展示食品加工制作关键过程。</w:t>
      </w:r>
    </w:p>
    <w:p w14:paraId="25FF49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视频展示平台应实时向消费者展示餐饮加工制作过程，保障远程查看的在线率。就餐场所大厅配备高清、液晶电视两台以上（含两台）或投影仪一台以上。就餐时段，集体食堂展示设备可播放实时监控图像或回放当日食品加工操作录像。</w:t>
      </w:r>
    </w:p>
    <w:p w14:paraId="15206F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6.视频储存设备（含云储存）应支持存储监控摄像设备采集所得的原始视频或图像数据进行存储，视频信息保存不得少于90天。</w:t>
      </w:r>
    </w:p>
    <w:p w14:paraId="37F203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7.食堂内监控设备应全面覆盖各个区域、各个角落，不得有死角。</w:t>
      </w:r>
    </w:p>
    <w:p w14:paraId="615D5BAD">
      <w:pPr>
        <w:pStyle w:val="4"/>
        <w:pageBreakBefore w:val="0"/>
        <w:numPr>
          <w:ilvl w:val="0"/>
          <w:numId w:val="6"/>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其他优化要求</w:t>
      </w:r>
    </w:p>
    <w:p w14:paraId="5B4F78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1.中标人应自觉接受属地市场监督部门、教育主管部门以及消防部门等相关部门的监督检查。若因受检查后，提出整改意见的，中标人应按要求落实整改并承担全部费用。</w:t>
      </w:r>
    </w:p>
    <w:p w14:paraId="4E20A6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经营期间，中标人不能随意改动房屋结构和设施位置；未经招标人食堂监管部门同意，不准在食堂内另设摊档，不得占用食堂外围搞其他经营项目，不得私自增设大功率的电器和私自改动用电线路。如需调整经营布局或增加新项目事先要以书面形式向招标人提出申请，经同意后方可实施。否则损坏的设施、设备，应承担相应的维修责任并及时恢复原状，所产生的一切费用由中标人支付。</w:t>
      </w:r>
    </w:p>
    <w:p w14:paraId="3EE4DF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中标人如需在食堂内拉接网络，开设独立的网络账户，须经招标人相关部门审批同意。网络须有专人维护，确保网络使用的稳定性和安全性。相关网络系统、设备接受招标人相关部门的监管。安装费用、维护费用由中标人承担。</w:t>
      </w:r>
    </w:p>
    <w:p w14:paraId="4C7FE2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食堂内要配置净水设备，使用净水制作食品；食品加工制作用水的管道系统应引自生活饮用水主管道,与非饮用水(如冷却水、污水或废水等)的管道系统完全分离,不得有逆流或相互交接现象；加工制作用水的水质符合GB5749《生活饮用水卫生标准》规定。（须提供承诺函，格式自拟）</w:t>
      </w:r>
    </w:p>
    <w:p w14:paraId="0F26F4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5.中标人所使用的建设材料、装饰材料、桌椅、餐具、厨具等设施设备要符合国家安全、卫生等相关标准。</w:t>
      </w:r>
    </w:p>
    <w:p w14:paraId="3E68CA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6.中标人承诺按属地监管部门和招标人要求，每年投入一定的费用对食堂进行必要的优化提升。</w:t>
      </w:r>
    </w:p>
    <w:p w14:paraId="559796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7.中标人如未按招投标要求实施优化建设和经营管理的，按违约处理，招标人有权单方终止合同，且不作任何补偿。</w:t>
      </w:r>
    </w:p>
    <w:p w14:paraId="5BD4E5B7">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rPr>
      </w:pPr>
      <w:r>
        <w:rPr>
          <w:rFonts w:hint="eastAsia"/>
          <w:highlight w:val="none"/>
          <w:lang w:val="en-US" w:eastAsia="zh-CN"/>
        </w:rPr>
        <w:t>供餐服务要求</w:t>
      </w:r>
    </w:p>
    <w:p w14:paraId="22D6AD42">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投标人应充分认识</w:t>
      </w:r>
      <w:r>
        <w:rPr>
          <w:rFonts w:hint="eastAsia" w:ascii="宋体" w:hAnsi="宋体" w:eastAsia="宋体" w:cs="宋体"/>
          <w:sz w:val="28"/>
          <w:szCs w:val="28"/>
          <w:highlight w:val="none"/>
          <w:lang w:eastAsia="zh-CN"/>
        </w:rPr>
        <w:t>招标人</w:t>
      </w:r>
      <w:r>
        <w:rPr>
          <w:rFonts w:hint="eastAsia" w:ascii="宋体" w:hAnsi="宋体" w:eastAsia="宋体" w:cs="宋体"/>
          <w:sz w:val="28"/>
          <w:szCs w:val="28"/>
          <w:highlight w:val="none"/>
        </w:rPr>
        <w:t>食堂具有明显兼有公益性、微利性的特点并愿意提供相关餐饮服务。</w:t>
      </w:r>
    </w:p>
    <w:p w14:paraId="39FB1B73">
      <w:pPr>
        <w:pStyle w:val="4"/>
        <w:pageBreakBefore w:val="0"/>
        <w:numPr>
          <w:ilvl w:val="0"/>
          <w:numId w:val="7"/>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食材要求</w:t>
      </w:r>
    </w:p>
    <w:p w14:paraId="3F04F0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标人必须与生产或经营许可证件齐全的食品供货商或者食材厂家签订食材采购合同，并将合同交由招标人监管部门备案，保证食材生产安全卫生，所有食材均可溯源。中标人必须使用健康营养的食材、食用油和调味品等，大米、小麦和大豆及其衍生食品（大豆食用油）必须是非转基因的，食用盐符合国家食品安全标准。</w:t>
      </w:r>
    </w:p>
    <w:p w14:paraId="5D153C15">
      <w:pPr>
        <w:pStyle w:val="4"/>
        <w:pageBreakBefore w:val="0"/>
        <w:numPr>
          <w:ilvl w:val="0"/>
          <w:numId w:val="7"/>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伙食质量及价格</w:t>
      </w:r>
    </w:p>
    <w:p w14:paraId="136AB5F1">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保证大众餐提供价格合理、品种多样、色香味美的食品，满足师生饮食需求。原则上，早餐要供应25个品种以上，中、晚餐要供应40个品种以上，保证低、中、高档的比例3：5：2；其中≤3.0元的品种占30%，＞3.0元且≤4.5元的品种占50%，＞4.5元且≤6元的品种占20%。如因物价波动等客观原因，供应品种及价格变动，应取得招标人监管部门同意。</w:t>
      </w:r>
    </w:p>
    <w:p w14:paraId="222D88D9">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2.承包商应按照《高等学校采购人学生食堂伙食结构及成本核算指导意见》，基本大伙（保障性伙食）经营毛利率一般控制在35%或以内。</w:t>
      </w:r>
    </w:p>
    <w:p w14:paraId="2B09E4FF">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食堂售卖菜品必须明码标价。学生食堂大众餐定期更换菜单，菜谱须标注菜量及价格给招标人监管部门审核，审核同意后在大众窗口公示菜单及价格，不得擅自提价或通过减少菜品份量等方式进行变相涨价。学生食堂风味档口菜式品种价格一律报经招标人审核批准，不得擅自提价或通过减少菜品份量等方式进行变相涨价，否则，招标人有权进行强制定价。经营中，如社会当月物价上涨幅度或人工成本上涨过高时，由中标人提出涨价申请，经招标人审批同意后方可调整菜价。各种菜式要明码标价。</w:t>
      </w:r>
    </w:p>
    <w:p w14:paraId="6A5D25C5">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5.承包商应确保菜品搭配合理，营养均衡，不断开发新菜式、新品种，保证食品质量稳步提高，加强管理、降低成本、物美价廉、优质服务。</w:t>
      </w:r>
    </w:p>
    <w:p w14:paraId="780321FE">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6.承包商须在学生食堂开设兰州拉面等西北风味专窗。</w:t>
      </w:r>
    </w:p>
    <w:p w14:paraId="6D63EB0E">
      <w:pPr>
        <w:pStyle w:val="4"/>
        <w:pageBreakBefore w:val="0"/>
        <w:numPr>
          <w:ilvl w:val="0"/>
          <w:numId w:val="7"/>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营业时间及要求</w:t>
      </w:r>
    </w:p>
    <w:p w14:paraId="002E95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早餐7：00－9：00，午餐11：00－13：00，晚餐16：30－19：00，宵夜19：00－22：00。（注：寒假、暑假及重要节假日须无条件服从招标人协调安排经营时间，其他时段的饮食服务由中标人自行制定，但营业时间一般不得早于早晨6:30，不得晚于晚上23:00）。</w:t>
      </w:r>
    </w:p>
    <w:p w14:paraId="74E41089">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食堂就餐大厅非就餐时间（正常营业时间的空闲时段，寒、暑假除外）要向师生免费开放。非就餐时间师生使用就餐大厅举行活动需征得中标人同意，使用的照明、风扇、空调需征得中标人同意，并节约用电。招标人因需要在食堂开展大型活动或学生在食堂内开展社团活动，中标人不得收租场费。</w:t>
      </w:r>
    </w:p>
    <w:p w14:paraId="417E73BD">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3.中标人不得在食堂内外从事宗教活动及其他影响就餐环境及周边师生日常生活和学习的活动。</w:t>
      </w:r>
    </w:p>
    <w:p w14:paraId="7C9F7D47">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4.除不可抗力事件外，中标人不得以任何理由不及时或不充足供应膳食，否则视为违反合同。</w:t>
      </w:r>
    </w:p>
    <w:p w14:paraId="012FBE63">
      <w:pPr>
        <w:pageBreakBefore w:val="0"/>
        <w:numPr>
          <w:ilvl w:val="0"/>
          <w:numId w:val="0"/>
        </w:numPr>
        <w:wordWrap/>
        <w:overflowPunct/>
        <w:topLinePunct w:val="0"/>
        <w:bidi w:val="0"/>
        <w:spacing w:line="560" w:lineRule="exact"/>
        <w:ind w:left="0" w:firstLine="643"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b/>
          <w:bCs/>
          <w:color w:val="auto"/>
          <w:sz w:val="32"/>
          <w:szCs w:val="32"/>
          <w:highlight w:val="none"/>
          <w:lang w:val="en-US" w:eastAsia="zh-CN"/>
        </w:rPr>
        <w:t>★</w:t>
      </w:r>
      <w:r>
        <w:rPr>
          <w:rFonts w:hint="eastAsia" w:ascii="宋体" w:hAnsi="宋体" w:eastAsia="宋体" w:cs="宋体"/>
          <w:spacing w:val="0"/>
          <w:kern w:val="21"/>
          <w:position w:val="0"/>
          <w:sz w:val="28"/>
          <w:szCs w:val="28"/>
          <w:highlight w:val="none"/>
          <w:lang w:val="en-US" w:eastAsia="zh-CN"/>
        </w:rPr>
        <w:t>5.如中标人开展校内外卖配送服务，须向招标人报备相关资料，经招标人同意后方可开展，外卖配送服务仅限校内服务，且营业额须向招标人报备。</w:t>
      </w:r>
    </w:p>
    <w:p w14:paraId="3A6BA6BE">
      <w:pPr>
        <w:pStyle w:val="4"/>
        <w:pageBreakBefore w:val="0"/>
        <w:numPr>
          <w:ilvl w:val="0"/>
          <w:numId w:val="7"/>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公益性要求</w:t>
      </w:r>
    </w:p>
    <w:p w14:paraId="2498F818">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1.中标人承担食堂文化建设，开展食堂开放日、节约粮食宣传等活动。</w:t>
      </w:r>
    </w:p>
    <w:p w14:paraId="69339DE9">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2.中标人应开展节庆（端午、中秋等传统佳节以及教师节等节日）慰问，通过赠送食品、就餐券、打折优惠等方式回馈师生。</w:t>
      </w:r>
    </w:p>
    <w:p w14:paraId="2959E562">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★3.中标人需完成招标人食堂监管部门分配的农副产品采购任务（832平台、招标人定点乡村振兴帮扶地区等）。（投标时需提供盖章承诺函，格式自拟）</w:t>
      </w:r>
    </w:p>
    <w:p w14:paraId="4C341867">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ascii="Times New Roman" w:hAnsi="Times New Roman" w:eastAsia="宋体"/>
          <w:highlight w:val="none"/>
          <w:lang w:val="en-US" w:eastAsia="zh-CN"/>
        </w:rPr>
      </w:pPr>
      <w:r>
        <w:rPr>
          <w:rFonts w:hint="eastAsia"/>
          <w:highlight w:val="none"/>
        </w:rPr>
        <w:t>经营</w:t>
      </w:r>
      <w:r>
        <w:rPr>
          <w:rFonts w:hint="eastAsia"/>
          <w:highlight w:val="none"/>
          <w:lang w:val="en-US" w:eastAsia="zh-CN"/>
        </w:rPr>
        <w:t>管理</w:t>
      </w:r>
      <w:r>
        <w:rPr>
          <w:rFonts w:hint="eastAsia"/>
          <w:highlight w:val="none"/>
        </w:rPr>
        <w:t>要求</w:t>
      </w:r>
    </w:p>
    <w:p w14:paraId="7AF9599A">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中标人应严格遵守《中华人民共和国食品安全法》、《中华人民共和国食品安全法实施条例》、《学校食品安全与营养健康管理规定》、《企业落实食品安全主体责任监督管理规定》、《集中用餐单位落实食品安全主体责任监督管理规定》等法律法规或相关文件制度，严格遵守招标人的各项管理制度及招标人食堂监管部门的其他要求。</w:t>
      </w:r>
    </w:p>
    <w:p w14:paraId="1F9B98BA">
      <w:pPr>
        <w:pStyle w:val="4"/>
        <w:pageBreakBefore w:val="0"/>
        <w:numPr>
          <w:ilvl w:val="0"/>
          <w:numId w:val="8"/>
        </w:numPr>
        <w:wordWrap/>
        <w:overflowPunct/>
        <w:topLinePunct w:val="0"/>
        <w:bidi w:val="0"/>
        <w:spacing w:line="560" w:lineRule="exact"/>
        <w:ind w:left="0" w:leftChars="0" w:firstLine="562" w:firstLineChars="20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食品安全卫生管理</w:t>
      </w:r>
    </w:p>
    <w:p w14:paraId="19582363">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1．中</w:t>
      </w:r>
      <w:r>
        <w:rPr>
          <w:rFonts w:hint="eastAsia" w:ascii="宋体" w:hAnsi="宋体" w:eastAsia="宋体" w:cs="宋体"/>
          <w:sz w:val="28"/>
          <w:szCs w:val="28"/>
          <w:highlight w:val="none"/>
          <w:lang w:val="en-US" w:eastAsia="zh-CN"/>
        </w:rPr>
        <w:t>标人须确保食材的采购、清洗、加工、制作、储存、供应等环节符合《食品安全国家标准餐饮服务通用卫生规范》等有关法律法规、国家标准。</w:t>
      </w:r>
    </w:p>
    <w:p w14:paraId="5BEF5D6A">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2．</w:t>
      </w:r>
      <w:r>
        <w:rPr>
          <w:rFonts w:hint="eastAsia" w:ascii="宋体" w:hAnsi="宋体" w:eastAsia="宋体" w:cs="宋体"/>
          <w:sz w:val="28"/>
          <w:szCs w:val="28"/>
          <w:highlight w:val="none"/>
          <w:lang w:val="en-US" w:eastAsia="zh-CN"/>
        </w:rPr>
        <w:t>餐（饮）具要严格按照程序进行清洗、消毒、保管（设有保洁间、保洁柜），保持干净、卫生，要达到消毒餐（饮）具的国家卫生标准。</w:t>
      </w:r>
    </w:p>
    <w:p w14:paraId="5F74E950">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4．</w:t>
      </w:r>
      <w:r>
        <w:rPr>
          <w:rFonts w:hint="eastAsia" w:ascii="宋体" w:hAnsi="宋体" w:eastAsia="宋体" w:cs="宋体"/>
          <w:sz w:val="28"/>
          <w:szCs w:val="28"/>
          <w:highlight w:val="none"/>
          <w:lang w:val="en-US" w:eastAsia="zh-CN"/>
        </w:rPr>
        <w:t>食品添加剂的使用应符合食品添加剂国家使用标准，实行专人采购、专人保管、专人领用、专人登记、专柜存放。</w:t>
      </w:r>
    </w:p>
    <w:p w14:paraId="575E9081">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5．</w:t>
      </w:r>
      <w:r>
        <w:rPr>
          <w:rFonts w:hint="eastAsia" w:ascii="宋体" w:hAnsi="宋体" w:eastAsia="宋体" w:cs="宋体"/>
          <w:sz w:val="28"/>
          <w:szCs w:val="28"/>
          <w:highlight w:val="none"/>
          <w:lang w:val="en-US" w:eastAsia="zh-CN"/>
        </w:rPr>
        <w:t>环境清洁制度完备，保持厨房、备餐间的整洁卫生。使用的消毒剂、洗涤剂应符合食品安全国家标准。</w:t>
      </w:r>
    </w:p>
    <w:p w14:paraId="740D851C">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6．</w:t>
      </w:r>
      <w:r>
        <w:rPr>
          <w:rFonts w:hint="eastAsia" w:ascii="宋体" w:hAnsi="宋体" w:eastAsia="宋体" w:cs="宋体"/>
          <w:sz w:val="28"/>
          <w:szCs w:val="28"/>
          <w:highlight w:val="none"/>
          <w:lang w:val="en-US" w:eastAsia="zh-CN"/>
        </w:rPr>
        <w:t>中标人必须严格执行食品原材料采购制度，完善索票索证制度，设立专职采购员负责采购及配送工作，做好食品原材料采购的索证、索票管理，建立健全食品原材料采购及配送工作台账，建立档案。</w:t>
      </w:r>
    </w:p>
    <w:p w14:paraId="500FF0FF">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7．</w:t>
      </w:r>
      <w:r>
        <w:rPr>
          <w:rFonts w:hint="eastAsia" w:ascii="宋体" w:hAnsi="宋体" w:eastAsia="宋体" w:cs="宋体"/>
          <w:sz w:val="28"/>
          <w:szCs w:val="28"/>
          <w:highlight w:val="none"/>
          <w:lang w:val="en-US" w:eastAsia="zh-CN"/>
        </w:rPr>
        <w:t>有除“四害”和其他有害昆虫及其滋生条件的器具与设施，达到市场监管部门有关等级要求。每月定期邀请有资质的生物防治公司到食堂进行消杀工作，建立消杀台账，费用由中标人负责。仓库通风良好，做好防腐、防尘、防鼠工作。</w:t>
      </w:r>
    </w:p>
    <w:p w14:paraId="03149A11">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8．</w:t>
      </w:r>
      <w:r>
        <w:rPr>
          <w:rFonts w:hint="eastAsia" w:ascii="宋体" w:hAnsi="宋体" w:eastAsia="宋体" w:cs="宋体"/>
          <w:sz w:val="28"/>
          <w:szCs w:val="28"/>
          <w:highlight w:val="none"/>
          <w:lang w:val="en-US" w:eastAsia="zh-CN"/>
        </w:rPr>
        <w:t>食品卫生、无毒、无害，符合营养卫生要求，具有相应的色、香、味等感官性状，达到市场监管部门有关等级要求。</w:t>
      </w:r>
    </w:p>
    <w:p w14:paraId="0175D770">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9．</w:t>
      </w:r>
      <w:r>
        <w:rPr>
          <w:rFonts w:hint="eastAsia" w:ascii="宋体" w:hAnsi="宋体" w:eastAsia="宋体" w:cs="宋体"/>
          <w:sz w:val="28"/>
          <w:szCs w:val="28"/>
          <w:highlight w:val="none"/>
          <w:lang w:val="en-US" w:eastAsia="zh-CN"/>
        </w:rPr>
        <w:t>严禁采购来历不明以及不符合食品卫生标准的食品和食品原材料，严禁销售过期变质食品，确保食品卫生安全。若有发现责令整改，造成食物中毒等事件，将依据情节轻重对中标人进行处理，直至移交司法机关追究法律责任。</w:t>
      </w:r>
    </w:p>
    <w:p w14:paraId="0D844D3A">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10．</w:t>
      </w:r>
      <w:r>
        <w:rPr>
          <w:rFonts w:hint="eastAsia" w:ascii="宋体" w:hAnsi="宋体" w:eastAsia="宋体" w:cs="宋体"/>
          <w:sz w:val="28"/>
          <w:szCs w:val="28"/>
          <w:highlight w:val="none"/>
          <w:lang w:val="en-US" w:eastAsia="zh-CN"/>
        </w:rPr>
        <w:t>做好每天的食品留样工作，并做好台账记录。</w:t>
      </w:r>
    </w:p>
    <w:p w14:paraId="380DCFB8">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11．</w:t>
      </w:r>
      <w:r>
        <w:rPr>
          <w:rFonts w:hint="eastAsia" w:ascii="宋体" w:hAnsi="宋体" w:eastAsia="宋体" w:cs="宋体"/>
          <w:sz w:val="28"/>
          <w:szCs w:val="28"/>
          <w:highlight w:val="none"/>
          <w:lang w:val="en-US" w:eastAsia="zh-CN"/>
        </w:rPr>
        <w:t>食堂员工须持有效健康证上岗，严格执行岗前检查和每日健康报告。工作期间必须统一穿着洁净工作服、工作帽并规范佩戴口罩，严禁佩戴首饰。严格遵守“四勤”要求，并尤其注重手部卫生，在关键操作环节必须按标准流程洗手消毒。工作中严禁在加工区内吸烟、进食等行为。所有员工均需接受定期卫生培训，上述要求将纳入日常考核，以确保个人卫生规范得到全面落实，从源头保障食品安全。</w:t>
      </w:r>
    </w:p>
    <w:p w14:paraId="1B784430">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12．</w:t>
      </w:r>
      <w:r>
        <w:rPr>
          <w:rFonts w:hint="eastAsia" w:ascii="宋体" w:hAnsi="宋体" w:eastAsia="宋体" w:cs="宋体"/>
          <w:sz w:val="28"/>
          <w:szCs w:val="28"/>
          <w:highlight w:val="none"/>
          <w:lang w:val="en-US" w:eastAsia="zh-CN"/>
        </w:rPr>
        <w:t>定期进行农药残留化验抽检工作，并做台账记录；进货查验时发现异常问题应及时清退相应食材，已加工的全部停用。</w:t>
      </w:r>
    </w:p>
    <w:p w14:paraId="7410503F">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13．</w:t>
      </w:r>
      <w:r>
        <w:rPr>
          <w:rFonts w:hint="eastAsia" w:ascii="宋体" w:hAnsi="宋体" w:eastAsia="宋体" w:cs="宋体"/>
          <w:sz w:val="28"/>
          <w:szCs w:val="28"/>
          <w:highlight w:val="none"/>
          <w:lang w:val="en-US" w:eastAsia="zh-CN"/>
        </w:rPr>
        <w:t>经营期内，中标人每学期最少进行一次消防、突发食品安全事件演练。按照政府部门、学校要求以及时节特点，积极开展员工食品安全、传染病防治等专项培训。</w:t>
      </w:r>
    </w:p>
    <w:p w14:paraId="082F5979">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14．</w:t>
      </w:r>
      <w:r>
        <w:rPr>
          <w:rFonts w:hint="eastAsia" w:ascii="宋体" w:hAnsi="宋体" w:eastAsia="宋体" w:cs="宋体"/>
          <w:sz w:val="28"/>
          <w:szCs w:val="28"/>
          <w:highlight w:val="none"/>
          <w:lang w:val="en-US" w:eastAsia="zh-CN"/>
        </w:rPr>
        <w:t>中标人须对食堂内部抽排系统及净化油烟系统进行专业清理并做好归档工作，每月定期进行油烟管道、风机的清洗工作；每学期聘请第三方公司开展油烟管道、风机、隔油池等清洗清理工作不少于1次，</w:t>
      </w:r>
      <w:r>
        <w:rPr>
          <w:rFonts w:hint="default" w:ascii="宋体" w:hAnsi="宋体" w:eastAsia="宋体" w:cs="宋体"/>
          <w:sz w:val="28"/>
          <w:szCs w:val="28"/>
          <w:highlight w:val="none"/>
          <w:lang w:val="en-US" w:eastAsia="zh-CN"/>
        </w:rPr>
        <w:t>并提供相关检测及清洗报告。</w:t>
      </w:r>
      <w:r>
        <w:rPr>
          <w:rFonts w:hint="eastAsia" w:ascii="宋体" w:hAnsi="宋体" w:eastAsia="宋体" w:cs="宋体"/>
          <w:sz w:val="28"/>
          <w:szCs w:val="28"/>
          <w:highlight w:val="none"/>
          <w:lang w:val="en-US" w:eastAsia="zh-CN"/>
        </w:rPr>
        <w:t>招标人食堂监管部门会根据实际需求，要求中标人委托有资质的环保评测公司对排气进行检测，并把检测报告上交相关部门。具体次数以招标人食堂监管部门需求为准，费用由中标人承担。</w:t>
      </w:r>
    </w:p>
    <w:p w14:paraId="336E568B">
      <w:pPr>
        <w:pageBreakBefore w:val="0"/>
        <w:numPr>
          <w:ilvl w:val="0"/>
          <w:numId w:val="0"/>
        </w:numPr>
        <w:wordWrap/>
        <w:overflowPunct/>
        <w:topLinePunct w:val="0"/>
        <w:bidi w:val="0"/>
        <w:spacing w:line="56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napToGrid w:val="0"/>
          <w:color w:val="000000"/>
          <w:kern w:val="0"/>
          <w:sz w:val="28"/>
          <w:szCs w:val="28"/>
          <w:highlight w:val="none"/>
          <w:lang w:val="en-US" w:eastAsia="zh-CN" w:bidi="ar-SA"/>
        </w:rPr>
        <w:t>15．</w:t>
      </w:r>
      <w:r>
        <w:rPr>
          <w:rFonts w:hint="eastAsia" w:ascii="宋体" w:hAnsi="宋体" w:eastAsia="宋体" w:cs="宋体"/>
          <w:sz w:val="28"/>
          <w:szCs w:val="28"/>
          <w:highlight w:val="none"/>
          <w:lang w:val="en-US" w:eastAsia="zh-CN"/>
        </w:rPr>
        <w:t>中标人需至少每学期对隔油池进行一次清理，具体次数以招标人食堂监管部门需求为准，费用由中标人承担。</w:t>
      </w:r>
    </w:p>
    <w:p w14:paraId="0D2B466A">
      <w:pPr>
        <w:pageBreakBefore w:val="0"/>
        <w:numPr>
          <w:ilvl w:val="0"/>
          <w:numId w:val="0"/>
        </w:numPr>
        <w:wordWrap/>
        <w:overflowPunct/>
        <w:topLinePunct w:val="0"/>
        <w:bidi w:val="0"/>
        <w:spacing w:line="560" w:lineRule="exact"/>
        <w:ind w:left="0" w:leftChars="0"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w:t>
      </w:r>
      <w:r>
        <w:rPr>
          <w:rFonts w:hint="eastAsia" w:ascii="宋体" w:hAnsi="宋体" w:eastAsia="宋体" w:cs="宋体"/>
          <w:snapToGrid w:val="0"/>
          <w:color w:val="000000"/>
          <w:kern w:val="0"/>
          <w:sz w:val="28"/>
          <w:szCs w:val="28"/>
          <w:highlight w:val="none"/>
          <w:lang w:val="en-US" w:eastAsia="zh-CN" w:bidi="ar-SA"/>
        </w:rPr>
        <w:t>16．</w:t>
      </w:r>
      <w:r>
        <w:rPr>
          <w:rFonts w:hint="eastAsia" w:ascii="宋体" w:hAnsi="宋体" w:eastAsia="宋体" w:cs="宋体"/>
          <w:sz w:val="28"/>
          <w:szCs w:val="28"/>
          <w:highlight w:val="none"/>
          <w:lang w:val="en-US" w:eastAsia="zh-CN"/>
        </w:rPr>
        <w:t>投标人需具备食材农残自检能力，每日抽检。投标时提供自检设备清单及自检方案。</w:t>
      </w:r>
    </w:p>
    <w:p w14:paraId="6024D3B0">
      <w:pPr>
        <w:pageBreakBefore w:val="0"/>
        <w:numPr>
          <w:ilvl w:val="0"/>
          <w:numId w:val="0"/>
        </w:numPr>
        <w:wordWrap/>
        <w:overflowPunct/>
        <w:topLinePunct w:val="0"/>
        <w:bidi w:val="0"/>
        <w:spacing w:line="560" w:lineRule="exact"/>
        <w:ind w:left="0" w:leftChars="0" w:firstLine="560" w:firstLineChars="200"/>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w:t>
      </w:r>
      <w:r>
        <w:rPr>
          <w:rFonts w:hint="eastAsia" w:ascii="宋体" w:hAnsi="宋体" w:eastAsia="宋体" w:cs="宋体"/>
          <w:sz w:val="28"/>
          <w:szCs w:val="28"/>
          <w:highlight w:val="none"/>
          <w:lang w:val="en-US" w:eastAsia="zh-CN"/>
        </w:rPr>
        <w:t>7</w:t>
      </w:r>
      <w:r>
        <w:rPr>
          <w:rFonts w:hint="default" w:ascii="宋体" w:hAnsi="宋体" w:eastAsia="宋体" w:cs="宋体"/>
          <w:sz w:val="28"/>
          <w:szCs w:val="28"/>
          <w:highlight w:val="none"/>
          <w:lang w:val="en-US" w:eastAsia="zh-CN"/>
        </w:rPr>
        <w:t>.不得从事与膳食无关的经营活动；不准在食堂内设置迷信神位、电子游戏机、营业性卡拉OK；不得进行营业性的影视播放和开设其他作坊；</w:t>
      </w:r>
      <w:r>
        <w:rPr>
          <w:rFonts w:hint="eastAsia" w:ascii="宋体" w:hAnsi="宋体" w:eastAsia="宋体" w:cs="宋体"/>
          <w:sz w:val="28"/>
          <w:szCs w:val="28"/>
          <w:highlight w:val="none"/>
          <w:lang w:val="en-US" w:eastAsia="zh-CN"/>
        </w:rPr>
        <w:t>不得在食堂内（整栋楼）饲养宠物；</w:t>
      </w:r>
      <w:r>
        <w:rPr>
          <w:rFonts w:hint="default" w:ascii="宋体" w:hAnsi="宋体" w:eastAsia="宋体" w:cs="宋体"/>
          <w:sz w:val="28"/>
          <w:szCs w:val="28"/>
          <w:highlight w:val="none"/>
          <w:lang w:val="en-US" w:eastAsia="zh-CN"/>
        </w:rPr>
        <w:t>不准将经营场地租给他人使用。</w:t>
      </w:r>
    </w:p>
    <w:p w14:paraId="759E336D">
      <w:pPr>
        <w:pStyle w:val="4"/>
        <w:pageBreakBefore w:val="0"/>
        <w:numPr>
          <w:ilvl w:val="0"/>
          <w:numId w:val="8"/>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人员管理</w:t>
      </w:r>
      <w:r>
        <w:rPr>
          <w:rFonts w:hint="eastAsia"/>
          <w:highlight w:val="none"/>
        </w:rPr>
        <w:t>要求</w:t>
      </w:r>
    </w:p>
    <w:p w14:paraId="5A5677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投标人应拥有一定实力规模和稳定的专业员工队伍，熟悉和掌握食品卫生安全相关的法律法规知识。具有从事高校学生食堂的经营经验或合作管理经营经验，业绩良好，无发生食品安全、消防安全等方面的不良记录</w:t>
      </w:r>
      <w:r>
        <w:rPr>
          <w:rFonts w:hint="eastAsia" w:ascii="宋体" w:hAnsi="宋体" w:eastAsia="宋体" w:cs="宋体"/>
          <w:sz w:val="28"/>
          <w:szCs w:val="28"/>
          <w:highlight w:val="none"/>
          <w:lang w:eastAsia="zh-CN"/>
        </w:rPr>
        <w:t>。</w:t>
      </w:r>
    </w:p>
    <w:p w14:paraId="679056A4">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中标人须严格执行国家、省、市的劳动法规，规范用工，确保食堂员工的权益不受侵犯，中标人承担员工工资、福利、社会保险、办证等经营期间产生的一切费用，并承担食堂员工的管理、劳动合同的签订、劳务纠纷的处理等相关经济和法律责任。在经营过程中与员工发生的一切纠纷均与招标人无关。（投标人提供承诺函，格式自拟）</w:t>
      </w:r>
    </w:p>
    <w:p w14:paraId="2B6AC4FA">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2.人员配备要求：</w:t>
      </w:r>
    </w:p>
    <w:p w14:paraId="2E52D8B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(1)</w:t>
      </w:r>
      <w:r>
        <w:rPr>
          <w:rFonts w:hint="eastAsia" w:ascii="宋体" w:hAnsi="宋体" w:eastAsia="宋体" w:cs="宋体"/>
          <w:i w:val="0"/>
          <w:iCs w:val="0"/>
          <w:color w:val="000000"/>
          <w:kern w:val="21"/>
          <w:sz w:val="28"/>
          <w:szCs w:val="28"/>
          <w:highlight w:val="none"/>
        </w:rPr>
        <w:t>为更好配合</w:t>
      </w:r>
      <w:r>
        <w:rPr>
          <w:rFonts w:hint="eastAsia" w:ascii="宋体" w:hAnsi="宋体" w:eastAsia="宋体" w:cs="宋体"/>
          <w:i w:val="0"/>
          <w:iCs w:val="0"/>
          <w:color w:val="000000"/>
          <w:kern w:val="21"/>
          <w:sz w:val="28"/>
          <w:szCs w:val="28"/>
          <w:highlight w:val="none"/>
          <w:lang w:eastAsia="zh-CN"/>
        </w:rPr>
        <w:t>招标人</w:t>
      </w:r>
      <w:r>
        <w:rPr>
          <w:rFonts w:hint="eastAsia" w:ascii="宋体" w:hAnsi="宋体" w:eastAsia="宋体" w:cs="宋体"/>
          <w:i w:val="0"/>
          <w:iCs w:val="0"/>
          <w:color w:val="000000"/>
          <w:kern w:val="21"/>
          <w:sz w:val="28"/>
          <w:szCs w:val="28"/>
          <w:highlight w:val="none"/>
        </w:rPr>
        <w:t>开展工作，保证食堂正常运作，保证供餐质量，包组1、包组2的</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均应配备常驻现场管理人员不少于4人，如：现场经理（食品安全总监）、专职食品安全员（质检员）、仓库管理员、总厨（厨师长）等岗位各不少于1人。所有常驻管理人员须全职在岗，不得兼职其他项目。常驻管理人员原则上不得相互兼任。如其中有人请假，</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须委派具备同等资质和经验的人员代替其工作。</w:t>
      </w:r>
    </w:p>
    <w:p w14:paraId="70671FD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(2)</w:t>
      </w:r>
      <w:r>
        <w:rPr>
          <w:rFonts w:hint="eastAsia" w:ascii="宋体" w:hAnsi="宋体" w:eastAsia="宋体" w:cs="宋体"/>
          <w:i w:val="0"/>
          <w:iCs w:val="0"/>
          <w:color w:val="000000"/>
          <w:kern w:val="21"/>
          <w:sz w:val="28"/>
          <w:szCs w:val="28"/>
          <w:highlight w:val="none"/>
        </w:rPr>
        <w:t>食堂须配备1名专职或兼职的水电工（修理工），并持证上岗，检修工作应做好台账记录；配备至少1名专职或兼职的营养师或健康管理师，需持有国家相关部门或行业认可的证件，每月至少到食堂指导工作1次，并做好台账记录；配备专职或兼职消防管理员（至少1人取得消防培训合格证），每月在食堂检查工作至少2次，并做好记录台账。</w:t>
      </w:r>
    </w:p>
    <w:p w14:paraId="478349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(3)</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委派的食堂现场经理须具有大专或以上文化程度、持有高级食品安全管理员证等相关证书，具有学校或企事业单位食堂1年以上管理经验。企业法人须授权食堂现场经理代表企业统筹食堂日常管理工作、签收学校相关文件、出席相关会议等事项。食堂现场经理不符合条件或表现不合格时，</w:t>
      </w:r>
      <w:r>
        <w:rPr>
          <w:rFonts w:hint="eastAsia" w:ascii="宋体" w:hAnsi="宋体" w:eastAsia="宋体" w:cs="宋体"/>
          <w:i w:val="0"/>
          <w:iCs w:val="0"/>
          <w:color w:val="000000"/>
          <w:kern w:val="21"/>
          <w:sz w:val="28"/>
          <w:szCs w:val="28"/>
          <w:highlight w:val="none"/>
          <w:lang w:eastAsia="zh-CN"/>
        </w:rPr>
        <w:t>招标人</w:t>
      </w:r>
      <w:r>
        <w:rPr>
          <w:rFonts w:hint="eastAsia" w:ascii="宋体" w:hAnsi="宋体" w:eastAsia="宋体" w:cs="宋体"/>
          <w:i w:val="0"/>
          <w:iCs w:val="0"/>
          <w:color w:val="000000"/>
          <w:kern w:val="21"/>
          <w:sz w:val="28"/>
          <w:szCs w:val="28"/>
          <w:highlight w:val="none"/>
        </w:rPr>
        <w:t>有权要求</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更换。</w:t>
      </w:r>
    </w:p>
    <w:p w14:paraId="0008346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(4)</w:t>
      </w:r>
      <w:r>
        <w:rPr>
          <w:rFonts w:hint="eastAsia" w:ascii="宋体" w:hAnsi="宋体" w:eastAsia="宋体" w:cs="宋体"/>
          <w:i w:val="0"/>
          <w:iCs w:val="0"/>
          <w:color w:val="000000"/>
          <w:kern w:val="21"/>
          <w:sz w:val="28"/>
          <w:szCs w:val="28"/>
          <w:highlight w:val="none"/>
        </w:rPr>
        <w:t>食堂现场经理在学校食堂任职上岗前应把企业法人委托授权书、学历证明、高级食品安全管理员证等相关证书、同类工作经历证明、无犯罪证明等相关佐证材料原件交给</w:t>
      </w:r>
      <w:r>
        <w:rPr>
          <w:rFonts w:hint="eastAsia" w:ascii="宋体" w:hAnsi="宋体" w:eastAsia="宋体" w:cs="宋体"/>
          <w:i w:val="0"/>
          <w:iCs w:val="0"/>
          <w:color w:val="000000"/>
          <w:kern w:val="21"/>
          <w:sz w:val="28"/>
          <w:szCs w:val="28"/>
          <w:highlight w:val="none"/>
          <w:lang w:eastAsia="zh-CN"/>
        </w:rPr>
        <w:t>招标人</w:t>
      </w:r>
      <w:r>
        <w:rPr>
          <w:rFonts w:hint="eastAsia" w:ascii="宋体" w:hAnsi="宋体" w:eastAsia="宋体" w:cs="宋体"/>
          <w:i w:val="0"/>
          <w:iCs w:val="0"/>
          <w:color w:val="000000"/>
          <w:kern w:val="21"/>
          <w:sz w:val="28"/>
          <w:szCs w:val="28"/>
          <w:highlight w:val="none"/>
        </w:rPr>
        <w:t>审核（审核后退回原件），另备复印件（盖公章）给</w:t>
      </w:r>
      <w:r>
        <w:rPr>
          <w:rFonts w:hint="eastAsia" w:ascii="宋体" w:hAnsi="宋体" w:eastAsia="宋体" w:cs="宋体"/>
          <w:i w:val="0"/>
          <w:iCs w:val="0"/>
          <w:color w:val="000000"/>
          <w:kern w:val="21"/>
          <w:sz w:val="28"/>
          <w:szCs w:val="28"/>
          <w:highlight w:val="none"/>
          <w:lang w:eastAsia="zh-CN"/>
        </w:rPr>
        <w:t>招标人</w:t>
      </w:r>
      <w:r>
        <w:rPr>
          <w:rFonts w:hint="eastAsia" w:ascii="宋体" w:hAnsi="宋体" w:eastAsia="宋体" w:cs="宋体"/>
          <w:i w:val="0"/>
          <w:iCs w:val="0"/>
          <w:color w:val="000000"/>
          <w:kern w:val="21"/>
          <w:sz w:val="28"/>
          <w:szCs w:val="28"/>
          <w:highlight w:val="none"/>
        </w:rPr>
        <w:t>存档备案。</w:t>
      </w:r>
    </w:p>
    <w:p w14:paraId="6EAEB6F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(5)</w:t>
      </w:r>
      <w:r>
        <w:rPr>
          <w:rFonts w:hint="eastAsia" w:ascii="宋体" w:hAnsi="宋体" w:eastAsia="宋体" w:cs="宋体"/>
          <w:i w:val="0"/>
          <w:iCs w:val="0"/>
          <w:color w:val="000000"/>
          <w:kern w:val="21"/>
          <w:sz w:val="28"/>
          <w:szCs w:val="28"/>
          <w:highlight w:val="none"/>
        </w:rPr>
        <w:t>食堂每个档口的班组长或负责人都持有食品安全员证（初、中、高级均可），厨师人员中持有厨师证的不少于</w:t>
      </w:r>
      <w:r>
        <w:rPr>
          <w:rFonts w:hint="eastAsia" w:ascii="宋体" w:hAnsi="宋体" w:eastAsia="宋体" w:cs="宋体"/>
          <w:i w:val="0"/>
          <w:iCs w:val="0"/>
          <w:color w:val="000000"/>
          <w:kern w:val="21"/>
          <w:sz w:val="28"/>
          <w:szCs w:val="28"/>
          <w:highlight w:val="none"/>
          <w:lang w:val="en-US" w:eastAsia="zh-CN"/>
        </w:rPr>
        <w:t>5</w:t>
      </w:r>
      <w:r>
        <w:rPr>
          <w:rFonts w:hint="eastAsia" w:ascii="宋体" w:hAnsi="宋体" w:eastAsia="宋体" w:cs="宋体"/>
          <w:i w:val="0"/>
          <w:iCs w:val="0"/>
          <w:color w:val="000000"/>
          <w:kern w:val="21"/>
          <w:sz w:val="28"/>
          <w:szCs w:val="28"/>
          <w:highlight w:val="none"/>
        </w:rPr>
        <w:t>人、中级以上面点师不少于1人。主要厨师人员应每学期在中标企业内部轮换（特别优秀的除外），保证食堂出品定期更新或更换。</w:t>
      </w:r>
    </w:p>
    <w:p w14:paraId="55C5123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(6)</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须按《中华人民共和国劳动法》规定以及省、市的劳动法规，规范用工，所有员工必须具有相关证件（身份证、健康证、上岗证等）。</w:t>
      </w:r>
    </w:p>
    <w:p w14:paraId="11B402C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(7)</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须委派一名食品安全总监常驻食堂现场</w:t>
      </w:r>
      <w:r>
        <w:rPr>
          <w:rFonts w:hint="eastAsia" w:ascii="宋体" w:hAnsi="宋体" w:eastAsia="宋体" w:cs="宋体"/>
          <w:i w:val="0"/>
          <w:iCs w:val="0"/>
          <w:color w:val="000000"/>
          <w:kern w:val="21"/>
          <w:sz w:val="28"/>
          <w:szCs w:val="28"/>
          <w:highlight w:val="none"/>
          <w:lang w:eastAsia="zh-CN"/>
        </w:rPr>
        <w:t>（</w:t>
      </w:r>
      <w:r>
        <w:rPr>
          <w:rFonts w:hint="eastAsia" w:ascii="宋体" w:hAnsi="宋体" w:eastAsia="宋体" w:cs="宋体"/>
          <w:color w:val="auto"/>
          <w:kern w:val="21"/>
          <w:sz w:val="28"/>
          <w:szCs w:val="28"/>
          <w:highlight w:val="none"/>
          <w:lang w:val="en-US" w:eastAsia="zh-CN" w:bidi="ar"/>
        </w:rPr>
        <w:t>可由食堂现场经理兼任</w:t>
      </w:r>
      <w:r>
        <w:rPr>
          <w:rFonts w:hint="eastAsia" w:ascii="宋体" w:hAnsi="宋体" w:eastAsia="宋体" w:cs="宋体"/>
          <w:i w:val="0"/>
          <w:iCs w:val="0"/>
          <w:color w:val="000000"/>
          <w:kern w:val="21"/>
          <w:sz w:val="28"/>
          <w:szCs w:val="28"/>
          <w:highlight w:val="none"/>
          <w:lang w:eastAsia="zh-CN"/>
        </w:rPr>
        <w:t>）</w:t>
      </w:r>
      <w:r>
        <w:rPr>
          <w:rFonts w:hint="eastAsia" w:ascii="宋体" w:hAnsi="宋体" w:eastAsia="宋体" w:cs="宋体"/>
          <w:i w:val="0"/>
          <w:iCs w:val="0"/>
          <w:color w:val="000000"/>
          <w:kern w:val="21"/>
          <w:sz w:val="28"/>
          <w:szCs w:val="28"/>
          <w:highlight w:val="none"/>
        </w:rPr>
        <w:t>，按照《学校食品安全“日管控、周排查、月调度”工作制度》要求进行风险隐患排查；</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企业的食品安全总监每学期到学校食堂检查与指导不少于2次，做好台账记录。</w:t>
      </w:r>
    </w:p>
    <w:p w14:paraId="6945EDB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(8)</w:t>
      </w:r>
      <w:r>
        <w:rPr>
          <w:rFonts w:hint="eastAsia" w:ascii="宋体" w:hAnsi="宋体" w:eastAsia="宋体" w:cs="宋体"/>
          <w:i w:val="0"/>
          <w:iCs w:val="0"/>
          <w:color w:val="000000"/>
          <w:kern w:val="21"/>
          <w:sz w:val="28"/>
          <w:szCs w:val="28"/>
          <w:highlight w:val="none"/>
        </w:rPr>
        <w:t>中标企业法人或企业负责人每学期到学校汇报工作不少于1次，到中标食堂后厨检查不少于2次，做好台账记录。在无正当理由的情况下，公司负责人须参加</w:t>
      </w:r>
      <w:r>
        <w:rPr>
          <w:rFonts w:hint="eastAsia" w:ascii="宋体" w:hAnsi="宋体" w:eastAsia="宋体" w:cs="宋体"/>
          <w:i w:val="0"/>
          <w:iCs w:val="0"/>
          <w:color w:val="000000"/>
          <w:kern w:val="21"/>
          <w:sz w:val="28"/>
          <w:szCs w:val="28"/>
          <w:highlight w:val="none"/>
          <w:lang w:eastAsia="zh-CN"/>
        </w:rPr>
        <w:t>招标人</w:t>
      </w:r>
      <w:r>
        <w:rPr>
          <w:rFonts w:hint="eastAsia" w:ascii="宋体" w:hAnsi="宋体" w:eastAsia="宋体" w:cs="宋体"/>
          <w:i w:val="0"/>
          <w:iCs w:val="0"/>
          <w:color w:val="000000"/>
          <w:kern w:val="21"/>
          <w:sz w:val="28"/>
          <w:szCs w:val="28"/>
          <w:highlight w:val="none"/>
        </w:rPr>
        <w:t>组织的工作会议。</w:t>
      </w:r>
    </w:p>
    <w:p w14:paraId="3870B83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(9)</w:t>
      </w:r>
      <w:r>
        <w:rPr>
          <w:rFonts w:hint="eastAsia" w:ascii="宋体" w:hAnsi="宋体" w:eastAsia="宋体" w:cs="宋体"/>
          <w:i w:val="0"/>
          <w:iCs w:val="0"/>
          <w:color w:val="000000"/>
          <w:kern w:val="21"/>
          <w:sz w:val="28"/>
          <w:szCs w:val="28"/>
          <w:highlight w:val="none"/>
        </w:rPr>
        <w:t>总厨（厨师长）定期检查食堂档口厨师的操作规范与烹饪工艺情况，每个月要对各档口厨师进行不少于1次的厨艺培训，并做好台账记录。每个月组织各档口厨师推出不少于1种新品菜式。</w:t>
      </w:r>
    </w:p>
    <w:p w14:paraId="4D61760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(10)</w:t>
      </w:r>
      <w:r>
        <w:rPr>
          <w:rFonts w:hint="eastAsia" w:ascii="宋体" w:hAnsi="宋体" w:eastAsia="宋体" w:cs="宋体"/>
          <w:i w:val="0"/>
          <w:iCs w:val="0"/>
          <w:color w:val="000000"/>
          <w:kern w:val="21"/>
          <w:sz w:val="28"/>
          <w:szCs w:val="28"/>
          <w:highlight w:val="none"/>
        </w:rPr>
        <w:t>如员工不配合</w:t>
      </w:r>
      <w:r>
        <w:rPr>
          <w:rFonts w:hint="eastAsia" w:ascii="宋体" w:hAnsi="宋体" w:eastAsia="宋体" w:cs="宋体"/>
          <w:i w:val="0"/>
          <w:iCs w:val="0"/>
          <w:color w:val="000000"/>
          <w:kern w:val="21"/>
          <w:sz w:val="28"/>
          <w:szCs w:val="28"/>
          <w:highlight w:val="none"/>
          <w:lang w:eastAsia="zh-CN"/>
        </w:rPr>
        <w:t>招标人</w:t>
      </w:r>
      <w:r>
        <w:rPr>
          <w:rFonts w:hint="eastAsia" w:ascii="宋体" w:hAnsi="宋体" w:eastAsia="宋体" w:cs="宋体"/>
          <w:i w:val="0"/>
          <w:iCs w:val="0"/>
          <w:color w:val="000000"/>
          <w:kern w:val="21"/>
          <w:sz w:val="28"/>
          <w:szCs w:val="28"/>
          <w:highlight w:val="none"/>
        </w:rPr>
        <w:t>相关工作、辱骂师生，师生对档口厨师出品不满意等情形，招标人有权要求中标人更换食堂员工。</w:t>
      </w:r>
    </w:p>
    <w:p w14:paraId="455EA61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(11)</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招聘的食堂员工须</w:t>
      </w:r>
      <w:r>
        <w:rPr>
          <w:rFonts w:hint="eastAsia" w:ascii="宋体" w:hAnsi="宋体" w:eastAsia="宋体" w:cs="宋体"/>
          <w:i w:val="0"/>
          <w:iCs w:val="0"/>
          <w:color w:val="000000"/>
          <w:kern w:val="21"/>
          <w:sz w:val="28"/>
          <w:szCs w:val="28"/>
          <w:highlight w:val="none"/>
          <w:lang w:val="en-US" w:eastAsia="zh-CN"/>
        </w:rPr>
        <w:t>政历清白，</w:t>
      </w:r>
      <w:r>
        <w:rPr>
          <w:rFonts w:hint="eastAsia" w:ascii="宋体" w:hAnsi="宋体" w:eastAsia="宋体" w:cs="宋体"/>
          <w:i w:val="0"/>
          <w:iCs w:val="0"/>
          <w:color w:val="000000"/>
          <w:kern w:val="21"/>
          <w:sz w:val="28"/>
          <w:szCs w:val="28"/>
          <w:highlight w:val="none"/>
        </w:rPr>
        <w:t>不得聘用有妨碍食品安全的员工</w:t>
      </w:r>
      <w:r>
        <w:rPr>
          <w:rFonts w:hint="eastAsia" w:ascii="宋体" w:hAnsi="宋体" w:eastAsia="宋体" w:cs="宋体"/>
          <w:i w:val="0"/>
          <w:iCs w:val="0"/>
          <w:color w:val="000000"/>
          <w:kern w:val="21"/>
          <w:sz w:val="28"/>
          <w:szCs w:val="28"/>
          <w:highlight w:val="none"/>
          <w:lang w:eastAsia="zh-CN"/>
        </w:rPr>
        <w:t>，</w:t>
      </w:r>
      <w:r>
        <w:rPr>
          <w:rFonts w:hint="eastAsia" w:ascii="宋体" w:hAnsi="宋体" w:eastAsia="宋体" w:cs="宋体"/>
          <w:i w:val="0"/>
          <w:iCs w:val="0"/>
          <w:color w:val="000000"/>
          <w:kern w:val="21"/>
          <w:sz w:val="28"/>
          <w:szCs w:val="28"/>
          <w:highlight w:val="none"/>
          <w:lang w:val="en-US" w:eastAsia="zh-CN"/>
        </w:rPr>
        <w:t>不得聘用有犯罪记录的员工。</w:t>
      </w:r>
    </w:p>
    <w:p w14:paraId="0DB10ED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i w:val="0"/>
          <w:iCs w:val="0"/>
          <w:color w:val="000000"/>
          <w:kern w:val="21"/>
          <w:sz w:val="28"/>
          <w:szCs w:val="28"/>
          <w:highlight w:val="none"/>
        </w:rPr>
      </w:pPr>
      <w:r>
        <w:rPr>
          <w:rFonts w:hint="default" w:ascii="宋体" w:hAnsi="宋体" w:eastAsia="宋体" w:cs="宋体"/>
          <w:i w:val="0"/>
          <w:iCs w:val="0"/>
          <w:snapToGrid w:val="0"/>
          <w:color w:val="000000"/>
          <w:kern w:val="21"/>
          <w:sz w:val="28"/>
          <w:szCs w:val="28"/>
          <w:lang w:val="en-US" w:eastAsia="en-US" w:bidi="ar-SA"/>
        </w:rPr>
        <w:t>(12)</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所管理的员工务必遵守国家法律法规以及学校规章制度，</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定期做好员工培训工作，规范员工的言行举止，做到文明礼貌，杜绝员工与师生产生法律纠纷、经济纠纷、败坏道德风气等行为，如</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所管理的员工存在上述行为，所产生的一切责任由</w:t>
      </w:r>
      <w:r>
        <w:rPr>
          <w:rFonts w:hint="eastAsia" w:ascii="宋体" w:hAnsi="宋体" w:eastAsia="宋体" w:cs="宋体"/>
          <w:i w:val="0"/>
          <w:iCs w:val="0"/>
          <w:color w:val="000000"/>
          <w:kern w:val="21"/>
          <w:sz w:val="28"/>
          <w:szCs w:val="28"/>
          <w:highlight w:val="none"/>
          <w:lang w:eastAsia="zh-CN"/>
        </w:rPr>
        <w:t>中标人</w:t>
      </w:r>
      <w:r>
        <w:rPr>
          <w:rFonts w:hint="eastAsia" w:ascii="宋体" w:hAnsi="宋体" w:eastAsia="宋体" w:cs="宋体"/>
          <w:i w:val="0"/>
          <w:iCs w:val="0"/>
          <w:color w:val="000000"/>
          <w:kern w:val="21"/>
          <w:sz w:val="28"/>
          <w:szCs w:val="28"/>
          <w:highlight w:val="none"/>
        </w:rPr>
        <w:t>负责。</w:t>
      </w:r>
    </w:p>
    <w:p w14:paraId="01DA18A2">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3.食堂必须由中标承包商自营，不得转包分包，招标人有权要求食堂承包方提供员工工资流水。</w:t>
      </w:r>
    </w:p>
    <w:p w14:paraId="34E8E256">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★（1）承包企业必须规范用工、合法用工,并对用工过程出现的相关问题承担全部法律责任。要求签订合同后，正式营业前及每学期开餐前，承包企业提交以下材料送校方备案：</w:t>
      </w:r>
    </w:p>
    <w:p w14:paraId="6F39D925">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①员工名册。要求名册体现员工姓名、性别、年龄、现居住地、从业人员健康证明（复印件）、厨房岗位、联系电话等。</w:t>
      </w:r>
    </w:p>
    <w:p w14:paraId="1175876F">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②员工劳动合同（如通过劳务派遣方式用工，须提供劳务派遣合同）复印件。合同要求体现工作地点、工资绩效、工作期限等。</w:t>
      </w:r>
    </w:p>
    <w:p w14:paraId="075FDA78">
      <w:pPr>
        <w:pageBreakBefore w:val="0"/>
        <w:numPr>
          <w:ilvl w:val="0"/>
          <w:numId w:val="0"/>
        </w:numPr>
        <w:wordWrap/>
        <w:overflowPunct/>
        <w:topLinePunct w:val="0"/>
        <w:bidi w:val="0"/>
        <w:spacing w:line="560" w:lineRule="exact"/>
        <w:ind w:left="0" w:firstLine="560" w:firstLineChars="200"/>
        <w:rPr>
          <w:rFonts w:hint="default"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要求中标人对于任命的食堂经理、食品总监及食品安全管理员、主厨等骨干管理人员，上岗后不得随意辞退或换人上岗，如确需换人上岗，必须至少提前15天提交书面申请，报招标人食堂监管部门同意后，才能换人上岗或调岗；合同期内本项目拟任项目经理保持在职在岗，非不可抗力原因更换，须经招标人同意方可变更且所更换人员需达到或超过投标文件拟派同岗位人员的资质条件。</w:t>
      </w:r>
    </w:p>
    <w:p w14:paraId="424FB5C6">
      <w:pPr>
        <w:pageBreakBefore w:val="0"/>
        <w:numPr>
          <w:ilvl w:val="0"/>
          <w:numId w:val="0"/>
        </w:numPr>
        <w:wordWrap/>
        <w:overflowPunct/>
        <w:topLinePunct w:val="0"/>
        <w:bidi w:val="0"/>
        <w:spacing w:line="560" w:lineRule="exact"/>
        <w:ind w:left="0" w:firstLine="560" w:firstLineChars="200"/>
        <w:rPr>
          <w:rFonts w:hint="eastAsia"/>
          <w:highlight w:val="none"/>
          <w:lang w:val="en-US" w:eastAsia="zh-CN"/>
        </w:rPr>
      </w:pPr>
      <w:r>
        <w:rPr>
          <w:rFonts w:hint="eastAsia" w:ascii="宋体" w:hAnsi="宋体" w:eastAsia="宋体" w:cs="宋体"/>
          <w:spacing w:val="0"/>
          <w:kern w:val="21"/>
          <w:position w:val="0"/>
          <w:sz w:val="28"/>
          <w:szCs w:val="28"/>
          <w:highlight w:val="none"/>
          <w:lang w:val="en-US" w:eastAsia="zh-CN"/>
        </w:rPr>
        <w:t>4.食堂员工住宿费用由投标人自行负责，招标人在力所能及的情况下提供临工宿舍，由投标人按照招标人规定的标准向招标人支付房租以及水电等租房产生的费用；如招标人无法提供宿舍，需由投标人自行就近解决员工住宿，费用由投标人自行承担。</w:t>
      </w:r>
    </w:p>
    <w:p w14:paraId="5CD6D970">
      <w:pPr>
        <w:pStyle w:val="4"/>
        <w:pageBreakBefore w:val="0"/>
        <w:numPr>
          <w:ilvl w:val="0"/>
          <w:numId w:val="8"/>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资产管理要求</w:t>
      </w:r>
    </w:p>
    <w:p w14:paraId="64E621C1">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1.中标人必须维护、保养、保管好招标人的房屋、设施和设备，并承担相关维护保养费用。不能随意改动房屋结构和设施位置，否则损坏的设施、设备，中标人应负责赔偿并按时按要求恢复原状。</w:t>
      </w:r>
    </w:p>
    <w:p w14:paraId="6965F2F0">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中标人必须保护经营场所及双方配置设备的完好，延长其使用年限。经营前双方必须进行房屋、设备、设施的清点，移交使用；合同期内，中标人须按招标人固定资产管理办法进行管理，爱护使用，定期维护，及时维修，不得挪用、抵押、转让、丢失，确保固定资产在使用年限范围内正常使用；合同期满后，双方必须进行房屋、设备、设施的清点验收。对损坏部分必须在规定期限内维修完好并办理移交手续，若有损坏未修好的按价赔偿。</w:t>
      </w:r>
    </w:p>
    <w:p w14:paraId="5FD730E7">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3.中标人需按招标人要求定期对固定资产清点盘查，逐一清点登记备案，招标人会委派相关部门工作人员跟进，中标人必须配合。</w:t>
      </w:r>
    </w:p>
    <w:p w14:paraId="763FAFE8">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4.设备到达使用年限且已不能继续使用或因技术性能落后丧失使用价值的，经招标人确认后按招标人规定进行处理。</w:t>
      </w:r>
    </w:p>
    <w:p w14:paraId="0F5091C8">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5.因市场监督管理局、教育或其它部门对食堂进行检查或评估时，对食堂内部装修、设施设备配置、食堂各功能间设置等提出整改意见时，中标人必须配合招标人进行整改，整改费用由中标人承担。</w:t>
      </w:r>
    </w:p>
    <w:p w14:paraId="2C472C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中标人须在食堂优化建设及相关设施设备完全投入使用后的两个月内（原则上应在合同签订后半年内完成），将全部设施设备的详细清单（附图纸及实物照片）及相关建设资料（包括但不限于原状记录、改造内容、改造后实况等）整理成册，提交至招标人食堂监管部门。该资料由招标人食堂监管部门验收合格后，作为合同期满或终止时资产移交的依据之一。</w:t>
      </w:r>
    </w:p>
    <w:p w14:paraId="79C894A1">
      <w:pPr>
        <w:pStyle w:val="4"/>
        <w:pageBreakBefore w:val="0"/>
        <w:numPr>
          <w:ilvl w:val="0"/>
          <w:numId w:val="8"/>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结算要求</w:t>
      </w:r>
    </w:p>
    <w:p w14:paraId="64569A9B">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1.中标人与消费者之间不能直接使用现金交易。中标人只能校园一卡通系统或经学校同意的支付结算方式收取费用。消费者只能通过学校提供的校园一卡通系统或经招标人同意的支付结算方式进行消费。</w:t>
      </w:r>
    </w:p>
    <w:p w14:paraId="226A678A">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2.中标人每月与招标人财务办理营业款结算时须扣除应收的水电费、一卡通维护费、违约处罚等费用。若一卡通收取的营业额不足以支付上月中标人应缴纳的各项费用，中标人应于次月10日前补缴差额。</w:t>
      </w:r>
    </w:p>
    <w:p w14:paraId="5CB1AD62">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3.中标人作为招标人公开引进的饮食服务承办商，积极配合学校开展各项活动，所提供的饮食服务按照双方约定价格按实结算。</w:t>
      </w:r>
    </w:p>
    <w:p w14:paraId="4FEB256B">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4.合同期满前2个月，中标人需在原材料验收区张贴公示，告知供货商及时结清货款。合同到期并完成撤场后，中标人持供货商出具的已结清货款证明交招标人，办理未结清营业款结算返还。</w:t>
      </w:r>
    </w:p>
    <w:p w14:paraId="3D7D9586">
      <w:pPr>
        <w:pStyle w:val="4"/>
        <w:pageBreakBefore w:val="0"/>
        <w:numPr>
          <w:ilvl w:val="0"/>
          <w:numId w:val="8"/>
        </w:numPr>
        <w:wordWrap/>
        <w:overflowPunct/>
        <w:topLinePunct w:val="0"/>
        <w:bidi w:val="0"/>
        <w:spacing w:line="560" w:lineRule="exact"/>
        <w:ind w:left="0" w:leftChars="0" w:firstLine="562" w:firstLineChars="200"/>
        <w:rPr>
          <w:rFonts w:hint="eastAsia"/>
          <w:highlight w:val="none"/>
          <w:lang w:val="en-US" w:eastAsia="zh-CN"/>
        </w:rPr>
      </w:pPr>
      <w:r>
        <w:rPr>
          <w:rFonts w:hint="eastAsia"/>
          <w:highlight w:val="none"/>
          <w:lang w:val="en-US" w:eastAsia="zh-CN"/>
        </w:rPr>
        <w:t>其他要求</w:t>
      </w:r>
    </w:p>
    <w:p w14:paraId="7141D092">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投标人对食堂的厨房环境、就餐环境、公共环境、住宿环境等负有管理责任，必须保持整洁。台、桌椅、使用器具等不得乱张贴广告、标语，不能涂鸦，保持没有其他不良宣传信息等。投标人需根据招标人食堂监管部门要求，持续保证环境卫生，发现问题立即整改。</w:t>
      </w:r>
    </w:p>
    <w:p w14:paraId="26D8EA24">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rPr>
      </w:pPr>
      <w:r>
        <w:rPr>
          <w:rFonts w:hint="eastAsia"/>
          <w:highlight w:val="none"/>
          <w:lang w:val="en-US" w:eastAsia="zh-CN"/>
        </w:rPr>
        <w:t>资金及费用</w:t>
      </w:r>
      <w:r>
        <w:rPr>
          <w:rFonts w:hint="eastAsia"/>
          <w:highlight w:val="none"/>
        </w:rPr>
        <w:t>要求</w:t>
      </w:r>
    </w:p>
    <w:p w14:paraId="0F4396CE">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履约保证金。中标人须在签订合同后5个工作日内，向招标人缴存人民币50万元作为履约保证金。合同期届满，若中标人已全面履行合同约定的责任和义务并已缴清所有应缴款项的，招标人在1个月内将履约保证金（不计利息）如数退还给中标人，如遇寒暑假则顺延。（投标时需提供盖章承诺函，格式自拟）。</w:t>
      </w:r>
    </w:p>
    <w:p w14:paraId="22101951">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购买保险：为确保生产安全、食品安全，中标人须为本项目购买每年保险金额不低于人民币1000万元的场地经营责任保险或餐饮场所责任保险(须涵盖有关食品安全责任险),并向学校提供保险合同、保险发票复印件备案</w:t>
      </w:r>
    </w:p>
    <w:p w14:paraId="113A23CF">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3.水、电费用按学校规定标准收取，燃气费用按佛山市三水燃气有限公司标准收取。</w:t>
      </w:r>
    </w:p>
    <w:p w14:paraId="47D9F63E">
      <w:pPr>
        <w:pageBreakBefore w:val="0"/>
        <w:numPr>
          <w:ilvl w:val="0"/>
          <w:numId w:val="0"/>
        </w:numPr>
        <w:wordWrap/>
        <w:overflowPunct/>
        <w:topLinePunct w:val="0"/>
        <w:bidi w:val="0"/>
        <w:spacing w:line="560" w:lineRule="exact"/>
        <w:ind w:left="0" w:firstLine="560" w:firstLineChars="200"/>
        <w:rPr>
          <w:rFonts w:hint="default"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4.中标人负责一卡通网关到POS机之间通信线路及POS机维护费（一卡通维护费用，按照学校规定的收取标准执行，现行标准为每台30元/月，一年按10个月缴纳）。</w:t>
      </w:r>
    </w:p>
    <w:p w14:paraId="2AD4F05A">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5.向政府交纳的费用，包括证件的办理及年审费、卫生费、税费及其他因经营承包须向政府交纳的费用由投标人按时交纳。</w:t>
      </w:r>
    </w:p>
    <w:p w14:paraId="2F1CDEE8">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6.中标人负责食堂潲水处理费用、食材废料及其他生活垃圾处理费用。（垃圾须运至招标人指定垃圾）垃圾处理费按属地相关部门要求执行。</w:t>
      </w:r>
    </w:p>
    <w:p w14:paraId="274FB5F6">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7.食堂承包经营过程中产生的与食堂有关的其他费用均由投标人承担。经营期满前一个月的营业款，将于经营期满时与采购人进行资产等交接工作完成后再结算返还。</w:t>
      </w:r>
    </w:p>
    <w:p w14:paraId="7F6C579A">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default" w:ascii="宋体" w:hAnsi="宋体" w:eastAsia="宋体" w:cs="宋体"/>
          <w:i w:val="0"/>
          <w:iCs w:val="0"/>
          <w:caps w:val="0"/>
          <w:color w:val="0F1115"/>
          <w:spacing w:val="0"/>
          <w:sz w:val="28"/>
          <w:szCs w:val="28"/>
          <w:highlight w:val="none"/>
          <w:lang w:val="en-US"/>
        </w:rPr>
      </w:pPr>
      <w:r>
        <w:rPr>
          <w:rFonts w:hint="eastAsia" w:ascii="宋体" w:hAnsi="宋体" w:eastAsia="宋体" w:cs="宋体"/>
          <w:spacing w:val="0"/>
          <w:kern w:val="21"/>
          <w:position w:val="0"/>
          <w:sz w:val="28"/>
          <w:szCs w:val="28"/>
          <w:highlight w:val="none"/>
          <w:lang w:val="en-US" w:eastAsia="zh-CN"/>
        </w:rPr>
        <w:t>8.违约金扣除：</w:t>
      </w:r>
    </w:p>
    <w:p w14:paraId="6EAC8EE8">
      <w:pPr>
        <w:pStyle w:val="14"/>
        <w:keepNext w:val="0"/>
        <w:keepLines w:val="0"/>
        <w:widowControl/>
        <w:numPr>
          <w:ilvl w:val="0"/>
          <w:numId w:val="0"/>
        </w:numPr>
        <w:suppressLineNumbers w:val="0"/>
        <w:shd w:val="clear" w:fill="FFFFFF"/>
        <w:autoSpaceDE/>
        <w:autoSpaceDN/>
        <w:spacing w:before="0" w:beforeAutospacing="0" w:after="0" w:afterAutospacing="0" w:line="560" w:lineRule="exact"/>
        <w:ind w:left="0" w:leftChars="0" w:right="0" w:firstLine="640" w:firstLineChars="0"/>
        <w:rPr>
          <w:rFonts w:hint="eastAsia" w:ascii="宋体" w:hAnsi="宋体" w:eastAsia="宋体" w:cs="宋体"/>
          <w:i w:val="0"/>
          <w:iCs w:val="0"/>
          <w:caps w:val="0"/>
          <w:color w:val="0F1115"/>
          <w:spacing w:val="0"/>
          <w:sz w:val="28"/>
          <w:szCs w:val="28"/>
          <w:highlight w:val="none"/>
        </w:rPr>
      </w:pPr>
      <w:r>
        <w:rPr>
          <w:rFonts w:hint="default" w:ascii="宋体" w:hAnsi="宋体" w:eastAsia="宋体" w:cs="宋体"/>
          <w:i w:val="0"/>
          <w:iCs w:val="0"/>
          <w:caps w:val="0"/>
          <w:snapToGrid w:val="0"/>
          <w:color w:val="0F1115"/>
          <w:spacing w:val="0"/>
          <w:kern w:val="0"/>
          <w:sz w:val="28"/>
          <w:szCs w:val="28"/>
          <w:lang w:val="en-US" w:eastAsia="zh-CN" w:bidi="ar"/>
        </w:rPr>
        <w:t>(1)</w:t>
      </w:r>
      <w:r>
        <w:rPr>
          <w:rFonts w:hint="eastAsia" w:ascii="宋体" w:hAnsi="宋体" w:eastAsia="宋体" w:cs="宋体"/>
          <w:i w:val="0"/>
          <w:iCs w:val="0"/>
          <w:caps w:val="0"/>
          <w:color w:val="0F1115"/>
          <w:spacing w:val="0"/>
          <w:sz w:val="28"/>
          <w:szCs w:val="28"/>
          <w:highlight w:val="none"/>
          <w:shd w:val="clear" w:fill="FFFFFF"/>
        </w:rPr>
        <w:t>中标人发生本</w:t>
      </w:r>
      <w:r>
        <w:rPr>
          <w:rFonts w:hint="eastAsia" w:ascii="宋体" w:hAnsi="宋体" w:eastAsia="宋体" w:cs="宋体"/>
          <w:i w:val="0"/>
          <w:iCs w:val="0"/>
          <w:caps w:val="0"/>
          <w:color w:val="0F1115"/>
          <w:spacing w:val="0"/>
          <w:sz w:val="28"/>
          <w:szCs w:val="28"/>
          <w:highlight w:val="none"/>
          <w:shd w:val="clear" w:fill="FFFFFF"/>
          <w:lang w:val="en-US" w:eastAsia="zh-CN"/>
        </w:rPr>
        <w:t>项目</w:t>
      </w:r>
      <w:r>
        <w:rPr>
          <w:rFonts w:hint="eastAsia" w:ascii="宋体" w:hAnsi="宋体" w:eastAsia="宋体" w:cs="宋体"/>
          <w:i w:val="0"/>
          <w:iCs w:val="0"/>
          <w:caps w:val="0"/>
          <w:color w:val="0F1115"/>
          <w:spacing w:val="0"/>
          <w:sz w:val="28"/>
          <w:szCs w:val="28"/>
          <w:highlight w:val="none"/>
          <w:shd w:val="clear" w:fill="FFFFFF"/>
        </w:rPr>
        <w:t>下违约行为的，招标人有权优先从未结算的营业款中直接扣除相应违约金、赔偿金或中标人应缴未缴的费用。营业款不足以支付的，招标人有权从履约保证金中扣除。</w:t>
      </w:r>
    </w:p>
    <w:p w14:paraId="00549F45">
      <w:pPr>
        <w:pStyle w:val="14"/>
        <w:keepNext w:val="0"/>
        <w:keepLines w:val="0"/>
        <w:widowControl/>
        <w:numPr>
          <w:ilvl w:val="0"/>
          <w:numId w:val="0"/>
        </w:numPr>
        <w:suppressLineNumbers w:val="0"/>
        <w:shd w:val="clear" w:fill="FFFFFF"/>
        <w:autoSpaceDE/>
        <w:autoSpaceDN/>
        <w:spacing w:before="0" w:beforeAutospacing="0" w:after="0" w:afterAutospacing="0" w:line="560" w:lineRule="exact"/>
        <w:ind w:left="0" w:leftChars="0" w:right="0" w:firstLine="640" w:firstLineChars="0"/>
        <w:rPr>
          <w:rFonts w:hint="eastAsia" w:ascii="宋体" w:hAnsi="宋体" w:eastAsia="宋体" w:cs="宋体"/>
          <w:i w:val="0"/>
          <w:iCs w:val="0"/>
          <w:caps w:val="0"/>
          <w:color w:val="0F1115"/>
          <w:spacing w:val="0"/>
          <w:sz w:val="28"/>
          <w:szCs w:val="28"/>
          <w:highlight w:val="none"/>
        </w:rPr>
      </w:pPr>
      <w:r>
        <w:rPr>
          <w:rFonts w:hint="default" w:ascii="宋体" w:hAnsi="宋体" w:eastAsia="宋体" w:cs="宋体"/>
          <w:i w:val="0"/>
          <w:iCs w:val="0"/>
          <w:caps w:val="0"/>
          <w:snapToGrid w:val="0"/>
          <w:color w:val="0F1115"/>
          <w:spacing w:val="0"/>
          <w:kern w:val="0"/>
          <w:sz w:val="28"/>
          <w:szCs w:val="28"/>
          <w:lang w:val="en-US" w:eastAsia="zh-CN" w:bidi="ar"/>
        </w:rPr>
        <w:t>(2)</w:t>
      </w:r>
      <w:r>
        <w:rPr>
          <w:rFonts w:hint="eastAsia" w:ascii="宋体" w:hAnsi="宋体" w:eastAsia="宋体" w:cs="宋体"/>
          <w:i w:val="0"/>
          <w:iCs w:val="0"/>
          <w:caps w:val="0"/>
          <w:color w:val="0F1115"/>
          <w:spacing w:val="0"/>
          <w:sz w:val="28"/>
          <w:szCs w:val="28"/>
          <w:highlight w:val="none"/>
          <w:shd w:val="clear" w:fill="FFFFFF"/>
        </w:rPr>
        <w:t>履约保证金被扣除后，中标人应在收到招标人书面通知后10个工作日内补足至原金额。逾期未补足的，每日按应补足金额的1‰向招标人支付违约金。逾期超过30日仍未补足的，招标人有权单方解除合同，并没收剩余履约保证金</w:t>
      </w:r>
      <w:r>
        <w:rPr>
          <w:rFonts w:hint="eastAsia" w:ascii="宋体" w:hAnsi="宋体" w:eastAsia="宋体" w:cs="宋体"/>
          <w:i w:val="0"/>
          <w:iCs w:val="0"/>
          <w:caps w:val="0"/>
          <w:color w:val="0F1115"/>
          <w:spacing w:val="0"/>
          <w:sz w:val="28"/>
          <w:szCs w:val="28"/>
          <w:highlight w:val="none"/>
          <w:shd w:val="clear" w:fill="FFFFFF"/>
          <w:lang w:eastAsia="zh-CN"/>
        </w:rPr>
        <w:t>，</w:t>
      </w:r>
      <w:r>
        <w:rPr>
          <w:rFonts w:hint="eastAsia" w:ascii="宋体" w:hAnsi="宋体" w:eastAsia="宋体" w:cs="宋体"/>
          <w:i w:val="0"/>
          <w:iCs w:val="0"/>
          <w:caps w:val="0"/>
          <w:color w:val="0F1115"/>
          <w:spacing w:val="0"/>
          <w:sz w:val="28"/>
          <w:szCs w:val="28"/>
          <w:highlight w:val="none"/>
          <w:shd w:val="clear" w:fill="FFFFFF"/>
        </w:rPr>
        <w:t>中标人投入的所有设施设备无偿归招标人所有。</w:t>
      </w:r>
    </w:p>
    <w:p w14:paraId="212F8A56">
      <w:pPr>
        <w:pageBreakBefore w:val="0"/>
        <w:numPr>
          <w:ilvl w:val="0"/>
          <w:numId w:val="0"/>
        </w:numPr>
        <w:wordWrap/>
        <w:overflowPunct/>
        <w:topLinePunct w:val="0"/>
        <w:bidi w:val="0"/>
        <w:spacing w:line="560" w:lineRule="exact"/>
        <w:ind w:left="0" w:firstLine="640" w:firstLineChars="0"/>
        <w:rPr>
          <w:rFonts w:hint="default" w:ascii="宋体" w:hAnsi="宋体" w:eastAsia="宋体" w:cs="宋体"/>
          <w:spacing w:val="0"/>
          <w:kern w:val="21"/>
          <w:position w:val="0"/>
          <w:sz w:val="28"/>
          <w:szCs w:val="28"/>
          <w:highlight w:val="none"/>
          <w:lang w:val="en-US" w:eastAsia="zh-CN"/>
        </w:rPr>
      </w:pPr>
      <w:r>
        <w:rPr>
          <w:rFonts w:hint="default" w:ascii="宋体" w:hAnsi="宋体" w:eastAsia="宋体" w:cs="宋体"/>
          <w:snapToGrid w:val="0"/>
          <w:color w:val="000000"/>
          <w:spacing w:val="0"/>
          <w:kern w:val="21"/>
          <w:position w:val="0"/>
          <w:sz w:val="28"/>
          <w:szCs w:val="28"/>
          <w:lang w:val="en-US" w:eastAsia="zh-CN" w:bidi="ar-SA"/>
        </w:rPr>
        <w:t>(3)</w:t>
      </w:r>
      <w:r>
        <w:rPr>
          <w:rFonts w:hint="eastAsia" w:ascii="宋体" w:hAnsi="宋体" w:eastAsia="宋体" w:cs="宋体"/>
          <w:i w:val="0"/>
          <w:iCs w:val="0"/>
          <w:caps w:val="0"/>
          <w:color w:val="0F1115"/>
          <w:spacing w:val="0"/>
          <w:sz w:val="28"/>
          <w:szCs w:val="28"/>
          <w:highlight w:val="none"/>
          <w:shd w:val="clear" w:fill="FFFFFF"/>
        </w:rPr>
        <w:t>若一卡通收取的营业款不足以支付当月中标人应缴纳的水电费、一卡通管理费等费用，中标人应在次月10日前补足差额。逾期超过5个工作日的，视为中标人根本违约，招标人有权解除合同，并没收全部履约保证金</w:t>
      </w:r>
      <w:r>
        <w:rPr>
          <w:rFonts w:hint="eastAsia" w:ascii="宋体" w:hAnsi="宋体" w:eastAsia="宋体" w:cs="宋体"/>
          <w:i w:val="0"/>
          <w:iCs w:val="0"/>
          <w:caps w:val="0"/>
          <w:color w:val="0F1115"/>
          <w:spacing w:val="0"/>
          <w:sz w:val="28"/>
          <w:szCs w:val="28"/>
          <w:highlight w:val="none"/>
          <w:shd w:val="clear" w:fill="FFFFFF"/>
          <w:lang w:eastAsia="zh-CN"/>
        </w:rPr>
        <w:t>，</w:t>
      </w:r>
      <w:r>
        <w:rPr>
          <w:rFonts w:hint="eastAsia" w:ascii="宋体" w:hAnsi="宋体" w:eastAsia="宋体" w:cs="宋体"/>
          <w:i w:val="0"/>
          <w:iCs w:val="0"/>
          <w:caps w:val="0"/>
          <w:color w:val="0F1115"/>
          <w:spacing w:val="0"/>
          <w:sz w:val="28"/>
          <w:szCs w:val="28"/>
          <w:highlight w:val="none"/>
          <w:shd w:val="clear" w:fill="FFFFFF"/>
        </w:rPr>
        <w:t>中标人投入的所有设施设备无偿归招标人所有。</w:t>
      </w:r>
    </w:p>
    <w:p w14:paraId="17498A27">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★9.投标人承诺，若办理主动退出或合同期届满移交工作时，经营期间的一切债权债务概由中标人自行负责结清，与招标人无关。合同期间不得以招标人名义与其他方签订任何合同。</w:t>
      </w:r>
    </w:p>
    <w:p w14:paraId="280F6972">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lang w:val="en-US" w:eastAsia="zh-CN"/>
        </w:rPr>
      </w:pPr>
      <w:r>
        <w:rPr>
          <w:rFonts w:hint="eastAsia"/>
          <w:highlight w:val="none"/>
          <w:lang w:val="en-US" w:eastAsia="zh-CN"/>
        </w:rPr>
        <w:t>考核机制</w:t>
      </w:r>
    </w:p>
    <w:p w14:paraId="751D938C">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（一）招标人根据实际情况的需要，每学期1次组织学校相关部门或聘请第三方进行校内餐饮企业监督检查评分，考核内容参照《校内餐饮企业监督检查评分表》，检查评分表结果运用情况如下：</w:t>
      </w:r>
    </w:p>
    <w:p w14:paraId="4B40F026">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1.80分≤总分≤90分下达整改通知书，限期整改。</w:t>
      </w:r>
    </w:p>
    <w:p w14:paraId="1E98872A">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2.60分≤总分＜80分约谈校内餐饮企业负责人，限期整改，整改后复查未达到90分以上停业整顿。</w:t>
      </w:r>
    </w:p>
    <w:p w14:paraId="63B1A46A">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3.总分＜60分约谈校内餐饮企业法人，限期整改，整改后复查未达到90分以上终止合同。</w:t>
      </w:r>
    </w:p>
    <w:p w14:paraId="00B9A373">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（二）招标人根据实际情况的需要，每学期1次组织学校相关部门或聘请第三方进行校内餐饮食堂满意度调查，调查结果运用情况如下：</w:t>
      </w:r>
    </w:p>
    <w:p w14:paraId="0774E377">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1.若满意度调查中（满意+基本满意）占比超过80%，且连续2次达到此标准，该经营企业开具为当年优秀经营证明。</w:t>
      </w:r>
    </w:p>
    <w:p w14:paraId="3939FB80">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2.若满意度调查中（满意+基本满意）占比处于60%至80%之间，则需约谈经营企业负责人，并要求其制定并执行优化方案。</w:t>
      </w:r>
    </w:p>
    <w:p w14:paraId="4D8F4B0B">
      <w:pPr>
        <w:pageBreakBefore w:val="0"/>
        <w:numPr>
          <w:ilvl w:val="0"/>
          <w:numId w:val="0"/>
        </w:numPr>
        <w:wordWrap/>
        <w:overflowPunct/>
        <w:topLinePunct w:val="0"/>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3.若满意度调查中（满意+基本满意）占比低于60%，则需约谈经营企业法人，责令其限期整改；整改1个月后，重新开展食堂满意度调查，若调查结果满意占比仍低于60%，则启动终止合同程序。</w:t>
      </w:r>
    </w:p>
    <w:p w14:paraId="583E2AC3">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lang w:val="en-US" w:eastAsia="zh-CN"/>
        </w:rPr>
      </w:pPr>
      <w:r>
        <w:rPr>
          <w:rFonts w:hint="eastAsia"/>
          <w:highlight w:val="none"/>
          <w:lang w:val="en-US" w:eastAsia="zh-CN"/>
        </w:rPr>
        <w:t>违约处罚</w:t>
      </w:r>
    </w:p>
    <w:p w14:paraId="0A6C1F6C">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eastAsia" w:ascii="宋体" w:hAnsi="宋体" w:eastAsia="宋体" w:cs="宋体"/>
          <w:i w:val="0"/>
          <w:iCs w:val="0"/>
          <w:caps w:val="0"/>
          <w:color w:val="0F1115"/>
          <w:spacing w:val="0"/>
          <w:sz w:val="28"/>
          <w:szCs w:val="28"/>
          <w:highlight w:val="none"/>
        </w:rPr>
      </w:pPr>
      <w:r>
        <w:rPr>
          <w:rStyle w:val="17"/>
          <w:rFonts w:hint="eastAsia" w:ascii="宋体" w:hAnsi="宋体" w:eastAsia="宋体" w:cs="宋体"/>
          <w:b/>
          <w:bCs/>
          <w:i w:val="0"/>
          <w:iCs w:val="0"/>
          <w:caps w:val="0"/>
          <w:color w:val="0F1115"/>
          <w:spacing w:val="0"/>
          <w:sz w:val="28"/>
          <w:szCs w:val="28"/>
          <w:highlight w:val="none"/>
          <w:shd w:val="clear" w:fill="FFFFFF"/>
        </w:rPr>
        <w:t>（一）合同期内出现下列违约行为之一的，招标人有权视情节轻重，每次从营业款中扣缴违约款1000-5000元：</w:t>
      </w:r>
    </w:p>
    <w:p w14:paraId="0927123E">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eastAsia" w:ascii="宋体" w:hAnsi="宋体" w:eastAsia="宋体" w:cs="宋体"/>
          <w:i w:val="0"/>
          <w:iCs w:val="0"/>
          <w:caps w:val="0"/>
          <w:color w:val="0F1115"/>
          <w:spacing w:val="0"/>
          <w:sz w:val="28"/>
          <w:szCs w:val="28"/>
          <w:highlight w:val="none"/>
        </w:rPr>
      </w:pPr>
      <w:r>
        <w:rPr>
          <w:rStyle w:val="17"/>
          <w:rFonts w:hint="eastAsia" w:ascii="宋体" w:hAnsi="宋体" w:eastAsia="宋体" w:cs="宋体"/>
          <w:b/>
          <w:bCs/>
          <w:i w:val="0"/>
          <w:iCs w:val="0"/>
          <w:caps w:val="0"/>
          <w:color w:val="0F1115"/>
          <w:spacing w:val="0"/>
          <w:sz w:val="28"/>
          <w:szCs w:val="28"/>
          <w:highlight w:val="none"/>
          <w:shd w:val="clear" w:fill="FFFFFF"/>
        </w:rPr>
        <w:t>1. 食品安全与卫生管理类</w:t>
      </w:r>
    </w:p>
    <w:p w14:paraId="7E0B39E2">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（1）未按规定对从业人员进行定期健康检查，从业人员未取得有效健康证明上岗，或未按规定对员工进行晨检并做好记录的；</w:t>
      </w:r>
    </w:p>
    <w:p w14:paraId="1000319E">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（2）采购的米、面、油及其他食材，被政府或招标人相关部门检测出有单项指标不合格的；</w:t>
      </w:r>
    </w:p>
    <w:p w14:paraId="5BD0E998">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（3）食品留样不符合要求或未按规定留样的；</w:t>
      </w:r>
    </w:p>
    <w:p w14:paraId="1319D6D1">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（4）就餐人员在就餐过程中发现食堂饭菜中有蚊、蝇、虫等不卫生食品，一经查实或经市场监督管理部门通报处理的；</w:t>
      </w:r>
    </w:p>
    <w:p w14:paraId="314FCC2A">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（5）存在食品安全问题受到行政管理部门监督处罚，影响学校声誉的；</w:t>
      </w:r>
    </w:p>
    <w:p w14:paraId="114DA810">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rPr>
        <w:t>（6）未按规定建立电子台账做好记录的。</w:t>
      </w:r>
    </w:p>
    <w:p w14:paraId="0DC104D3">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eastAsia" w:ascii="宋体" w:hAnsi="宋体" w:eastAsia="宋体" w:cs="宋体"/>
          <w:i w:val="0"/>
          <w:iCs w:val="0"/>
          <w:caps w:val="0"/>
          <w:color w:val="0F1115"/>
          <w:spacing w:val="0"/>
          <w:sz w:val="28"/>
          <w:szCs w:val="28"/>
          <w:highlight w:val="none"/>
        </w:rPr>
      </w:pPr>
      <w:r>
        <w:rPr>
          <w:rStyle w:val="17"/>
          <w:rFonts w:hint="eastAsia" w:ascii="宋体" w:hAnsi="宋体" w:eastAsia="宋体" w:cs="宋体"/>
          <w:b/>
          <w:bCs/>
          <w:i w:val="0"/>
          <w:iCs w:val="0"/>
          <w:caps w:val="0"/>
          <w:color w:val="0F1115"/>
          <w:spacing w:val="0"/>
          <w:sz w:val="28"/>
          <w:szCs w:val="28"/>
          <w:highlight w:val="none"/>
          <w:shd w:val="clear" w:fill="FFFFFF"/>
          <w:lang w:eastAsia="zh-CN"/>
        </w:rPr>
        <w:t>2</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w:t>
      </w:r>
      <w:r>
        <w:rPr>
          <w:rStyle w:val="17"/>
          <w:rFonts w:hint="eastAsia" w:ascii="宋体" w:hAnsi="宋体" w:eastAsia="宋体" w:cs="宋体"/>
          <w:b/>
          <w:bCs/>
          <w:i w:val="0"/>
          <w:iCs w:val="0"/>
          <w:caps w:val="0"/>
          <w:color w:val="0F1115"/>
          <w:spacing w:val="0"/>
          <w:sz w:val="28"/>
          <w:szCs w:val="28"/>
          <w:highlight w:val="none"/>
          <w:shd w:val="clear" w:fill="FFFFFF"/>
        </w:rPr>
        <w:t>经营与价格管理类</w:t>
      </w:r>
    </w:p>
    <w:p w14:paraId="40C17E65">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（7）违反学校伙食高、中、低档菜比例及品种管理要求的；</w:t>
      </w:r>
    </w:p>
    <w:p w14:paraId="6EBECBF4">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（8）学生食堂大众餐窗口比例、菜式菜品菜价不符合要求的；</w:t>
      </w:r>
    </w:p>
    <w:p w14:paraId="07840131">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（9）未在招标文件需求明确的经营范围内经营的；</w:t>
      </w:r>
    </w:p>
    <w:p w14:paraId="430A2D9B">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（10）新增或改变经营项目，未报招标人批准的；</w:t>
      </w:r>
    </w:p>
    <w:p w14:paraId="7B150C05">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（11）</w:t>
      </w:r>
      <w:r>
        <w:rPr>
          <w:rFonts w:hint="eastAsia" w:ascii="宋体" w:hAnsi="宋体" w:eastAsia="宋体" w:cs="宋体"/>
          <w:i w:val="0"/>
          <w:iCs w:val="0"/>
          <w:caps w:val="0"/>
          <w:color w:val="0F1115"/>
          <w:spacing w:val="0"/>
          <w:sz w:val="28"/>
          <w:szCs w:val="28"/>
          <w:highlight w:val="none"/>
          <w:shd w:val="clear" w:fill="FFFFFF"/>
          <w:lang w:val="en-US" w:eastAsia="zh-CN"/>
        </w:rPr>
        <w:t>自行设置收费端，</w:t>
      </w:r>
      <w:r>
        <w:rPr>
          <w:rFonts w:hint="eastAsia" w:ascii="宋体" w:hAnsi="宋体" w:eastAsia="宋体" w:cs="宋体"/>
          <w:i w:val="0"/>
          <w:iCs w:val="0"/>
          <w:caps w:val="0"/>
          <w:color w:val="0F1115"/>
          <w:spacing w:val="0"/>
          <w:sz w:val="28"/>
          <w:szCs w:val="28"/>
          <w:highlight w:val="none"/>
          <w:shd w:val="clear" w:fill="FFFFFF"/>
        </w:rPr>
        <w:t>或者使用非招标人审核同意的</w:t>
      </w:r>
      <w:r>
        <w:rPr>
          <w:rFonts w:hint="eastAsia" w:ascii="宋体" w:hAnsi="宋体" w:eastAsia="宋体" w:cs="宋体"/>
          <w:i w:val="0"/>
          <w:iCs w:val="0"/>
          <w:caps w:val="0"/>
          <w:color w:val="0F1115"/>
          <w:spacing w:val="0"/>
          <w:sz w:val="28"/>
          <w:szCs w:val="28"/>
          <w:highlight w:val="none"/>
          <w:shd w:val="clear" w:fill="FFFFFF"/>
          <w:lang w:val="en-US" w:eastAsia="zh-CN"/>
        </w:rPr>
        <w:t>收费方式或者</w:t>
      </w:r>
      <w:r>
        <w:rPr>
          <w:rFonts w:hint="eastAsia" w:ascii="宋体" w:hAnsi="宋体" w:eastAsia="宋体" w:cs="宋体"/>
          <w:i w:val="0"/>
          <w:iCs w:val="0"/>
          <w:caps w:val="0"/>
          <w:color w:val="0F1115"/>
          <w:spacing w:val="0"/>
          <w:sz w:val="28"/>
          <w:szCs w:val="28"/>
          <w:highlight w:val="none"/>
          <w:shd w:val="clear" w:fill="FFFFFF"/>
        </w:rPr>
        <w:t>账户收取费用的。</w:t>
      </w:r>
    </w:p>
    <w:p w14:paraId="4FAF747D">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eastAsia" w:ascii="宋体" w:hAnsi="宋体" w:eastAsia="宋体" w:cs="宋体"/>
          <w:i w:val="0"/>
          <w:iCs w:val="0"/>
          <w:caps w:val="0"/>
          <w:color w:val="0F1115"/>
          <w:spacing w:val="0"/>
          <w:sz w:val="28"/>
          <w:szCs w:val="28"/>
          <w:highlight w:val="none"/>
        </w:rPr>
      </w:pPr>
      <w:r>
        <w:rPr>
          <w:rStyle w:val="17"/>
          <w:rFonts w:hint="eastAsia" w:ascii="宋体" w:hAnsi="宋体" w:eastAsia="宋体" w:cs="宋体"/>
          <w:b/>
          <w:bCs/>
          <w:i w:val="0"/>
          <w:iCs w:val="0"/>
          <w:caps w:val="0"/>
          <w:color w:val="0F1115"/>
          <w:spacing w:val="0"/>
          <w:sz w:val="28"/>
          <w:szCs w:val="28"/>
          <w:highlight w:val="none"/>
          <w:shd w:val="clear" w:fill="FFFFFF"/>
          <w:lang w:eastAsia="zh-CN"/>
        </w:rPr>
        <w:t>3</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w:t>
      </w:r>
      <w:r>
        <w:rPr>
          <w:rStyle w:val="17"/>
          <w:rFonts w:hint="eastAsia" w:ascii="宋体" w:hAnsi="宋体" w:eastAsia="宋体" w:cs="宋体"/>
          <w:b/>
          <w:bCs/>
          <w:i w:val="0"/>
          <w:iCs w:val="0"/>
          <w:caps w:val="0"/>
          <w:color w:val="0F1115"/>
          <w:spacing w:val="0"/>
          <w:sz w:val="28"/>
          <w:szCs w:val="28"/>
          <w:highlight w:val="none"/>
          <w:shd w:val="clear" w:fill="FFFFFF"/>
        </w:rPr>
        <w:t>环境与安全管理类</w:t>
      </w:r>
    </w:p>
    <w:p w14:paraId="160E2CF9">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（12）未根据政府和学校的相关规定做好“门前三包”的；</w:t>
      </w:r>
    </w:p>
    <w:p w14:paraId="01892981">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（13）未定期对房屋和食堂内的电、水、燃气主线、管道等设备进行保养的；</w:t>
      </w:r>
    </w:p>
    <w:p w14:paraId="31DF4324">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（14）未按招标人规定处理餐厨垃圾、生活垃圾的；</w:t>
      </w:r>
    </w:p>
    <w:p w14:paraId="78FC77DA">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638" w:firstLineChars="228"/>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rPr>
        <w:t>（15）违反消防法规，有下列行为之一的：</w:t>
      </w:r>
    </w:p>
    <w:p w14:paraId="43153835">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638" w:firstLineChars="228"/>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rPr>
        <w:t>① 未保持消防设施、器材和消防安全标志完好有效；</w:t>
      </w:r>
    </w:p>
    <w:p w14:paraId="3D874BA4">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638" w:firstLineChars="228"/>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rPr>
        <w:t>② 圈占、埋压、遮挡消防栓或者占用防火间距；</w:t>
      </w:r>
    </w:p>
    <w:p w14:paraId="1E3D58D5">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638" w:firstLineChars="228"/>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rPr>
        <w:t>③ 损坏、挪用或者擅自拆除消防设施、器材；</w:t>
      </w:r>
    </w:p>
    <w:p w14:paraId="66DF1A21">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638" w:firstLineChars="228"/>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rPr>
        <w:t>④ 占用、堵塞、封闭疏散通道、安全出口或者其他妨碍安全疏散行为的；</w:t>
      </w:r>
    </w:p>
    <w:p w14:paraId="22F94F88">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638" w:firstLineChars="228"/>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rPr>
        <w:t>⑤ 不按消防法规装修、装饰，装修、装饰材料的防火性能不符合国家标准和行为标准，不能提供具有法定效力的检验合格证明；</w:t>
      </w:r>
    </w:p>
    <w:p w14:paraId="0295B9C5">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638" w:firstLineChars="228"/>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⑥ 过失引起火灾，未及时采取有效的消防措施，尚未造成严重损失。</w:t>
      </w:r>
    </w:p>
    <w:p w14:paraId="4EDDA78C">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eastAsia" w:ascii="宋体" w:hAnsi="宋体" w:eastAsia="宋体" w:cs="宋体"/>
          <w:i w:val="0"/>
          <w:iCs w:val="0"/>
          <w:caps w:val="0"/>
          <w:color w:val="0F1115"/>
          <w:spacing w:val="0"/>
          <w:sz w:val="28"/>
          <w:szCs w:val="28"/>
          <w:highlight w:val="none"/>
        </w:rPr>
      </w:pPr>
      <w:r>
        <w:rPr>
          <w:rStyle w:val="17"/>
          <w:rFonts w:hint="eastAsia" w:ascii="宋体" w:hAnsi="宋体" w:eastAsia="宋体" w:cs="宋体"/>
          <w:b/>
          <w:bCs/>
          <w:i w:val="0"/>
          <w:iCs w:val="0"/>
          <w:caps w:val="0"/>
          <w:color w:val="0F1115"/>
          <w:spacing w:val="0"/>
          <w:sz w:val="28"/>
          <w:szCs w:val="28"/>
          <w:highlight w:val="none"/>
          <w:shd w:val="clear" w:fill="FFFFFF"/>
          <w:lang w:eastAsia="zh-CN"/>
        </w:rPr>
        <w:t>4</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w:t>
      </w:r>
      <w:r>
        <w:rPr>
          <w:rStyle w:val="17"/>
          <w:rFonts w:hint="eastAsia" w:ascii="宋体" w:hAnsi="宋体" w:eastAsia="宋体" w:cs="宋体"/>
          <w:b/>
          <w:bCs/>
          <w:i w:val="0"/>
          <w:iCs w:val="0"/>
          <w:caps w:val="0"/>
          <w:color w:val="0F1115"/>
          <w:spacing w:val="0"/>
          <w:sz w:val="28"/>
          <w:szCs w:val="28"/>
          <w:highlight w:val="none"/>
          <w:shd w:val="clear" w:fill="FFFFFF"/>
        </w:rPr>
        <w:t>服务与用工管理类</w:t>
      </w:r>
    </w:p>
    <w:p w14:paraId="289C2473">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（16）中标人工作人员与师生发生矛盾或冲突或有不文明表现的；</w:t>
      </w:r>
    </w:p>
    <w:p w14:paraId="182CC40E">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（1</w:t>
      </w:r>
      <w:r>
        <w:rPr>
          <w:rFonts w:hint="eastAsia" w:ascii="宋体" w:hAnsi="宋体" w:eastAsia="宋体" w:cs="宋体"/>
          <w:i w:val="0"/>
          <w:iCs w:val="0"/>
          <w:caps w:val="0"/>
          <w:color w:val="0F1115"/>
          <w:spacing w:val="0"/>
          <w:sz w:val="28"/>
          <w:szCs w:val="28"/>
          <w:highlight w:val="none"/>
          <w:shd w:val="clear" w:fill="FFFFFF"/>
          <w:lang w:eastAsia="zh-CN"/>
        </w:rPr>
        <w:t>7</w:t>
      </w:r>
      <w:r>
        <w:rPr>
          <w:rFonts w:hint="eastAsia" w:ascii="宋体" w:hAnsi="宋体" w:eastAsia="宋体" w:cs="宋体"/>
          <w:i w:val="0"/>
          <w:iCs w:val="0"/>
          <w:caps w:val="0"/>
          <w:color w:val="0F1115"/>
          <w:spacing w:val="0"/>
          <w:sz w:val="28"/>
          <w:szCs w:val="28"/>
          <w:highlight w:val="none"/>
          <w:shd w:val="clear" w:fill="FFFFFF"/>
        </w:rPr>
        <w:t>）夜间经营时间超过23:00，影响到周边居民受到投诉的；</w:t>
      </w:r>
    </w:p>
    <w:p w14:paraId="2A429D15">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（1</w:t>
      </w:r>
      <w:r>
        <w:rPr>
          <w:rFonts w:hint="eastAsia" w:ascii="宋体" w:hAnsi="宋体" w:eastAsia="宋体" w:cs="宋体"/>
          <w:i w:val="0"/>
          <w:iCs w:val="0"/>
          <w:caps w:val="0"/>
          <w:color w:val="0F1115"/>
          <w:spacing w:val="0"/>
          <w:sz w:val="28"/>
          <w:szCs w:val="28"/>
          <w:highlight w:val="none"/>
          <w:shd w:val="clear" w:fill="FFFFFF"/>
          <w:lang w:eastAsia="zh-CN"/>
        </w:rPr>
        <w:t>8</w:t>
      </w:r>
      <w:r>
        <w:rPr>
          <w:rFonts w:hint="eastAsia" w:ascii="宋体" w:hAnsi="宋体" w:eastAsia="宋体" w:cs="宋体"/>
          <w:i w:val="0"/>
          <w:iCs w:val="0"/>
          <w:caps w:val="0"/>
          <w:color w:val="0F1115"/>
          <w:spacing w:val="0"/>
          <w:sz w:val="28"/>
          <w:szCs w:val="28"/>
          <w:highlight w:val="none"/>
          <w:shd w:val="clear" w:fill="FFFFFF"/>
        </w:rPr>
        <w:t>）用工不规范的，如未持健康证上岗、未按时支付员工薪酬或购买保险等；</w:t>
      </w:r>
    </w:p>
    <w:p w14:paraId="38D465CD">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w:t>
      </w:r>
      <w:r>
        <w:rPr>
          <w:rFonts w:hint="eastAsia" w:ascii="宋体" w:hAnsi="宋体" w:eastAsia="宋体" w:cs="宋体"/>
          <w:i w:val="0"/>
          <w:iCs w:val="0"/>
          <w:caps w:val="0"/>
          <w:color w:val="0F1115"/>
          <w:spacing w:val="0"/>
          <w:sz w:val="28"/>
          <w:szCs w:val="28"/>
          <w:highlight w:val="none"/>
          <w:shd w:val="clear" w:fill="FFFFFF"/>
          <w:lang w:eastAsia="zh-CN"/>
        </w:rPr>
        <w:t>1</w:t>
      </w:r>
      <w:r>
        <w:rPr>
          <w:rFonts w:hint="eastAsia" w:ascii="宋体" w:hAnsi="宋体" w:eastAsia="宋体" w:cs="宋体"/>
          <w:i w:val="0"/>
          <w:iCs w:val="0"/>
          <w:caps w:val="0"/>
          <w:color w:val="0F1115"/>
          <w:spacing w:val="0"/>
          <w:sz w:val="28"/>
          <w:szCs w:val="28"/>
          <w:highlight w:val="none"/>
          <w:shd w:val="clear" w:fill="FFFFFF"/>
          <w:lang w:val="en-US" w:eastAsia="zh-CN"/>
        </w:rPr>
        <w:t>9</w:t>
      </w:r>
      <w:r>
        <w:rPr>
          <w:rFonts w:hint="eastAsia" w:ascii="宋体" w:hAnsi="宋体" w:eastAsia="宋体" w:cs="宋体"/>
          <w:i w:val="0"/>
          <w:iCs w:val="0"/>
          <w:caps w:val="0"/>
          <w:color w:val="0F1115"/>
          <w:spacing w:val="0"/>
          <w:sz w:val="28"/>
          <w:szCs w:val="28"/>
          <w:highlight w:val="none"/>
          <w:shd w:val="clear" w:fill="FFFFFF"/>
        </w:rPr>
        <w:t>）不配合或协助校方开展的节日公益活动、大型会议、贫困助学等活动的；</w:t>
      </w:r>
    </w:p>
    <w:p w14:paraId="649780FC">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（2</w:t>
      </w:r>
      <w:r>
        <w:rPr>
          <w:rFonts w:hint="eastAsia" w:ascii="宋体" w:hAnsi="宋体" w:eastAsia="宋体" w:cs="宋体"/>
          <w:i w:val="0"/>
          <w:iCs w:val="0"/>
          <w:caps w:val="0"/>
          <w:color w:val="0F1115"/>
          <w:spacing w:val="0"/>
          <w:sz w:val="28"/>
          <w:szCs w:val="28"/>
          <w:highlight w:val="none"/>
          <w:shd w:val="clear" w:fill="FFFFFF"/>
          <w:lang w:eastAsia="zh-CN"/>
        </w:rPr>
        <w:t>0</w:t>
      </w:r>
      <w:r>
        <w:rPr>
          <w:rFonts w:hint="eastAsia" w:ascii="宋体" w:hAnsi="宋体" w:eastAsia="宋体" w:cs="宋体"/>
          <w:i w:val="0"/>
          <w:iCs w:val="0"/>
          <w:caps w:val="0"/>
          <w:color w:val="0F1115"/>
          <w:spacing w:val="0"/>
          <w:sz w:val="28"/>
          <w:szCs w:val="28"/>
          <w:highlight w:val="none"/>
          <w:shd w:val="clear" w:fill="FFFFFF"/>
        </w:rPr>
        <w:t>）不设置公告栏，或未对执法检查、整改通知报告、食品检查报告、货物采购来源证书及国家相关规定的资质证书等进行公示的；</w:t>
      </w:r>
    </w:p>
    <w:p w14:paraId="79C0CE74">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rPr>
        <w:t>（2</w:t>
      </w:r>
      <w:r>
        <w:rPr>
          <w:rFonts w:hint="eastAsia" w:ascii="宋体" w:hAnsi="宋体" w:eastAsia="宋体" w:cs="宋体"/>
          <w:i w:val="0"/>
          <w:iCs w:val="0"/>
          <w:caps w:val="0"/>
          <w:color w:val="0F1115"/>
          <w:spacing w:val="0"/>
          <w:sz w:val="28"/>
          <w:szCs w:val="28"/>
          <w:highlight w:val="none"/>
          <w:shd w:val="clear" w:fill="FFFFFF"/>
          <w:lang w:eastAsia="zh-CN"/>
        </w:rPr>
        <w:t>1</w:t>
      </w:r>
      <w:r>
        <w:rPr>
          <w:rFonts w:hint="eastAsia" w:ascii="宋体" w:hAnsi="宋体" w:eastAsia="宋体" w:cs="宋体"/>
          <w:i w:val="0"/>
          <w:iCs w:val="0"/>
          <w:caps w:val="0"/>
          <w:color w:val="0F1115"/>
          <w:spacing w:val="0"/>
          <w:sz w:val="28"/>
          <w:szCs w:val="28"/>
          <w:highlight w:val="none"/>
          <w:shd w:val="clear" w:fill="FFFFFF"/>
        </w:rPr>
        <w:t>）因食品价格、质量、卫生和服务等引发舆情，未在24小时内采取有效应对措施或未妥善处理的；</w:t>
      </w:r>
    </w:p>
    <w:p w14:paraId="497F24A9">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eastAsia" w:ascii="宋体" w:hAnsi="宋体" w:eastAsia="宋体" w:cs="宋体"/>
          <w:i w:val="0"/>
          <w:iCs w:val="0"/>
          <w:caps w:val="0"/>
          <w:color w:val="0F1115"/>
          <w:spacing w:val="0"/>
          <w:sz w:val="28"/>
          <w:szCs w:val="28"/>
          <w:highlight w:val="none"/>
        </w:rPr>
      </w:pPr>
      <w:r>
        <w:rPr>
          <w:rStyle w:val="17"/>
          <w:rFonts w:hint="eastAsia" w:ascii="宋体" w:hAnsi="宋体" w:eastAsia="宋体" w:cs="宋体"/>
          <w:b/>
          <w:bCs/>
          <w:i w:val="0"/>
          <w:iCs w:val="0"/>
          <w:caps w:val="0"/>
          <w:color w:val="0F1115"/>
          <w:spacing w:val="0"/>
          <w:sz w:val="28"/>
          <w:szCs w:val="28"/>
          <w:highlight w:val="none"/>
          <w:shd w:val="clear" w:fill="FFFFFF"/>
          <w:lang w:eastAsia="zh-CN"/>
        </w:rPr>
        <w:t>5</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w:t>
      </w:r>
      <w:r>
        <w:rPr>
          <w:rStyle w:val="17"/>
          <w:rFonts w:hint="eastAsia" w:ascii="宋体" w:hAnsi="宋体" w:eastAsia="宋体" w:cs="宋体"/>
          <w:b/>
          <w:bCs/>
          <w:i w:val="0"/>
          <w:iCs w:val="0"/>
          <w:caps w:val="0"/>
          <w:color w:val="0F1115"/>
          <w:spacing w:val="0"/>
          <w:sz w:val="28"/>
          <w:szCs w:val="28"/>
          <w:highlight w:val="none"/>
          <w:shd w:val="clear" w:fill="FFFFFF"/>
        </w:rPr>
        <w:t>其他违约行为</w:t>
      </w:r>
    </w:p>
    <w:p w14:paraId="3D5B1194">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（2</w:t>
      </w:r>
      <w:r>
        <w:rPr>
          <w:rFonts w:hint="eastAsia" w:ascii="宋体" w:hAnsi="宋体" w:eastAsia="宋体" w:cs="宋体"/>
          <w:i w:val="0"/>
          <w:iCs w:val="0"/>
          <w:caps w:val="0"/>
          <w:color w:val="0F1115"/>
          <w:spacing w:val="0"/>
          <w:sz w:val="28"/>
          <w:szCs w:val="28"/>
          <w:highlight w:val="none"/>
          <w:shd w:val="clear" w:fill="FFFFFF"/>
          <w:lang w:eastAsia="zh-CN"/>
        </w:rPr>
        <w:t>2</w:t>
      </w:r>
      <w:r>
        <w:rPr>
          <w:rFonts w:hint="eastAsia" w:ascii="宋体" w:hAnsi="宋体" w:eastAsia="宋体" w:cs="宋体"/>
          <w:i w:val="0"/>
          <w:iCs w:val="0"/>
          <w:caps w:val="0"/>
          <w:color w:val="0F1115"/>
          <w:spacing w:val="0"/>
          <w:sz w:val="28"/>
          <w:szCs w:val="28"/>
          <w:highlight w:val="none"/>
          <w:shd w:val="clear" w:fill="FFFFFF"/>
        </w:rPr>
        <w:t>）在经营范围内播放或展示广告的权利属于校方；未经招标人允许，中标人私自利用经营场所承接广告的；</w:t>
      </w:r>
    </w:p>
    <w:p w14:paraId="65B58371">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rPr>
        <w:t>（2</w:t>
      </w:r>
      <w:r>
        <w:rPr>
          <w:rFonts w:hint="eastAsia" w:ascii="宋体" w:hAnsi="宋体" w:eastAsia="宋体" w:cs="宋体"/>
          <w:i w:val="0"/>
          <w:iCs w:val="0"/>
          <w:caps w:val="0"/>
          <w:color w:val="0F1115"/>
          <w:spacing w:val="0"/>
          <w:sz w:val="28"/>
          <w:szCs w:val="28"/>
          <w:highlight w:val="none"/>
          <w:shd w:val="clear" w:fill="FFFFFF"/>
          <w:lang w:eastAsia="zh-CN"/>
        </w:rPr>
        <w:t>3</w:t>
      </w:r>
      <w:r>
        <w:rPr>
          <w:rFonts w:hint="eastAsia" w:ascii="宋体" w:hAnsi="宋体" w:eastAsia="宋体" w:cs="宋体"/>
          <w:i w:val="0"/>
          <w:iCs w:val="0"/>
          <w:caps w:val="0"/>
          <w:color w:val="0F1115"/>
          <w:spacing w:val="0"/>
          <w:sz w:val="28"/>
          <w:szCs w:val="28"/>
          <w:highlight w:val="none"/>
          <w:shd w:val="clear" w:fill="FFFFFF"/>
        </w:rPr>
        <w:t>）中标人拒不执行质监、工商、食监、环保等政府部门及招标人相关监督部门检查发出普通整改通知且未及时整改完成的。</w:t>
      </w:r>
    </w:p>
    <w:p w14:paraId="17756DEE">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default"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lang w:eastAsia="zh-CN"/>
        </w:rPr>
        <w:t>（</w:t>
      </w:r>
      <w:r>
        <w:rPr>
          <w:rFonts w:hint="eastAsia" w:ascii="宋体" w:hAnsi="宋体" w:eastAsia="宋体" w:cs="宋体"/>
          <w:i w:val="0"/>
          <w:iCs w:val="0"/>
          <w:caps w:val="0"/>
          <w:color w:val="0F1115"/>
          <w:spacing w:val="0"/>
          <w:sz w:val="28"/>
          <w:szCs w:val="28"/>
          <w:highlight w:val="none"/>
          <w:shd w:val="clear" w:fill="FFFFFF"/>
          <w:lang w:val="en-US" w:eastAsia="zh-CN"/>
        </w:rPr>
        <w:t>24</w:t>
      </w:r>
      <w:r>
        <w:rPr>
          <w:rFonts w:hint="eastAsia" w:ascii="宋体" w:hAnsi="宋体" w:eastAsia="宋体" w:cs="宋体"/>
          <w:i w:val="0"/>
          <w:iCs w:val="0"/>
          <w:caps w:val="0"/>
          <w:color w:val="0F1115"/>
          <w:spacing w:val="0"/>
          <w:sz w:val="28"/>
          <w:szCs w:val="28"/>
          <w:highlight w:val="none"/>
          <w:shd w:val="clear" w:fill="FFFFFF"/>
          <w:lang w:eastAsia="zh-CN"/>
        </w:rPr>
        <w:t>）</w:t>
      </w:r>
      <w:r>
        <w:rPr>
          <w:rFonts w:hint="eastAsia" w:ascii="宋体" w:hAnsi="宋体" w:eastAsia="宋体" w:cs="宋体"/>
          <w:i w:val="0"/>
          <w:iCs w:val="0"/>
          <w:caps w:val="0"/>
          <w:color w:val="0F1115"/>
          <w:spacing w:val="0"/>
          <w:sz w:val="28"/>
          <w:szCs w:val="28"/>
          <w:highlight w:val="none"/>
          <w:shd w:val="clear" w:fill="FFFFFF"/>
          <w:lang w:val="en-US" w:eastAsia="zh-CN"/>
        </w:rPr>
        <w:t>其他不符合本项目需求内容的违约行为。</w:t>
      </w:r>
    </w:p>
    <w:p w14:paraId="1CFFF0B9">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Style w:val="17"/>
          <w:rFonts w:hint="eastAsia" w:ascii="宋体" w:hAnsi="宋体" w:eastAsia="宋体" w:cs="宋体"/>
          <w:b/>
          <w:bCs/>
          <w:i w:val="0"/>
          <w:iCs w:val="0"/>
          <w:caps w:val="0"/>
          <w:color w:val="0F1115"/>
          <w:spacing w:val="0"/>
          <w:sz w:val="28"/>
          <w:szCs w:val="28"/>
          <w:highlight w:val="none"/>
          <w:shd w:val="clear" w:fill="FFFFFF"/>
          <w:lang w:val="en-US" w:eastAsia="zh-CN"/>
        </w:rPr>
      </w:pP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二</w:t>
      </w: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人员变更违约</w:t>
      </w:r>
    </w:p>
    <w:p w14:paraId="2127AFF0">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Style w:val="17"/>
          <w:rFonts w:hint="default" w:ascii="宋体" w:hAnsi="宋体" w:eastAsia="宋体" w:cs="宋体"/>
          <w:b/>
          <w:bCs/>
          <w:i w:val="0"/>
          <w:iCs w:val="0"/>
          <w:caps w:val="0"/>
          <w:color w:val="0F1115"/>
          <w:spacing w:val="0"/>
          <w:sz w:val="28"/>
          <w:szCs w:val="28"/>
          <w:highlight w:val="none"/>
          <w:shd w:val="clear" w:fill="FFFFFF"/>
          <w:lang w:val="en-US" w:eastAsia="zh-CN"/>
        </w:rPr>
      </w:pPr>
      <w:r>
        <w:rPr>
          <w:rFonts w:hint="eastAsia" w:ascii="宋体" w:hAnsi="宋体" w:eastAsia="宋体" w:cs="宋体"/>
          <w:i w:val="0"/>
          <w:iCs w:val="0"/>
          <w:caps w:val="0"/>
          <w:color w:val="0F1115"/>
          <w:spacing w:val="0"/>
          <w:sz w:val="28"/>
          <w:szCs w:val="28"/>
          <w:highlight w:val="none"/>
          <w:shd w:val="clear" w:fill="FFFFFF"/>
        </w:rPr>
        <w:t>未经招标人同意，擅自变更项目经理的，自违约行为发生之月起，每月从营业款中扣除违约金人民币</w:t>
      </w:r>
      <w:r>
        <w:rPr>
          <w:rFonts w:hint="eastAsia" w:ascii="宋体" w:hAnsi="宋体" w:eastAsia="宋体" w:cs="宋体"/>
          <w:i w:val="0"/>
          <w:iCs w:val="0"/>
          <w:caps w:val="0"/>
          <w:color w:val="0F1115"/>
          <w:spacing w:val="0"/>
          <w:sz w:val="28"/>
          <w:szCs w:val="28"/>
          <w:highlight w:val="none"/>
          <w:shd w:val="clear" w:fill="FFFFFF"/>
          <w:lang w:val="en-US" w:eastAsia="zh-CN"/>
        </w:rPr>
        <w:t>1</w:t>
      </w:r>
      <w:r>
        <w:rPr>
          <w:rFonts w:hint="eastAsia" w:ascii="宋体" w:hAnsi="宋体" w:eastAsia="宋体" w:cs="宋体"/>
          <w:i w:val="0"/>
          <w:iCs w:val="0"/>
          <w:caps w:val="0"/>
          <w:color w:val="0F1115"/>
          <w:spacing w:val="0"/>
          <w:sz w:val="28"/>
          <w:szCs w:val="28"/>
          <w:highlight w:val="none"/>
          <w:shd w:val="clear" w:fill="FFFFFF"/>
        </w:rPr>
        <w:t>万元，直至纠正违约行为并经招标人书面同意之日止。</w:t>
      </w:r>
    </w:p>
    <w:p w14:paraId="5D34AEBF">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eastAsia" w:ascii="宋体" w:hAnsi="宋体" w:eastAsia="宋体" w:cs="宋体"/>
          <w:i w:val="0"/>
          <w:iCs w:val="0"/>
          <w:caps w:val="0"/>
          <w:color w:val="0F1115"/>
          <w:spacing w:val="0"/>
          <w:sz w:val="28"/>
          <w:szCs w:val="28"/>
          <w:highlight w:val="none"/>
        </w:rPr>
      </w:pP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三</w:t>
      </w: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rPr>
        <w:t>视频监控系统安装专项违约</w:t>
      </w:r>
    </w:p>
    <w:p w14:paraId="2906394F">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中标人如果开餐前没有安装“视频监控”（明厨亮灶）系统，中标人应支付违约金5万元，学校有权从履约保证金中扣除。中标人还应继续完成“视频监控”（明厨亮灶）的安装，直至符合要求为止。</w:t>
      </w:r>
    </w:p>
    <w:p w14:paraId="48517517">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eastAsia" w:ascii="宋体" w:hAnsi="宋体" w:eastAsia="宋体" w:cs="宋体"/>
          <w:i w:val="0"/>
          <w:iCs w:val="0"/>
          <w:caps w:val="0"/>
          <w:color w:val="0F1115"/>
          <w:spacing w:val="0"/>
          <w:sz w:val="28"/>
          <w:szCs w:val="28"/>
          <w:highlight w:val="none"/>
        </w:rPr>
      </w:pP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四</w:t>
      </w: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rPr>
        <w:t>延期开餐违约</w:t>
      </w:r>
    </w:p>
    <w:p w14:paraId="6A5DBAD4">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0"/>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i w:val="0"/>
          <w:iCs w:val="0"/>
          <w:caps w:val="0"/>
          <w:color w:val="0F1115"/>
          <w:spacing w:val="0"/>
          <w:sz w:val="28"/>
          <w:szCs w:val="28"/>
          <w:highlight w:val="none"/>
          <w:shd w:val="clear" w:fill="FFFFFF"/>
          <w:lang w:val="en-US" w:eastAsia="zh-CN"/>
        </w:rPr>
        <w:t>除不可抗力外，</w:t>
      </w:r>
      <w:r>
        <w:rPr>
          <w:rFonts w:hint="eastAsia" w:ascii="宋体" w:hAnsi="宋体" w:eastAsia="宋体" w:cs="宋体"/>
          <w:i w:val="0"/>
          <w:iCs w:val="0"/>
          <w:caps w:val="0"/>
          <w:color w:val="0F1115"/>
          <w:spacing w:val="0"/>
          <w:sz w:val="28"/>
          <w:szCs w:val="28"/>
          <w:highlight w:val="none"/>
          <w:shd w:val="clear" w:fill="FFFFFF"/>
        </w:rPr>
        <w:t>中标人未按合同约定或招标人书面通知的时间和要求，完成开餐准备或提供正常膳食服务的，每延期一日（或每发生一次），应向招标人支付违约金5万元。如超过3日仍不能正常开餐，招标人有权单方解除合同，并全额没收履约保证金，中标人投入的所有设施设备无偿归招标人所有。</w:t>
      </w:r>
    </w:p>
    <w:p w14:paraId="51FDDDDE">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default" w:ascii="宋体" w:hAnsi="宋体" w:eastAsia="宋体" w:cs="宋体"/>
          <w:i w:val="0"/>
          <w:iCs w:val="0"/>
          <w:caps w:val="0"/>
          <w:color w:val="0F1115"/>
          <w:spacing w:val="0"/>
          <w:sz w:val="28"/>
          <w:szCs w:val="28"/>
          <w:highlight w:val="none"/>
          <w:lang w:val="en-US"/>
        </w:rPr>
      </w:pP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五</w:t>
      </w: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撤场违约</w:t>
      </w:r>
    </w:p>
    <w:p w14:paraId="706285F7">
      <w:pPr>
        <w:keepNext w:val="0"/>
        <w:keepLines w:val="0"/>
        <w:widowControl/>
        <w:numPr>
          <w:ilvl w:val="0"/>
          <w:numId w:val="0"/>
        </w:numPr>
        <w:suppressLineNumbers w:val="0"/>
        <w:shd w:val="clear" w:fill="FFFFFF"/>
        <w:autoSpaceDE/>
        <w:autoSpaceDN/>
        <w:spacing w:before="0" w:beforeAutospacing="0" w:after="0" w:afterAutospacing="0"/>
        <w:ind w:left="0" w:leftChars="0" w:right="0" w:firstLine="560" w:firstLineChars="200"/>
        <w:rPr>
          <w:rFonts w:hint="eastAsia" w:ascii="宋体" w:hAnsi="宋体" w:eastAsia="宋体" w:cs="宋体"/>
          <w:i w:val="0"/>
          <w:iCs w:val="0"/>
          <w:caps w:val="0"/>
          <w:color w:val="0F1115"/>
          <w:spacing w:val="0"/>
          <w:sz w:val="28"/>
          <w:szCs w:val="28"/>
          <w:highlight w:val="none"/>
          <w:shd w:val="clear" w:fill="FFFFFF"/>
        </w:rPr>
      </w:pPr>
      <w:r>
        <w:rPr>
          <w:rFonts w:hint="eastAsia" w:ascii="宋体" w:hAnsi="宋体" w:eastAsia="宋体" w:cs="宋体"/>
          <w:spacing w:val="0"/>
          <w:kern w:val="21"/>
          <w:position w:val="0"/>
          <w:sz w:val="28"/>
          <w:szCs w:val="28"/>
          <w:highlight w:val="none"/>
          <w:lang w:val="en-US" w:eastAsia="zh-CN"/>
        </w:rPr>
        <w:t>中标人收到招标人食堂监管部门的撤场函通知撤场日期起7日内完成撤场相关事宜，未按时完成撤场的，投标人投入的全部资产及设备（如有）均无偿归招标人所有，招标人可自行处置；如拒不配合招标人撤场，超过完成撤场日期3日的，招标人可以扣除履约保证金和经营期满前一个月的营业款，造成损失由投标人承担。</w:t>
      </w:r>
    </w:p>
    <w:p w14:paraId="3F66C131">
      <w:pPr>
        <w:pStyle w:val="14"/>
        <w:keepNext w:val="0"/>
        <w:keepLines w:val="0"/>
        <w:widowControl/>
        <w:numPr>
          <w:ilvl w:val="-1"/>
          <w:numId w:val="0"/>
        </w:numPr>
        <w:suppressLineNumbers w:val="0"/>
        <w:shd w:val="clear" w:fill="FFFFFF"/>
        <w:autoSpaceDE/>
        <w:autoSpaceDN/>
        <w:spacing w:before="0" w:beforeAutospacing="0" w:after="0" w:afterAutospacing="0" w:line="560" w:lineRule="exact"/>
        <w:ind w:left="0" w:leftChars="0" w:right="0" w:firstLine="562"/>
        <w:rPr>
          <w:rFonts w:hint="eastAsia" w:ascii="宋体" w:hAnsi="宋体" w:eastAsia="宋体" w:cs="宋体"/>
          <w:i w:val="0"/>
          <w:iCs w:val="0"/>
          <w:caps w:val="0"/>
          <w:color w:val="0F1115"/>
          <w:spacing w:val="0"/>
          <w:sz w:val="28"/>
          <w:szCs w:val="28"/>
          <w:highlight w:val="none"/>
        </w:rPr>
      </w:pP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lang w:val="en-US" w:eastAsia="zh-CN"/>
        </w:rPr>
        <w:t>六</w:t>
      </w:r>
      <w:r>
        <w:rPr>
          <w:rStyle w:val="17"/>
          <w:rFonts w:hint="eastAsia" w:ascii="宋体" w:hAnsi="宋体" w:eastAsia="宋体" w:cs="宋体"/>
          <w:b/>
          <w:bCs/>
          <w:i w:val="0"/>
          <w:iCs w:val="0"/>
          <w:caps w:val="0"/>
          <w:color w:val="0F1115"/>
          <w:spacing w:val="0"/>
          <w:sz w:val="28"/>
          <w:szCs w:val="28"/>
          <w:highlight w:val="none"/>
          <w:shd w:val="clear" w:fill="FFFFFF"/>
          <w:lang w:eastAsia="zh-CN"/>
        </w:rPr>
        <w:t>）</w:t>
      </w:r>
      <w:r>
        <w:rPr>
          <w:rStyle w:val="17"/>
          <w:rFonts w:hint="eastAsia" w:ascii="宋体" w:hAnsi="宋体" w:eastAsia="宋体" w:cs="宋体"/>
          <w:b/>
          <w:bCs/>
          <w:i w:val="0"/>
          <w:iCs w:val="0"/>
          <w:caps w:val="0"/>
          <w:color w:val="0F1115"/>
          <w:spacing w:val="0"/>
          <w:sz w:val="28"/>
          <w:szCs w:val="28"/>
          <w:highlight w:val="none"/>
          <w:shd w:val="clear" w:fill="FFFFFF"/>
        </w:rPr>
        <w:t>其他违约责任</w:t>
      </w:r>
    </w:p>
    <w:p w14:paraId="11969B3A">
      <w:pPr>
        <w:pStyle w:val="14"/>
        <w:keepNext w:val="0"/>
        <w:keepLines w:val="0"/>
        <w:widowControl/>
        <w:numPr>
          <w:ilvl w:val="0"/>
          <w:numId w:val="9"/>
        </w:numPr>
        <w:suppressLineNumbers w:val="0"/>
        <w:shd w:val="clear" w:fill="FFFFFF"/>
        <w:autoSpaceDE/>
        <w:autoSpaceDN/>
        <w:spacing w:before="0" w:beforeAutospacing="0" w:after="0" w:afterAutospacing="0" w:line="560" w:lineRule="exact"/>
        <w:ind w:left="0" w:leftChars="0" w:right="0" w:firstLine="400" w:firstLineChars="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中标人若不履行投标时的承诺或合同，招标人可代为执行中标人的承诺事项，费用由中标人承担；若中标人不支付相关费用，招标人将从中标人的营业款中扣除相关费用，营业款不足以支付的，招标人将从中标人的履约保证金中扣除，后由中标人补足履约保证金。</w:t>
      </w:r>
    </w:p>
    <w:p w14:paraId="11F3B2B3">
      <w:pPr>
        <w:pStyle w:val="14"/>
        <w:keepNext w:val="0"/>
        <w:keepLines w:val="0"/>
        <w:widowControl/>
        <w:numPr>
          <w:ilvl w:val="0"/>
          <w:numId w:val="9"/>
        </w:numPr>
        <w:suppressLineNumbers w:val="0"/>
        <w:shd w:val="clear" w:fill="FFFFFF"/>
        <w:autoSpaceDE/>
        <w:autoSpaceDN/>
        <w:spacing w:before="0" w:beforeAutospacing="0" w:after="0" w:afterAutospacing="0" w:line="560" w:lineRule="exact"/>
        <w:ind w:left="0" w:leftChars="0" w:right="0" w:firstLine="400" w:firstLineChars="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因中标人及员工原因，导致各类损失、赔偿或处罚的，由中标人支付。若中标人的违约行为给招标人造成的损失（包括但不限于招标人为此向第三方支出的赔偿金、律师费等各项费用），中标人应当向招标人赔偿。招标人有权用中标人的营业结算款进行支付，营业结算款不足以支付的，招标人可从履约保证金扣除，后由中标人补足履约保证金。</w:t>
      </w:r>
    </w:p>
    <w:p w14:paraId="22B92772">
      <w:pPr>
        <w:pStyle w:val="14"/>
        <w:keepNext w:val="0"/>
        <w:keepLines w:val="0"/>
        <w:widowControl/>
        <w:numPr>
          <w:ilvl w:val="0"/>
          <w:numId w:val="9"/>
        </w:numPr>
        <w:suppressLineNumbers w:val="0"/>
        <w:shd w:val="clear" w:fill="FFFFFF"/>
        <w:autoSpaceDE/>
        <w:autoSpaceDN/>
        <w:spacing w:before="0" w:beforeAutospacing="0" w:after="0" w:afterAutospacing="0" w:line="560" w:lineRule="exact"/>
        <w:ind w:left="0" w:leftChars="0" w:right="0" w:firstLine="400" w:firstLineChars="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因食堂经营被政府部门处罚，罚款由中标人承担外，并承担违约责任。</w:t>
      </w:r>
    </w:p>
    <w:p w14:paraId="4F2ED765">
      <w:pPr>
        <w:pStyle w:val="14"/>
        <w:keepNext w:val="0"/>
        <w:keepLines w:val="0"/>
        <w:widowControl/>
        <w:numPr>
          <w:ilvl w:val="0"/>
          <w:numId w:val="9"/>
        </w:numPr>
        <w:suppressLineNumbers w:val="0"/>
        <w:shd w:val="clear" w:fill="FFFFFF"/>
        <w:autoSpaceDE/>
        <w:autoSpaceDN/>
        <w:spacing w:before="0" w:beforeAutospacing="0" w:after="0" w:afterAutospacing="0" w:line="560" w:lineRule="exact"/>
        <w:ind w:left="0" w:leftChars="0" w:right="0" w:firstLine="400" w:firstLineChars="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中标人及中标人人员造成招标人及招标人人员或第三方人员财产和人身损失的，损失由中标人承担外，并承担违约责任。</w:t>
      </w:r>
    </w:p>
    <w:p w14:paraId="1EBAF2E1">
      <w:pPr>
        <w:pStyle w:val="14"/>
        <w:keepNext w:val="0"/>
        <w:keepLines w:val="0"/>
        <w:widowControl/>
        <w:numPr>
          <w:ilvl w:val="0"/>
          <w:numId w:val="9"/>
        </w:numPr>
        <w:suppressLineNumbers w:val="0"/>
        <w:shd w:val="clear" w:fill="FFFFFF"/>
        <w:autoSpaceDE/>
        <w:autoSpaceDN/>
        <w:spacing w:before="0" w:beforeAutospacing="0" w:after="0" w:afterAutospacing="0" w:line="560" w:lineRule="exact"/>
        <w:ind w:left="0" w:leftChars="0" w:right="0" w:firstLine="400" w:firstLineChars="0"/>
        <w:rPr>
          <w:rFonts w:hint="eastAsia" w:ascii="宋体" w:hAnsi="宋体" w:eastAsia="宋体" w:cs="宋体"/>
          <w:i w:val="0"/>
          <w:iCs w:val="0"/>
          <w:caps w:val="0"/>
          <w:color w:val="0F1115"/>
          <w:spacing w:val="0"/>
          <w:sz w:val="28"/>
          <w:szCs w:val="28"/>
          <w:highlight w:val="none"/>
        </w:rPr>
      </w:pPr>
      <w:r>
        <w:rPr>
          <w:rFonts w:hint="eastAsia" w:ascii="宋体" w:hAnsi="宋体" w:eastAsia="宋体" w:cs="宋体"/>
          <w:i w:val="0"/>
          <w:iCs w:val="0"/>
          <w:caps w:val="0"/>
          <w:color w:val="0F1115"/>
          <w:spacing w:val="0"/>
          <w:sz w:val="28"/>
          <w:szCs w:val="28"/>
          <w:highlight w:val="none"/>
          <w:shd w:val="clear" w:fill="FFFFFF"/>
        </w:rPr>
        <w:t>其它违约责任按《中华人民共和国民法典》处理及本合同有关规定执行。</w:t>
      </w:r>
    </w:p>
    <w:p w14:paraId="5C05E1CE">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rPr>
      </w:pPr>
      <w:r>
        <w:rPr>
          <w:rFonts w:hint="eastAsia"/>
          <w:highlight w:val="none"/>
          <w:lang w:val="en-US" w:eastAsia="zh-CN"/>
        </w:rPr>
        <w:t>退出条款</w:t>
      </w:r>
    </w:p>
    <w:p w14:paraId="0CB3069C">
      <w:pPr>
        <w:numPr>
          <w:ilvl w:val="0"/>
          <w:numId w:val="0"/>
        </w:numPr>
        <w:autoSpaceDE/>
        <w:autoSpaceDN/>
        <w:spacing w:line="560" w:lineRule="exact"/>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（一）主动退出</w:t>
      </w:r>
    </w:p>
    <w:p w14:paraId="2C69C49F">
      <w:pPr>
        <w:numPr>
          <w:ilvl w:val="0"/>
          <w:numId w:val="0"/>
        </w:numPr>
        <w:autoSpaceDE/>
        <w:autoSpaceDN/>
        <w:spacing w:line="560" w:lineRule="exact"/>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合同未到期中标人主动提出终止合同的，中标人须提前3个月向招标人提出申请，与招标人协商并经书面同意后可提前解除协议。中标人缴存的履约保证金不予退还，中标人还须签署退场协议并按照本合同中关于撤场的规定处理。</w:t>
      </w:r>
    </w:p>
    <w:p w14:paraId="67D0E381">
      <w:pPr>
        <w:numPr>
          <w:ilvl w:val="0"/>
          <w:numId w:val="0"/>
        </w:numPr>
        <w:autoSpaceDE/>
        <w:autoSpaceDN/>
        <w:spacing w:line="560" w:lineRule="exact"/>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（二）被动退出</w:t>
      </w:r>
    </w:p>
    <w:p w14:paraId="1B11A70D">
      <w:pPr>
        <w:pageBreakBefore w:val="0"/>
        <w:numPr>
          <w:ilvl w:val="0"/>
          <w:numId w:val="0"/>
        </w:numPr>
        <w:wordWrap/>
        <w:overflowPunct/>
        <w:topLinePunct w:val="0"/>
        <w:autoSpaceDE/>
        <w:autoSpaceDN/>
        <w:bidi w:val="0"/>
        <w:spacing w:line="560" w:lineRule="exact"/>
        <w:ind w:left="0" w:firstLine="560" w:firstLineChars="20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出现下列情况之一的，中标人除承担法律和经济责任外，</w:t>
      </w:r>
      <w:r>
        <w:rPr>
          <w:rFonts w:hint="eastAsia" w:ascii="宋体" w:hAnsi="宋体" w:eastAsia="宋体" w:cs="宋体"/>
          <w:i w:val="0"/>
          <w:iCs w:val="0"/>
          <w:caps w:val="0"/>
          <w:color w:val="0F1115"/>
          <w:spacing w:val="0"/>
          <w:sz w:val="28"/>
          <w:szCs w:val="28"/>
          <w:highlight w:val="none"/>
          <w:shd w:val="clear" w:fill="FFFFFF"/>
        </w:rPr>
        <w:t>中标人所投入的所有固定资产和不动产（如有）归招标人所有，且履约保证金和未结算的营业款不予退还，如有造成其他经济损失的，按实际发生额计算。中标人经营期间所发生的其他相关债务，与招标人无关</w:t>
      </w:r>
      <w:r>
        <w:rPr>
          <w:rFonts w:hint="eastAsia" w:ascii="宋体" w:hAnsi="宋体" w:eastAsia="宋体" w:cs="宋体"/>
          <w:spacing w:val="0"/>
          <w:kern w:val="21"/>
          <w:position w:val="0"/>
          <w:sz w:val="28"/>
          <w:szCs w:val="28"/>
          <w:highlight w:val="none"/>
          <w:lang w:val="en-US" w:eastAsia="zh-CN"/>
        </w:rPr>
        <w:t>。</w:t>
      </w:r>
    </w:p>
    <w:p w14:paraId="2FFE8B4F">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中标人因食品安全、安全生产等问题，造成师生食物中毒（一般食品安全事故及以上等级的）或其他食源性疾病等重大安全事故的。</w:t>
      </w:r>
    </w:p>
    <w:p w14:paraId="70DBE1BC">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因食品价格、质量、卫生和服务等引发学生罢餐、静坐、游行等群体性事件。</w:t>
      </w:r>
    </w:p>
    <w:p w14:paraId="3C694D07">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经营过程中存在转包、分包经营或挂靠经营行为的。</w:t>
      </w:r>
    </w:p>
    <w:p w14:paraId="0B001886">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i w:val="0"/>
          <w:iCs w:val="0"/>
          <w:caps w:val="0"/>
          <w:color w:val="0F1115"/>
          <w:spacing w:val="0"/>
          <w:sz w:val="28"/>
          <w:szCs w:val="28"/>
          <w:highlight w:val="none"/>
          <w:shd w:val="clear" w:fill="FFFFFF"/>
        </w:rPr>
        <w:t>经营期内，中标人擅自停止经营或退出经营的</w:t>
      </w:r>
      <w:r>
        <w:rPr>
          <w:rFonts w:hint="eastAsia" w:ascii="宋体" w:hAnsi="宋体" w:eastAsia="宋体" w:cs="宋体"/>
          <w:i w:val="0"/>
          <w:iCs w:val="0"/>
          <w:caps w:val="0"/>
          <w:color w:val="0F1115"/>
          <w:spacing w:val="0"/>
          <w:sz w:val="28"/>
          <w:szCs w:val="28"/>
          <w:highlight w:val="none"/>
          <w:shd w:val="clear" w:fill="FFFFFF"/>
          <w:lang w:eastAsia="zh-CN"/>
        </w:rPr>
        <w:t>。</w:t>
      </w:r>
    </w:p>
    <w:p w14:paraId="587F7915">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在经营过程中，因中标人过失导致一方或双方被行政处罚或其他违反法律法规导致严重后果的行为的。</w:t>
      </w:r>
    </w:p>
    <w:p w14:paraId="0DCB4B9A">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在经营过程中，存在掺杂做假、销售无证食品、未按规定经营范围等违规行为，经学校规劝、限期整改依然无效且情节严重的。</w:t>
      </w:r>
    </w:p>
    <w:p w14:paraId="16D03DE4">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因中标人责任，导致在经营期限内未取得食品经营许可证等市场监管部门要求的相关资质的。</w:t>
      </w:r>
    </w:p>
    <w:p w14:paraId="1DB1BA9C">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未按合同约定建立相关制度或执行制度不力，经营管理混乱，存在食品安全隐患，被市场监督管理部门下达整改且限期整改不力的或者一年内被市场监管部门行政处罚、通报（包括暗访）3次以上的；</w:t>
      </w:r>
    </w:p>
    <w:p w14:paraId="37241284">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招投标时以弄虚作假等欺诈手段获得准入资格，或经营情况发生变化不符合准入条件的。</w:t>
      </w:r>
    </w:p>
    <w:p w14:paraId="4D77992F">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中标人拒绝接受招标人监督管理，经招标人通知整改后不予整改，且影响食堂正常经营的；</w:t>
      </w:r>
    </w:p>
    <w:p w14:paraId="0B76D242">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与学校或学校工作人员间存在商业贿赂等不正当经营行为的；</w:t>
      </w:r>
    </w:p>
    <w:p w14:paraId="7273872E">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中标人人员在校园存放危险品或实施违法犯罪或损坏公共利益等行为；</w:t>
      </w:r>
    </w:p>
    <w:p w14:paraId="50CC4565">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因中标人或中标人人员引发较大负面舆论影响的。</w:t>
      </w:r>
    </w:p>
    <w:p w14:paraId="17268A9D">
      <w:pPr>
        <w:pageBreakBefore w:val="0"/>
        <w:numPr>
          <w:ilvl w:val="0"/>
          <w:numId w:val="10"/>
        </w:numPr>
        <w:wordWrap/>
        <w:overflowPunct/>
        <w:topLinePunct w:val="0"/>
        <w:autoSpaceDE/>
        <w:autoSpaceDN/>
        <w:bidi w:val="0"/>
        <w:spacing w:line="560" w:lineRule="exact"/>
        <w:ind w:left="5" w:leftChars="0"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中标人被列入严重违法失信名单。</w:t>
      </w:r>
    </w:p>
    <w:p w14:paraId="15985BAA">
      <w:pPr>
        <w:numPr>
          <w:ilvl w:val="0"/>
          <w:numId w:val="10"/>
        </w:numPr>
        <w:autoSpaceDE/>
        <w:autoSpaceDN/>
        <w:spacing w:line="560" w:lineRule="exact"/>
        <w:ind w:left="5" w:firstLine="635" w:firstLineChars="0"/>
        <w:rPr>
          <w:rFonts w:hint="eastAsia" w:ascii="宋体" w:hAnsi="宋体" w:eastAsia="宋体" w:cs="宋体"/>
          <w:spacing w:val="0"/>
          <w:kern w:val="21"/>
          <w:position w:val="0"/>
          <w:sz w:val="28"/>
          <w:szCs w:val="28"/>
          <w:highlight w:val="none"/>
          <w:lang w:val="en-US" w:eastAsia="zh-CN"/>
        </w:rPr>
      </w:pPr>
      <w:r>
        <w:rPr>
          <w:rFonts w:hint="eastAsia" w:ascii="宋体" w:hAnsi="宋体" w:eastAsia="宋体" w:cs="宋体"/>
          <w:spacing w:val="0"/>
          <w:kern w:val="21"/>
          <w:position w:val="0"/>
          <w:sz w:val="28"/>
          <w:szCs w:val="28"/>
          <w:highlight w:val="none"/>
          <w:lang w:val="en-US" w:eastAsia="zh-CN"/>
        </w:rPr>
        <w:t>其他违反合同规定，拒不整改或整改后仍未达到要求的。</w:t>
      </w:r>
    </w:p>
    <w:p w14:paraId="7924647D">
      <w:pPr>
        <w:numPr>
          <w:ilvl w:val="0"/>
          <w:numId w:val="0"/>
        </w:numPr>
        <w:autoSpaceDE/>
        <w:autoSpaceDN/>
        <w:spacing w:line="560" w:lineRule="exact"/>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（三）合同终止交接</w:t>
      </w:r>
    </w:p>
    <w:p w14:paraId="4AEF28F3">
      <w:pPr>
        <w:numPr>
          <w:ilvl w:val="0"/>
          <w:numId w:val="11"/>
        </w:numPr>
        <w:autoSpaceDE/>
        <w:autoSpaceDN/>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合同期届满或终止，中标人须在招标人规定的日期前结束营业或主动退出。</w:t>
      </w:r>
    </w:p>
    <w:p w14:paraId="0DC3C5FD">
      <w:pPr>
        <w:numPr>
          <w:ilvl w:val="0"/>
          <w:numId w:val="11"/>
        </w:numPr>
        <w:autoSpaceDE/>
        <w:autoSpaceDN/>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合同期届满或终止后一个月内，中标人缴清所有款项（包括违约金等），双方共同组成退场交接小组：</w:t>
      </w:r>
    </w:p>
    <w:p w14:paraId="4EAE0577">
      <w:pPr>
        <w:numPr>
          <w:ilvl w:val="0"/>
          <w:numId w:val="12"/>
        </w:numPr>
        <w:autoSpaceDE/>
        <w:autoSpaceDN/>
        <w:spacing w:line="560" w:lineRule="exact"/>
        <w:ind w:left="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中标人自行或出资委托第三方清理中标人所有设施设备，恢复招标人场地及配套设施原状；经过招标人审核，双方签字确认后移交工作完成，招标人按照合同约定退还相应履约保证金。</w:t>
      </w:r>
    </w:p>
    <w:p w14:paraId="4698BF3F">
      <w:pPr>
        <w:numPr>
          <w:ilvl w:val="0"/>
          <w:numId w:val="12"/>
        </w:numPr>
        <w:autoSpaceDE/>
        <w:autoSpaceDN/>
        <w:spacing w:line="560" w:lineRule="exact"/>
        <w:ind w:left="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经招标人书面同意，中标人部分或全部设施设备可以不用清场的，双方共同对场地及保留的设施设备清单（中标人所投入的所有设施设备及全部的装修费用，招标人不做任何的折旧或补偿）进行核对，经过招标人审核，双方签字确认后移交工作完成。</w:t>
      </w:r>
    </w:p>
    <w:p w14:paraId="4ACF330F">
      <w:pPr>
        <w:numPr>
          <w:ilvl w:val="0"/>
          <w:numId w:val="11"/>
        </w:numPr>
        <w:autoSpaceDE/>
        <w:autoSpaceDN/>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办理移交工作时，中标人须出具有效承诺书，承诺合同期间的一切债权债务概由中标人自行负责结清，与招标人无关。</w:t>
      </w:r>
    </w:p>
    <w:p w14:paraId="37FFCECC">
      <w:pPr>
        <w:numPr>
          <w:ilvl w:val="0"/>
          <w:numId w:val="11"/>
        </w:numPr>
        <w:autoSpaceDE/>
        <w:autoSpaceDN/>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合同期届满或终止，中标人应当限期内退场（具体期限以招标人通知为准）。中标人逾期退场的，</w:t>
      </w:r>
      <w:r>
        <w:rPr>
          <w:rFonts w:hint="eastAsia" w:ascii="宋体" w:hAnsi="宋体" w:eastAsia="宋体" w:cs="宋体"/>
          <w:sz w:val="28"/>
          <w:szCs w:val="28"/>
          <w:highlight w:val="none"/>
          <w:lang w:eastAsia="zh-CN"/>
        </w:rPr>
        <w:t>按</w:t>
      </w:r>
      <w:r>
        <w:rPr>
          <w:rFonts w:hint="eastAsia" w:ascii="宋体" w:hAnsi="宋体" w:eastAsia="宋体" w:cs="宋体"/>
          <w:sz w:val="28"/>
          <w:szCs w:val="28"/>
          <w:highlight w:val="none"/>
          <w:lang w:val="en-US" w:eastAsia="zh-CN"/>
        </w:rPr>
        <w:t>撤场违约处理</w:t>
      </w:r>
      <w:r>
        <w:rPr>
          <w:rFonts w:hint="eastAsia" w:ascii="宋体" w:hAnsi="宋体" w:eastAsia="宋体" w:cs="宋体"/>
          <w:sz w:val="28"/>
          <w:szCs w:val="28"/>
          <w:highlight w:val="none"/>
        </w:rPr>
        <w:t>。</w:t>
      </w:r>
    </w:p>
    <w:p w14:paraId="7A3D11F5">
      <w:pPr>
        <w:numPr>
          <w:ilvl w:val="0"/>
          <w:numId w:val="11"/>
        </w:numPr>
        <w:autoSpaceDE/>
        <w:autoSpaceDN/>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中标人若违约被招标人解除协议强制退场等情况，参照上述规定执行。</w:t>
      </w:r>
    </w:p>
    <w:p w14:paraId="4D7ED65F">
      <w:pPr>
        <w:numPr>
          <w:ilvl w:val="0"/>
          <w:numId w:val="11"/>
        </w:numPr>
        <w:autoSpaceDE/>
        <w:autoSpaceDN/>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因国家政策调整、学校规划变更等不可归责于双方的原因，或不可抗力因素导致合同无法履行的，双方互不承担违约责任，招标人退还履约保证金（不计利息），不承担中标人资产折旧费用，双方可按实际情况另行协商解决。</w:t>
      </w:r>
    </w:p>
    <w:p w14:paraId="0128F020">
      <w:pPr>
        <w:pageBreakBefore w:val="0"/>
        <w:numPr>
          <w:ilvl w:val="-1"/>
          <w:numId w:val="0"/>
        </w:numPr>
        <w:wordWrap/>
        <w:overflowPunct/>
        <w:topLinePunct w:val="0"/>
        <w:bidi w:val="0"/>
        <w:spacing w:line="560" w:lineRule="exact"/>
        <w:ind w:left="635" w:leftChars="0" w:firstLine="0" w:firstLineChars="0"/>
        <w:rPr>
          <w:rFonts w:hint="eastAsia" w:ascii="宋体" w:hAnsi="宋体" w:eastAsia="宋体" w:cs="宋体"/>
          <w:spacing w:val="0"/>
          <w:kern w:val="21"/>
          <w:position w:val="0"/>
          <w:sz w:val="28"/>
          <w:szCs w:val="28"/>
          <w:highlight w:val="none"/>
          <w:lang w:val="en-US" w:eastAsia="zh-CN"/>
        </w:rPr>
      </w:pPr>
    </w:p>
    <w:p w14:paraId="5B476749">
      <w:pPr>
        <w:pStyle w:val="3"/>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highlight w:val="none"/>
        </w:rPr>
      </w:pPr>
      <w:r>
        <w:rPr>
          <w:rFonts w:hint="eastAsia"/>
          <w:highlight w:val="none"/>
          <w:lang w:val="en-US" w:eastAsia="zh-CN"/>
        </w:rPr>
        <w:t>校内餐饮企业监督检查评分表</w:t>
      </w:r>
    </w:p>
    <w:tbl>
      <w:tblPr>
        <w:tblStyle w:val="15"/>
        <w:tblW w:w="588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45"/>
        <w:gridCol w:w="580"/>
        <w:gridCol w:w="5238"/>
        <w:gridCol w:w="2213"/>
        <w:gridCol w:w="1411"/>
      </w:tblGrid>
      <w:tr w14:paraId="5CEA0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09" w:hRule="atLeast"/>
          <w:tblHeader/>
          <w:jc w:val="center"/>
        </w:trPr>
        <w:tc>
          <w:tcPr>
            <w:tcW w:w="498" w:type="pct"/>
            <w:noWrap w:val="0"/>
            <w:vAlign w:val="center"/>
          </w:tcPr>
          <w:p w14:paraId="0B43F764">
            <w:pPr>
              <w:numPr>
                <w:ilvl w:val="0"/>
                <w:numId w:val="0"/>
              </w:numPr>
              <w:autoSpaceDE w:val="0"/>
              <w:autoSpaceDN w:val="0"/>
              <w:adjustRightInd w:val="0"/>
              <w:snapToGrid w:val="0"/>
              <w:spacing w:line="320" w:lineRule="exact"/>
              <w:ind w:left="64" w:leftChars="20" w:right="64" w:rightChars="20" w:firstLine="0" w:firstLineChars="0"/>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检查项目</w:t>
            </w:r>
          </w:p>
        </w:tc>
        <w:tc>
          <w:tcPr>
            <w:tcW w:w="276" w:type="pct"/>
            <w:noWrap w:val="0"/>
            <w:vAlign w:val="center"/>
          </w:tcPr>
          <w:p w14:paraId="312B5426">
            <w:pPr>
              <w:numPr>
                <w:ilvl w:val="0"/>
                <w:numId w:val="0"/>
              </w:numPr>
              <w:autoSpaceDE w:val="0"/>
              <w:autoSpaceDN w:val="0"/>
              <w:adjustRightInd w:val="0"/>
              <w:snapToGrid w:val="0"/>
              <w:spacing w:line="320" w:lineRule="exact"/>
              <w:ind w:left="64" w:leftChars="20" w:right="64" w:rightChars="20" w:firstLine="0" w:firstLineChars="0"/>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序号</w:t>
            </w:r>
          </w:p>
        </w:tc>
        <w:tc>
          <w:tcPr>
            <w:tcW w:w="2497" w:type="pct"/>
            <w:noWrap w:val="0"/>
            <w:vAlign w:val="center"/>
          </w:tcPr>
          <w:p w14:paraId="46534A9E">
            <w:pPr>
              <w:numPr>
                <w:ilvl w:val="0"/>
                <w:numId w:val="0"/>
              </w:numPr>
              <w:autoSpaceDE w:val="0"/>
              <w:autoSpaceDN w:val="0"/>
              <w:adjustRightInd w:val="0"/>
              <w:snapToGrid w:val="0"/>
              <w:spacing w:line="320" w:lineRule="exact"/>
              <w:ind w:left="64" w:leftChars="20" w:right="64" w:rightChars="20" w:firstLine="0" w:firstLineChars="0"/>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检查内容</w:t>
            </w:r>
          </w:p>
        </w:tc>
        <w:tc>
          <w:tcPr>
            <w:tcW w:w="1055" w:type="pct"/>
            <w:noWrap w:val="0"/>
            <w:vAlign w:val="center"/>
          </w:tcPr>
          <w:p w14:paraId="5E46EA54">
            <w:pPr>
              <w:numPr>
                <w:ilvl w:val="0"/>
                <w:numId w:val="0"/>
              </w:numPr>
              <w:autoSpaceDE w:val="0"/>
              <w:autoSpaceDN w:val="0"/>
              <w:adjustRightInd w:val="0"/>
              <w:snapToGrid w:val="0"/>
              <w:spacing w:line="320" w:lineRule="exact"/>
              <w:ind w:left="64" w:leftChars="20" w:right="64" w:rightChars="20" w:firstLine="0" w:firstLineChars="0"/>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评分</w:t>
            </w:r>
          </w:p>
        </w:tc>
        <w:tc>
          <w:tcPr>
            <w:tcW w:w="672" w:type="pct"/>
            <w:noWrap w:val="0"/>
            <w:vAlign w:val="center"/>
          </w:tcPr>
          <w:p w14:paraId="559C3F0E">
            <w:pPr>
              <w:numPr>
                <w:ilvl w:val="0"/>
                <w:numId w:val="0"/>
              </w:numPr>
              <w:autoSpaceDE w:val="0"/>
              <w:autoSpaceDN w:val="0"/>
              <w:adjustRightInd w:val="0"/>
              <w:snapToGrid w:val="0"/>
              <w:spacing w:line="320" w:lineRule="exact"/>
              <w:ind w:left="64" w:leftChars="20" w:right="64" w:rightChars="20" w:firstLine="0" w:firstLineChars="0"/>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总分（100）</w:t>
            </w:r>
          </w:p>
        </w:tc>
      </w:tr>
      <w:tr w14:paraId="7A43F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restart"/>
            <w:noWrap w:val="0"/>
            <w:vAlign w:val="center"/>
          </w:tcPr>
          <w:p w14:paraId="2F715B69">
            <w:pPr>
              <w:widowControl/>
              <w:numPr>
                <w:ilvl w:val="0"/>
                <w:numId w:val="0"/>
              </w:numPr>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一、信息公示</w:t>
            </w:r>
          </w:p>
        </w:tc>
        <w:tc>
          <w:tcPr>
            <w:tcW w:w="276" w:type="pct"/>
            <w:noWrap w:val="0"/>
            <w:vAlign w:val="center"/>
          </w:tcPr>
          <w:p w14:paraId="392A15E2">
            <w:pPr>
              <w:numPr>
                <w:ilvl w:val="0"/>
                <w:numId w:val="0"/>
              </w:numPr>
              <w:autoSpaceDE w:val="0"/>
              <w:autoSpaceDN w:val="0"/>
              <w:adjustRightInd w:val="0"/>
              <w:snapToGrid w:val="0"/>
              <w:spacing w:line="320" w:lineRule="exact"/>
              <w:ind w:left="64" w:leftChars="20" w:right="64" w:rightChars="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2497" w:type="pct"/>
            <w:noWrap w:val="0"/>
            <w:vAlign w:val="center"/>
          </w:tcPr>
          <w:p w14:paraId="6BEFDB2A">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“互联网+明厨亮灶”设备设施运转正常</w:t>
            </w:r>
          </w:p>
        </w:tc>
        <w:tc>
          <w:tcPr>
            <w:tcW w:w="2213" w:type="dxa"/>
            <w:noWrap w:val="0"/>
            <w:vAlign w:val="center"/>
          </w:tcPr>
          <w:p w14:paraId="3F0A76EB">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center"/>
          </w:tcPr>
          <w:p w14:paraId="783E7B91">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p>
        </w:tc>
      </w:tr>
      <w:tr w14:paraId="48C74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52" w:hRule="atLeast"/>
          <w:jc w:val="center"/>
        </w:trPr>
        <w:tc>
          <w:tcPr>
            <w:tcW w:w="498" w:type="pct"/>
            <w:vMerge w:val="continue"/>
            <w:noWrap w:val="0"/>
            <w:vAlign w:val="center"/>
          </w:tcPr>
          <w:p w14:paraId="44F5C680">
            <w:pPr>
              <w:widowControl/>
              <w:numPr>
                <w:ilvl w:val="0"/>
                <w:numId w:val="0"/>
              </w:numPr>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p>
        </w:tc>
        <w:tc>
          <w:tcPr>
            <w:tcW w:w="276" w:type="pct"/>
            <w:noWrap w:val="0"/>
            <w:vAlign w:val="center"/>
          </w:tcPr>
          <w:p w14:paraId="3A51CBE0">
            <w:pPr>
              <w:numPr>
                <w:ilvl w:val="0"/>
                <w:numId w:val="0"/>
              </w:numPr>
              <w:autoSpaceDE w:val="0"/>
              <w:autoSpaceDN w:val="0"/>
              <w:adjustRightInd w:val="0"/>
              <w:snapToGrid w:val="0"/>
              <w:spacing w:line="320" w:lineRule="exact"/>
              <w:ind w:left="64" w:leftChars="20" w:right="64" w:rightChars="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2497" w:type="pct"/>
            <w:noWrap w:val="0"/>
            <w:vAlign w:val="center"/>
          </w:tcPr>
          <w:p w14:paraId="53102D34">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查验校内经营企业经营资质</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从业人员健康证及上一次日常监督检查记录表等齐全。企业食品安全管理员持证在岗，完成高风险食品原料和菜谱排查</w:t>
            </w:r>
          </w:p>
        </w:tc>
        <w:tc>
          <w:tcPr>
            <w:tcW w:w="2213" w:type="dxa"/>
            <w:noWrap w:val="0"/>
            <w:vAlign w:val="center"/>
          </w:tcPr>
          <w:p w14:paraId="0465F371">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center"/>
          </w:tcPr>
          <w:p w14:paraId="49C01356">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p>
        </w:tc>
      </w:tr>
      <w:tr w14:paraId="72A8F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restart"/>
            <w:noWrap w:val="0"/>
            <w:vAlign w:val="center"/>
          </w:tcPr>
          <w:p w14:paraId="401A170E">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二、人员管理</w:t>
            </w:r>
          </w:p>
        </w:tc>
        <w:tc>
          <w:tcPr>
            <w:tcW w:w="276" w:type="pct"/>
            <w:noWrap w:val="0"/>
            <w:vAlign w:val="center"/>
          </w:tcPr>
          <w:p w14:paraId="19F5ED59">
            <w:pPr>
              <w:numPr>
                <w:ilvl w:val="0"/>
                <w:numId w:val="0"/>
              </w:numPr>
              <w:autoSpaceDE w:val="0"/>
              <w:autoSpaceDN w:val="0"/>
              <w:adjustRightInd w:val="0"/>
              <w:snapToGrid w:val="0"/>
              <w:spacing w:line="320" w:lineRule="exact"/>
              <w:ind w:left="64" w:leftChars="20" w:right="64" w:rightChars="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2497" w:type="pct"/>
            <w:noWrap w:val="0"/>
            <w:vAlign w:val="center"/>
          </w:tcPr>
          <w:p w14:paraId="28EDF9CC">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从业人员全员培训计划及记录，健康管理制度落实情况</w:t>
            </w:r>
          </w:p>
        </w:tc>
        <w:tc>
          <w:tcPr>
            <w:tcW w:w="2213" w:type="dxa"/>
            <w:noWrap w:val="0"/>
            <w:vAlign w:val="center"/>
          </w:tcPr>
          <w:p w14:paraId="21DFB937">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center"/>
          </w:tcPr>
          <w:p w14:paraId="7324B883">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p>
        </w:tc>
      </w:tr>
      <w:tr w14:paraId="59DBB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continue"/>
            <w:noWrap w:val="0"/>
            <w:vAlign w:val="center"/>
          </w:tcPr>
          <w:p w14:paraId="6E55D5F0">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p>
        </w:tc>
        <w:tc>
          <w:tcPr>
            <w:tcW w:w="276" w:type="pct"/>
            <w:noWrap w:val="0"/>
            <w:vAlign w:val="center"/>
          </w:tcPr>
          <w:p w14:paraId="60B38E40">
            <w:pPr>
              <w:numPr>
                <w:ilvl w:val="0"/>
                <w:numId w:val="0"/>
              </w:numPr>
              <w:autoSpaceDE w:val="0"/>
              <w:autoSpaceDN w:val="0"/>
              <w:adjustRightInd w:val="0"/>
              <w:snapToGrid w:val="0"/>
              <w:spacing w:line="320" w:lineRule="exact"/>
              <w:ind w:left="64" w:leftChars="20" w:right="64" w:rightChars="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2497" w:type="pct"/>
            <w:noWrap w:val="0"/>
            <w:vAlign w:val="center"/>
          </w:tcPr>
          <w:p w14:paraId="56203D2F">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从业人员穿戴清洁的工作衣帽，双手清洁，保持个人卫生</w:t>
            </w:r>
          </w:p>
        </w:tc>
        <w:tc>
          <w:tcPr>
            <w:tcW w:w="2213" w:type="dxa"/>
            <w:noWrap w:val="0"/>
            <w:vAlign w:val="center"/>
          </w:tcPr>
          <w:p w14:paraId="12925440">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center"/>
          </w:tcPr>
          <w:p w14:paraId="0B64317C">
            <w:pPr>
              <w:numPr>
                <w:ilvl w:val="0"/>
                <w:numId w:val="0"/>
              </w:numPr>
              <w:autoSpaceDE w:val="0"/>
              <w:autoSpaceDN w:val="0"/>
              <w:adjustRightInd w:val="0"/>
              <w:snapToGrid w:val="0"/>
              <w:spacing w:line="320" w:lineRule="exact"/>
              <w:ind w:left="64" w:leftChars="20" w:right="64" w:rightChars="20" w:firstLine="0" w:firstLineChars="0"/>
              <w:rPr>
                <w:rFonts w:hint="eastAsia" w:ascii="宋体" w:hAnsi="宋体" w:cs="宋体"/>
                <w:color w:val="000000"/>
                <w:kern w:val="0"/>
                <w:sz w:val="18"/>
                <w:szCs w:val="18"/>
                <w:highlight w:val="none"/>
              </w:rPr>
            </w:pPr>
          </w:p>
        </w:tc>
      </w:tr>
      <w:tr w14:paraId="33025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restart"/>
            <w:noWrap w:val="0"/>
            <w:vAlign w:val="center"/>
          </w:tcPr>
          <w:p w14:paraId="4C2DEC39">
            <w:pPr>
              <w:widowControl/>
              <w:numPr>
                <w:ilvl w:val="0"/>
                <w:numId w:val="0"/>
              </w:numPr>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bCs/>
                <w:color w:val="000000"/>
                <w:kern w:val="0"/>
                <w:sz w:val="18"/>
                <w:szCs w:val="18"/>
                <w:highlight w:val="none"/>
              </w:rPr>
              <w:t>三、加工环境</w:t>
            </w:r>
          </w:p>
        </w:tc>
        <w:tc>
          <w:tcPr>
            <w:tcW w:w="276" w:type="pct"/>
            <w:noWrap w:val="0"/>
            <w:vAlign w:val="center"/>
          </w:tcPr>
          <w:p w14:paraId="2D2F51DD">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2497" w:type="pct"/>
            <w:noWrap w:val="0"/>
            <w:vAlign w:val="center"/>
          </w:tcPr>
          <w:p w14:paraId="3AAC27D6">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经营场所开展彻底清洗消毒并保持洁净、卫生，有害生物防制措施有效</w:t>
            </w:r>
          </w:p>
        </w:tc>
        <w:tc>
          <w:tcPr>
            <w:tcW w:w="2213" w:type="dxa"/>
            <w:noWrap w:val="0"/>
            <w:vAlign w:val="center"/>
          </w:tcPr>
          <w:p w14:paraId="4A1B9B00">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17041FE8">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0A5F5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continue"/>
            <w:noWrap w:val="0"/>
            <w:vAlign w:val="center"/>
          </w:tcPr>
          <w:p w14:paraId="148F4C2E">
            <w:pPr>
              <w:widowControl/>
              <w:numPr>
                <w:ilvl w:val="0"/>
                <w:numId w:val="0"/>
              </w:numPr>
              <w:adjustRightInd w:val="0"/>
              <w:snapToGrid w:val="0"/>
              <w:spacing w:line="320" w:lineRule="exact"/>
              <w:ind w:left="0" w:leftChars="0" w:right="20" w:firstLine="0" w:firstLineChars="0"/>
              <w:rPr>
                <w:rFonts w:hint="eastAsia" w:ascii="宋体" w:hAnsi="宋体" w:cs="宋体"/>
                <w:bCs/>
                <w:color w:val="000000"/>
                <w:kern w:val="0"/>
                <w:sz w:val="18"/>
                <w:szCs w:val="18"/>
                <w:highlight w:val="none"/>
              </w:rPr>
            </w:pPr>
          </w:p>
        </w:tc>
        <w:tc>
          <w:tcPr>
            <w:tcW w:w="276" w:type="pct"/>
            <w:noWrap w:val="0"/>
            <w:vAlign w:val="center"/>
          </w:tcPr>
          <w:p w14:paraId="1F724320">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2497" w:type="pct"/>
            <w:noWrap w:val="0"/>
            <w:vAlign w:val="center"/>
          </w:tcPr>
          <w:p w14:paraId="21AF7EC7">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备餐间（专间）规范管理，烹饪间、库房分类存放、保持洁净</w:t>
            </w:r>
          </w:p>
        </w:tc>
        <w:tc>
          <w:tcPr>
            <w:tcW w:w="2213" w:type="dxa"/>
            <w:noWrap w:val="0"/>
            <w:vAlign w:val="center"/>
          </w:tcPr>
          <w:p w14:paraId="6007C327">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13DD757F">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77A15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continue"/>
            <w:noWrap w:val="0"/>
            <w:vAlign w:val="center"/>
          </w:tcPr>
          <w:p w14:paraId="051D97A3">
            <w:pPr>
              <w:widowControl/>
              <w:numPr>
                <w:ilvl w:val="0"/>
                <w:numId w:val="0"/>
              </w:numPr>
              <w:adjustRightInd w:val="0"/>
              <w:snapToGrid w:val="0"/>
              <w:spacing w:line="320" w:lineRule="exact"/>
              <w:ind w:left="0" w:leftChars="0" w:right="20" w:firstLine="0" w:firstLineChars="0"/>
              <w:rPr>
                <w:rFonts w:hint="eastAsia" w:ascii="宋体" w:hAnsi="宋体" w:cs="宋体"/>
                <w:bCs/>
                <w:color w:val="000000"/>
                <w:kern w:val="0"/>
                <w:sz w:val="18"/>
                <w:szCs w:val="18"/>
                <w:highlight w:val="none"/>
              </w:rPr>
            </w:pPr>
          </w:p>
        </w:tc>
        <w:tc>
          <w:tcPr>
            <w:tcW w:w="276" w:type="pct"/>
            <w:noWrap w:val="0"/>
            <w:vAlign w:val="center"/>
          </w:tcPr>
          <w:p w14:paraId="46F231C7">
            <w:pPr>
              <w:numPr>
                <w:ilvl w:val="0"/>
                <w:numId w:val="0"/>
              </w:numPr>
              <w:tabs>
                <w:tab w:val="left" w:pos="359"/>
              </w:tabs>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7</w:t>
            </w:r>
          </w:p>
        </w:tc>
        <w:tc>
          <w:tcPr>
            <w:tcW w:w="2497" w:type="pct"/>
            <w:noWrap w:val="0"/>
            <w:vAlign w:val="center"/>
          </w:tcPr>
          <w:p w14:paraId="2778898F">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就餐厅区域、经营场所门前三包范围内卫生环境干净整洁</w:t>
            </w:r>
          </w:p>
        </w:tc>
        <w:tc>
          <w:tcPr>
            <w:tcW w:w="2213" w:type="dxa"/>
            <w:noWrap w:val="0"/>
            <w:vAlign w:val="center"/>
          </w:tcPr>
          <w:p w14:paraId="2EE5EE14">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1C5F95B0">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3FD52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restart"/>
            <w:noWrap w:val="0"/>
            <w:vAlign w:val="center"/>
          </w:tcPr>
          <w:p w14:paraId="5205DB82">
            <w:pPr>
              <w:widowControl/>
              <w:numPr>
                <w:ilvl w:val="0"/>
                <w:numId w:val="0"/>
              </w:numPr>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bCs/>
                <w:color w:val="000000"/>
                <w:kern w:val="0"/>
                <w:sz w:val="18"/>
                <w:szCs w:val="18"/>
                <w:highlight w:val="none"/>
              </w:rPr>
              <w:t>四、原料、食品加工用水控制</w:t>
            </w:r>
          </w:p>
        </w:tc>
        <w:tc>
          <w:tcPr>
            <w:tcW w:w="276" w:type="pct"/>
            <w:noWrap w:val="0"/>
            <w:vAlign w:val="center"/>
          </w:tcPr>
          <w:p w14:paraId="572354E9">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2497" w:type="pct"/>
            <w:noWrap w:val="0"/>
            <w:vAlign w:val="center"/>
          </w:tcPr>
          <w:p w14:paraId="2514B23E">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查验供货者的许可证和食品出厂检验合格证或者其他合格证明，并留存复印件及发货票证</w:t>
            </w:r>
          </w:p>
        </w:tc>
        <w:tc>
          <w:tcPr>
            <w:tcW w:w="2213" w:type="dxa"/>
            <w:noWrap w:val="0"/>
            <w:vAlign w:val="center"/>
          </w:tcPr>
          <w:p w14:paraId="2A56355B">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775431F7">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43D55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52" w:hRule="atLeast"/>
          <w:jc w:val="center"/>
        </w:trPr>
        <w:tc>
          <w:tcPr>
            <w:tcW w:w="498" w:type="pct"/>
            <w:vMerge w:val="continue"/>
            <w:noWrap w:val="0"/>
            <w:vAlign w:val="center"/>
          </w:tcPr>
          <w:p w14:paraId="5AA6A2BF">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p>
        </w:tc>
        <w:tc>
          <w:tcPr>
            <w:tcW w:w="276" w:type="pct"/>
            <w:noWrap w:val="0"/>
            <w:vAlign w:val="center"/>
          </w:tcPr>
          <w:p w14:paraId="30642712">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9</w:t>
            </w:r>
          </w:p>
        </w:tc>
        <w:tc>
          <w:tcPr>
            <w:tcW w:w="2497" w:type="pct"/>
            <w:noWrap w:val="0"/>
            <w:vAlign w:val="center"/>
          </w:tcPr>
          <w:p w14:paraId="2A231E78">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原料外包装标识符合要求，按照外包装标识的条件和要求规范贮存，对仓库全面清洁消毒和原料排查，及时清理变质或者超过保质期的食品</w:t>
            </w:r>
          </w:p>
        </w:tc>
        <w:tc>
          <w:tcPr>
            <w:tcW w:w="2213" w:type="dxa"/>
            <w:noWrap w:val="0"/>
            <w:vAlign w:val="center"/>
          </w:tcPr>
          <w:p w14:paraId="349C37C6">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7B201257">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4B84B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continue"/>
            <w:noWrap w:val="0"/>
            <w:vAlign w:val="center"/>
          </w:tcPr>
          <w:p w14:paraId="46F4BFCF">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p>
        </w:tc>
        <w:tc>
          <w:tcPr>
            <w:tcW w:w="276" w:type="pct"/>
            <w:noWrap w:val="0"/>
            <w:vAlign w:val="center"/>
          </w:tcPr>
          <w:p w14:paraId="4C3E004F">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2497" w:type="pct"/>
            <w:noWrap w:val="0"/>
            <w:vAlign w:val="center"/>
          </w:tcPr>
          <w:p w14:paraId="52476991">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食品添加剂专人负责保管、领用、登记，专柜保存，并有相关记录</w:t>
            </w:r>
          </w:p>
        </w:tc>
        <w:tc>
          <w:tcPr>
            <w:tcW w:w="2213" w:type="dxa"/>
            <w:noWrap w:val="0"/>
            <w:vAlign w:val="center"/>
          </w:tcPr>
          <w:p w14:paraId="57B2FEB1">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22E3FC25">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54773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continue"/>
            <w:noWrap w:val="0"/>
            <w:vAlign w:val="center"/>
          </w:tcPr>
          <w:p w14:paraId="6A525C1C">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p>
        </w:tc>
        <w:tc>
          <w:tcPr>
            <w:tcW w:w="276" w:type="pct"/>
            <w:noWrap w:val="0"/>
            <w:vAlign w:val="center"/>
          </w:tcPr>
          <w:p w14:paraId="7CB10AAD">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11</w:t>
            </w:r>
          </w:p>
        </w:tc>
        <w:tc>
          <w:tcPr>
            <w:tcW w:w="2497" w:type="pct"/>
            <w:noWrap w:val="0"/>
            <w:vAlign w:val="center"/>
          </w:tcPr>
          <w:p w14:paraId="0BA77810">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及时清理变质或超保质期的食品，食品及食品原料贮存符合要求，分类分架、隔墙离地存放</w:t>
            </w:r>
          </w:p>
        </w:tc>
        <w:tc>
          <w:tcPr>
            <w:tcW w:w="2213" w:type="dxa"/>
            <w:noWrap w:val="0"/>
            <w:vAlign w:val="center"/>
          </w:tcPr>
          <w:p w14:paraId="26E9CB6B">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3957D2CC">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4492E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continue"/>
            <w:noWrap w:val="0"/>
            <w:vAlign w:val="center"/>
          </w:tcPr>
          <w:p w14:paraId="43C956EE">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p>
        </w:tc>
        <w:tc>
          <w:tcPr>
            <w:tcW w:w="276" w:type="pct"/>
            <w:noWrap w:val="0"/>
            <w:vAlign w:val="center"/>
          </w:tcPr>
          <w:p w14:paraId="5A91AA2A">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12</w:t>
            </w:r>
          </w:p>
        </w:tc>
        <w:tc>
          <w:tcPr>
            <w:tcW w:w="2497" w:type="pct"/>
            <w:noWrap w:val="0"/>
            <w:vAlign w:val="center"/>
          </w:tcPr>
          <w:p w14:paraId="7DD27537">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食堂水质检测、农产品农药残留快检符合规范</w:t>
            </w:r>
          </w:p>
        </w:tc>
        <w:tc>
          <w:tcPr>
            <w:tcW w:w="2213" w:type="dxa"/>
            <w:noWrap w:val="0"/>
            <w:vAlign w:val="center"/>
          </w:tcPr>
          <w:p w14:paraId="3E01BF1E">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0C2348B4">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7635A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952" w:hRule="atLeast"/>
          <w:jc w:val="center"/>
        </w:trPr>
        <w:tc>
          <w:tcPr>
            <w:tcW w:w="498" w:type="pct"/>
            <w:vMerge w:val="restart"/>
            <w:noWrap w:val="0"/>
            <w:vAlign w:val="center"/>
          </w:tcPr>
          <w:p w14:paraId="58871B49">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五、加工制作过程</w:t>
            </w:r>
          </w:p>
        </w:tc>
        <w:tc>
          <w:tcPr>
            <w:tcW w:w="276" w:type="pct"/>
            <w:noWrap w:val="0"/>
            <w:vAlign w:val="center"/>
          </w:tcPr>
          <w:p w14:paraId="408849A0">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13</w:t>
            </w:r>
          </w:p>
        </w:tc>
        <w:tc>
          <w:tcPr>
            <w:tcW w:w="2497" w:type="pct"/>
            <w:noWrap w:val="0"/>
            <w:vAlign w:val="center"/>
          </w:tcPr>
          <w:p w14:paraId="220E9AB9">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清洗、消毒水池不得与其他用途水池混用。食品原料、半成品与成品在盛放、贮存时相互分开。制作食品的设施设备及加工工具、容器等有显著标识</w:t>
            </w:r>
          </w:p>
        </w:tc>
        <w:tc>
          <w:tcPr>
            <w:tcW w:w="2213" w:type="dxa"/>
            <w:noWrap w:val="0"/>
            <w:vAlign w:val="center"/>
          </w:tcPr>
          <w:p w14:paraId="1DE0B380">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7FBADB54">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6F87E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continue"/>
            <w:noWrap w:val="0"/>
            <w:vAlign w:val="center"/>
          </w:tcPr>
          <w:p w14:paraId="70973C61">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bCs/>
                <w:color w:val="000000"/>
                <w:kern w:val="0"/>
                <w:sz w:val="18"/>
                <w:szCs w:val="18"/>
                <w:highlight w:val="none"/>
              </w:rPr>
            </w:pPr>
          </w:p>
        </w:tc>
        <w:tc>
          <w:tcPr>
            <w:tcW w:w="276" w:type="pct"/>
            <w:noWrap w:val="0"/>
            <w:vAlign w:val="center"/>
          </w:tcPr>
          <w:p w14:paraId="18E5F8C7">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14</w:t>
            </w:r>
          </w:p>
        </w:tc>
        <w:tc>
          <w:tcPr>
            <w:tcW w:w="2497" w:type="pct"/>
            <w:noWrap w:val="0"/>
            <w:vAlign w:val="center"/>
          </w:tcPr>
          <w:p w14:paraId="6B1C216D">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食品煮熟煮透，食品成品存放的温度和时间符合要求</w:t>
            </w:r>
          </w:p>
        </w:tc>
        <w:tc>
          <w:tcPr>
            <w:tcW w:w="2213" w:type="dxa"/>
            <w:noWrap w:val="0"/>
            <w:vAlign w:val="center"/>
          </w:tcPr>
          <w:p w14:paraId="11F346D9">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1CCFF373">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7BD53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continue"/>
            <w:noWrap w:val="0"/>
            <w:vAlign w:val="center"/>
          </w:tcPr>
          <w:p w14:paraId="534B2043">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p>
        </w:tc>
        <w:tc>
          <w:tcPr>
            <w:tcW w:w="276" w:type="pct"/>
            <w:noWrap w:val="0"/>
            <w:vAlign w:val="center"/>
          </w:tcPr>
          <w:p w14:paraId="1EF6EA69">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15</w:t>
            </w:r>
          </w:p>
        </w:tc>
        <w:tc>
          <w:tcPr>
            <w:tcW w:w="2497" w:type="pct"/>
            <w:noWrap w:val="0"/>
            <w:vAlign w:val="center"/>
          </w:tcPr>
          <w:p w14:paraId="23A95460">
            <w:pPr>
              <w:numPr>
                <w:ilvl w:val="0"/>
                <w:numId w:val="0"/>
              </w:numPr>
              <w:tabs>
                <w:tab w:val="left" w:pos="945"/>
              </w:tabs>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食品留样符合规范</w:t>
            </w:r>
          </w:p>
        </w:tc>
        <w:tc>
          <w:tcPr>
            <w:tcW w:w="2213" w:type="dxa"/>
            <w:noWrap w:val="0"/>
            <w:vAlign w:val="center"/>
          </w:tcPr>
          <w:p w14:paraId="2605FD88">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25F0B477">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7C31E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restart"/>
            <w:noWrap w:val="0"/>
            <w:vAlign w:val="center"/>
          </w:tcPr>
          <w:p w14:paraId="1E3692A1">
            <w:pPr>
              <w:widowControl/>
              <w:numPr>
                <w:ilvl w:val="0"/>
                <w:numId w:val="0"/>
              </w:numPr>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bCs/>
                <w:color w:val="000000"/>
                <w:kern w:val="0"/>
                <w:sz w:val="18"/>
                <w:szCs w:val="18"/>
                <w:highlight w:val="none"/>
              </w:rPr>
              <w:t>六、设施设备及维护</w:t>
            </w:r>
          </w:p>
        </w:tc>
        <w:tc>
          <w:tcPr>
            <w:tcW w:w="276" w:type="pct"/>
            <w:noWrap w:val="0"/>
            <w:vAlign w:val="center"/>
          </w:tcPr>
          <w:p w14:paraId="4936FDFF">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16</w:t>
            </w:r>
          </w:p>
        </w:tc>
        <w:tc>
          <w:tcPr>
            <w:tcW w:w="2497" w:type="pct"/>
            <w:noWrap w:val="0"/>
            <w:vAlign w:val="center"/>
          </w:tcPr>
          <w:p w14:paraId="3FD96066">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冷藏、冷冻、空调、空气消毒等设备设施完成维修保养校验，运转正常</w:t>
            </w:r>
          </w:p>
        </w:tc>
        <w:tc>
          <w:tcPr>
            <w:tcW w:w="2213" w:type="dxa"/>
            <w:noWrap w:val="0"/>
            <w:vAlign w:val="center"/>
          </w:tcPr>
          <w:p w14:paraId="564D8F22">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519F565F">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17296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vMerge w:val="continue"/>
            <w:noWrap w:val="0"/>
            <w:vAlign w:val="center"/>
          </w:tcPr>
          <w:p w14:paraId="258ECF65">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p>
        </w:tc>
        <w:tc>
          <w:tcPr>
            <w:tcW w:w="276" w:type="pct"/>
            <w:noWrap w:val="0"/>
            <w:vAlign w:val="center"/>
          </w:tcPr>
          <w:p w14:paraId="163BA6BC">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17</w:t>
            </w:r>
          </w:p>
        </w:tc>
        <w:tc>
          <w:tcPr>
            <w:tcW w:w="2497" w:type="pct"/>
            <w:noWrap w:val="0"/>
            <w:vAlign w:val="center"/>
          </w:tcPr>
          <w:p w14:paraId="4F8B74B7">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食品加工、贮存、陈列及“三防”等设施设备运转正常，并保持清洁</w:t>
            </w:r>
          </w:p>
        </w:tc>
        <w:tc>
          <w:tcPr>
            <w:tcW w:w="2213" w:type="dxa"/>
            <w:noWrap w:val="0"/>
            <w:vAlign w:val="center"/>
          </w:tcPr>
          <w:p w14:paraId="749A05BA">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1B310798">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7EE74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8" w:hRule="atLeast"/>
          <w:jc w:val="center"/>
        </w:trPr>
        <w:tc>
          <w:tcPr>
            <w:tcW w:w="498" w:type="pct"/>
            <w:vMerge w:val="continue"/>
            <w:noWrap w:val="0"/>
            <w:vAlign w:val="center"/>
          </w:tcPr>
          <w:p w14:paraId="5BCC1522">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p>
        </w:tc>
        <w:tc>
          <w:tcPr>
            <w:tcW w:w="276" w:type="pct"/>
            <w:noWrap w:val="0"/>
            <w:vAlign w:val="center"/>
          </w:tcPr>
          <w:p w14:paraId="714EEDF4">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18</w:t>
            </w:r>
          </w:p>
        </w:tc>
        <w:tc>
          <w:tcPr>
            <w:tcW w:w="2497" w:type="pct"/>
            <w:noWrap w:val="0"/>
            <w:vAlign w:val="center"/>
          </w:tcPr>
          <w:p w14:paraId="220BFBDB">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具有餐具、饮具的清洗、消毒、保洁设备设施，并运转正常</w:t>
            </w:r>
          </w:p>
        </w:tc>
        <w:tc>
          <w:tcPr>
            <w:tcW w:w="2213" w:type="dxa"/>
            <w:noWrap w:val="0"/>
            <w:vAlign w:val="center"/>
          </w:tcPr>
          <w:p w14:paraId="1022C6B9">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3048A85C">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449DF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40" w:hRule="atLeast"/>
          <w:jc w:val="center"/>
        </w:trPr>
        <w:tc>
          <w:tcPr>
            <w:tcW w:w="498" w:type="pct"/>
            <w:noWrap w:val="0"/>
            <w:vAlign w:val="center"/>
          </w:tcPr>
          <w:p w14:paraId="38C3A7BC">
            <w:pPr>
              <w:widowControl/>
              <w:numPr>
                <w:ilvl w:val="0"/>
                <w:numId w:val="0"/>
              </w:numPr>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bCs/>
                <w:color w:val="000000"/>
                <w:kern w:val="0"/>
                <w:sz w:val="18"/>
                <w:szCs w:val="18"/>
                <w:highlight w:val="none"/>
              </w:rPr>
              <w:t>七、餐饮具清洗消毒</w:t>
            </w:r>
          </w:p>
        </w:tc>
        <w:tc>
          <w:tcPr>
            <w:tcW w:w="276" w:type="pct"/>
            <w:noWrap w:val="0"/>
            <w:vAlign w:val="center"/>
          </w:tcPr>
          <w:p w14:paraId="7F7A30C0">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19</w:t>
            </w:r>
          </w:p>
        </w:tc>
        <w:tc>
          <w:tcPr>
            <w:tcW w:w="2497" w:type="pct"/>
            <w:noWrap w:val="0"/>
            <w:vAlign w:val="center"/>
          </w:tcPr>
          <w:p w14:paraId="31296F6C">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餐具、饮具和盛放直接入口食品的容器用后洗净、消毒，炊具、用具用后洗净，保持清洁</w:t>
            </w:r>
          </w:p>
        </w:tc>
        <w:tc>
          <w:tcPr>
            <w:tcW w:w="2213" w:type="dxa"/>
            <w:noWrap w:val="0"/>
            <w:vAlign w:val="center"/>
          </w:tcPr>
          <w:p w14:paraId="1D959B64">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55ED7D1B">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r w14:paraId="63DC4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54" w:hRule="atLeast"/>
          <w:jc w:val="center"/>
        </w:trPr>
        <w:tc>
          <w:tcPr>
            <w:tcW w:w="498" w:type="pct"/>
            <w:noWrap w:val="0"/>
            <w:vAlign w:val="center"/>
          </w:tcPr>
          <w:p w14:paraId="3B8F0ABA">
            <w:pPr>
              <w:widowControl/>
              <w:numPr>
                <w:ilvl w:val="0"/>
                <w:numId w:val="0"/>
              </w:numPr>
              <w:adjustRightInd w:val="0"/>
              <w:snapToGrid w:val="0"/>
              <w:spacing w:line="320" w:lineRule="exact"/>
              <w:ind w:left="0" w:leftChars="0" w:right="20" w:firstLine="0" w:firstLineChars="0"/>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八、合同履约情况</w:t>
            </w:r>
          </w:p>
        </w:tc>
        <w:tc>
          <w:tcPr>
            <w:tcW w:w="276" w:type="pct"/>
            <w:noWrap w:val="0"/>
            <w:vAlign w:val="center"/>
          </w:tcPr>
          <w:p w14:paraId="3E735958">
            <w:pPr>
              <w:numPr>
                <w:ilvl w:val="0"/>
                <w:numId w:val="0"/>
              </w:numPr>
              <w:autoSpaceDE w:val="0"/>
              <w:autoSpaceDN w:val="0"/>
              <w:adjustRightInd w:val="0"/>
              <w:snapToGrid w:val="0"/>
              <w:spacing w:line="320" w:lineRule="exact"/>
              <w:ind w:left="0" w:leftChars="0" w:right="20"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w:t>
            </w:r>
          </w:p>
        </w:tc>
        <w:tc>
          <w:tcPr>
            <w:tcW w:w="2497" w:type="pct"/>
            <w:noWrap w:val="0"/>
            <w:vAlign w:val="center"/>
          </w:tcPr>
          <w:p w14:paraId="11CF8AB3">
            <w:pPr>
              <w:numPr>
                <w:ilvl w:val="0"/>
                <w:numId w:val="0"/>
              </w:numPr>
              <w:autoSpaceDE w:val="0"/>
              <w:autoSpaceDN w:val="0"/>
              <w:adjustRightInd w:val="0"/>
              <w:snapToGrid w:val="0"/>
              <w:spacing w:line="320" w:lineRule="exact"/>
              <w:ind w:left="0" w:leftChars="0" w:right="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符合合同约定品种价格，使用校方要求的收款设备进行营业额收款</w:t>
            </w:r>
          </w:p>
        </w:tc>
        <w:tc>
          <w:tcPr>
            <w:tcW w:w="2213" w:type="dxa"/>
            <w:noWrap w:val="0"/>
            <w:vAlign w:val="center"/>
          </w:tcPr>
          <w:p w14:paraId="2463FD8D">
            <w:pPr>
              <w:numPr>
                <w:ilvl w:val="0"/>
                <w:numId w:val="0"/>
              </w:numPr>
              <w:autoSpaceDE w:val="0"/>
              <w:autoSpaceDN w:val="0"/>
              <w:adjustRightInd w:val="0"/>
              <w:snapToGrid w:val="0"/>
              <w:spacing w:line="320" w:lineRule="exact"/>
              <w:ind w:left="0" w:leftChars="0" w:right="64" w:rightChars="20" w:firstLine="0" w:firstLineChars="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□优秀5分□良好4分□基本符合2分□不符合0分</w:t>
            </w:r>
          </w:p>
        </w:tc>
        <w:tc>
          <w:tcPr>
            <w:tcW w:w="672" w:type="pct"/>
            <w:noWrap w:val="0"/>
            <w:vAlign w:val="top"/>
          </w:tcPr>
          <w:p w14:paraId="54B4FEAC">
            <w:pPr>
              <w:numPr>
                <w:ilvl w:val="0"/>
                <w:numId w:val="0"/>
              </w:numPr>
              <w:autoSpaceDE w:val="0"/>
              <w:autoSpaceDN w:val="0"/>
              <w:adjustRightInd w:val="0"/>
              <w:snapToGrid w:val="0"/>
              <w:spacing w:line="320" w:lineRule="exact"/>
              <w:ind w:left="0" w:leftChars="0" w:right="20" w:firstLine="0" w:firstLineChars="0"/>
              <w:jc w:val="left"/>
              <w:rPr>
                <w:rFonts w:hint="eastAsia" w:ascii="宋体" w:hAnsi="宋体" w:cs="宋体"/>
                <w:color w:val="000000"/>
                <w:kern w:val="0"/>
                <w:sz w:val="18"/>
                <w:szCs w:val="18"/>
                <w:highlight w:val="none"/>
              </w:rPr>
            </w:pPr>
          </w:p>
        </w:tc>
      </w:tr>
    </w:tbl>
    <w:p w14:paraId="5FEBD352">
      <w:pPr>
        <w:pageBreakBefore w:val="0"/>
        <w:numPr>
          <w:ilvl w:val="-1"/>
          <w:numId w:val="0"/>
        </w:numPr>
        <w:wordWrap/>
        <w:overflowPunct/>
        <w:topLinePunct w:val="0"/>
        <w:autoSpaceDE/>
        <w:autoSpaceDN/>
        <w:bidi w:val="0"/>
        <w:spacing w:line="560" w:lineRule="exact"/>
        <w:ind w:left="0" w:leftChars="0" w:firstLine="0" w:firstLineChars="0"/>
        <w:rPr>
          <w:rFonts w:hint="eastAsia" w:ascii="宋体" w:hAnsi="宋体" w:eastAsia="宋体" w:cs="宋体"/>
          <w:spacing w:val="0"/>
          <w:kern w:val="0"/>
          <w:position w:val="0"/>
          <w:sz w:val="28"/>
          <w:szCs w:val="28"/>
          <w:highlight w:val="none"/>
          <w:lang w:val="en-US" w:eastAsia="zh-CN"/>
        </w:rPr>
      </w:pPr>
      <w:r>
        <w:rPr>
          <w:rFonts w:hint="eastAsia" w:ascii="宋体" w:hAnsi="宋体" w:eastAsia="宋体" w:cs="宋体"/>
          <w:spacing w:val="0"/>
          <w:kern w:val="0"/>
          <w:position w:val="0"/>
          <w:sz w:val="28"/>
          <w:szCs w:val="28"/>
          <w:highlight w:val="none"/>
          <w:lang w:val="en-US" w:eastAsia="zh-CN"/>
        </w:rPr>
        <w:t>优秀（5分）：完全符合要求，执行到位、记录完整、无任何疏漏；</w:t>
      </w:r>
    </w:p>
    <w:p w14:paraId="1DE2FD94">
      <w:pPr>
        <w:pageBreakBefore w:val="0"/>
        <w:numPr>
          <w:ilvl w:val="-1"/>
          <w:numId w:val="0"/>
        </w:numPr>
        <w:wordWrap/>
        <w:overflowPunct/>
        <w:topLinePunct w:val="0"/>
        <w:autoSpaceDE/>
        <w:autoSpaceDN/>
        <w:bidi w:val="0"/>
        <w:spacing w:line="560" w:lineRule="exact"/>
        <w:ind w:left="0" w:leftChars="0" w:firstLine="0" w:firstLineChars="0"/>
        <w:rPr>
          <w:rFonts w:hint="eastAsia" w:ascii="宋体" w:hAnsi="宋体" w:eastAsia="宋体" w:cs="宋体"/>
          <w:spacing w:val="0"/>
          <w:kern w:val="0"/>
          <w:position w:val="0"/>
          <w:sz w:val="28"/>
          <w:szCs w:val="28"/>
          <w:highlight w:val="none"/>
          <w:lang w:val="en-US" w:eastAsia="zh-CN"/>
        </w:rPr>
      </w:pPr>
      <w:r>
        <w:rPr>
          <w:rFonts w:hint="eastAsia" w:ascii="宋体" w:hAnsi="宋体" w:eastAsia="宋体" w:cs="宋体"/>
          <w:spacing w:val="0"/>
          <w:kern w:val="0"/>
          <w:position w:val="0"/>
          <w:sz w:val="28"/>
          <w:szCs w:val="28"/>
          <w:highlight w:val="none"/>
          <w:lang w:val="en-US" w:eastAsia="zh-CN"/>
        </w:rPr>
        <w:t>良好（4分）：符合核心要求，仅极轻微细节问题，可立即整改；</w:t>
      </w:r>
    </w:p>
    <w:p w14:paraId="1AE2BB53">
      <w:pPr>
        <w:pageBreakBefore w:val="0"/>
        <w:numPr>
          <w:ilvl w:val="-1"/>
          <w:numId w:val="0"/>
        </w:numPr>
        <w:wordWrap/>
        <w:overflowPunct/>
        <w:topLinePunct w:val="0"/>
        <w:autoSpaceDE/>
        <w:autoSpaceDN/>
        <w:bidi w:val="0"/>
        <w:spacing w:line="560" w:lineRule="exact"/>
        <w:ind w:left="0" w:leftChars="0" w:firstLine="0" w:firstLineChars="0"/>
        <w:rPr>
          <w:rFonts w:hint="eastAsia" w:ascii="宋体" w:hAnsi="宋体" w:eastAsia="宋体" w:cs="宋体"/>
          <w:spacing w:val="0"/>
          <w:kern w:val="0"/>
          <w:position w:val="0"/>
          <w:sz w:val="28"/>
          <w:szCs w:val="28"/>
          <w:highlight w:val="none"/>
          <w:lang w:val="en-US" w:eastAsia="zh-CN"/>
        </w:rPr>
      </w:pPr>
      <w:r>
        <w:rPr>
          <w:rFonts w:hint="eastAsia" w:ascii="宋体" w:hAnsi="宋体" w:eastAsia="宋体" w:cs="宋体"/>
          <w:spacing w:val="0"/>
          <w:kern w:val="0"/>
          <w:position w:val="0"/>
          <w:sz w:val="28"/>
          <w:szCs w:val="28"/>
          <w:highlight w:val="none"/>
          <w:lang w:val="en-US" w:eastAsia="zh-CN"/>
        </w:rPr>
        <w:t>基本符合（2分）：基本满足要求，存在部分不规范，需限期整改；</w:t>
      </w:r>
    </w:p>
    <w:p w14:paraId="04D77975">
      <w:pPr>
        <w:pageBreakBefore w:val="0"/>
        <w:numPr>
          <w:ilvl w:val="-1"/>
          <w:numId w:val="0"/>
        </w:numPr>
        <w:wordWrap/>
        <w:overflowPunct/>
        <w:topLinePunct w:val="0"/>
        <w:autoSpaceDE/>
        <w:autoSpaceDN/>
        <w:bidi w:val="0"/>
        <w:spacing w:line="560" w:lineRule="exact"/>
        <w:ind w:left="0" w:leftChars="0" w:firstLine="0" w:firstLineChars="0"/>
        <w:rPr>
          <w:rFonts w:hint="eastAsia" w:ascii="宋体" w:hAnsi="宋体" w:eastAsia="宋体" w:cs="宋体"/>
          <w:spacing w:val="0"/>
          <w:kern w:val="0"/>
          <w:position w:val="0"/>
          <w:sz w:val="28"/>
          <w:szCs w:val="28"/>
          <w:highlight w:val="none"/>
          <w:lang w:val="en-US" w:eastAsia="zh-CN"/>
        </w:rPr>
      </w:pPr>
      <w:r>
        <w:rPr>
          <w:rFonts w:hint="eastAsia" w:ascii="宋体" w:hAnsi="宋体" w:eastAsia="宋体" w:cs="宋体"/>
          <w:spacing w:val="0"/>
          <w:kern w:val="0"/>
          <w:position w:val="0"/>
          <w:sz w:val="28"/>
          <w:szCs w:val="28"/>
          <w:highlight w:val="none"/>
          <w:lang w:val="en-US" w:eastAsia="zh-CN"/>
        </w:rPr>
        <w:t>不符合（0分）：未达到要求，有明显违规，存在安全/管理隐患。</w:t>
      </w:r>
    </w:p>
    <w:sectPr>
      <w:footerReference r:id="rId5" w:type="default"/>
      <w:pgSz w:w="11906" w:h="16838"/>
      <w:pgMar w:top="2098" w:right="1474" w:bottom="2098"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简">
    <w:altName w:val="仿宋"/>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1" w:fontKey="{9F44E5B5-6CB3-4C98-9C5D-846F65040E8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47217">
    <w:pPr>
      <w:pStyle w:val="12"/>
      <w:numPr>
        <w:ilvl w:val="0"/>
        <w:numId w:val="0"/>
      </w:numPr>
      <w:ind w:leftChars="2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21877">
                          <w:pPr>
                            <w:pStyle w:val="12"/>
                            <w:numPr>
                              <w:ilvl w:val="0"/>
                              <w:numId w:val="0"/>
                            </w:numPr>
                            <w:ind w:leftChars="20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E21877">
                    <w:pPr>
                      <w:pStyle w:val="12"/>
                      <w:numPr>
                        <w:ilvl w:val="0"/>
                        <w:numId w:val="0"/>
                      </w:numPr>
                      <w:ind w:leftChars="20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F265"/>
    <w:multiLevelType w:val="singleLevel"/>
    <w:tmpl w:val="8975F265"/>
    <w:lvl w:ilvl="0" w:tentative="0">
      <w:start w:val="1"/>
      <w:numFmt w:val="chineseCounting"/>
      <w:suff w:val="nothing"/>
      <w:lvlText w:val="（%1）"/>
      <w:lvlJc w:val="left"/>
      <w:pPr>
        <w:ind w:left="0" w:firstLine="420"/>
      </w:pPr>
      <w:rPr>
        <w:rFonts w:hint="eastAsia"/>
      </w:rPr>
    </w:lvl>
  </w:abstractNum>
  <w:abstractNum w:abstractNumId="1">
    <w:nsid w:val="A7D14B17"/>
    <w:multiLevelType w:val="singleLevel"/>
    <w:tmpl w:val="A7D14B17"/>
    <w:lvl w:ilvl="0" w:tentative="0">
      <w:start w:val="1"/>
      <w:numFmt w:val="chineseCounting"/>
      <w:suff w:val="nothing"/>
      <w:lvlText w:val="（%1）"/>
      <w:lvlJc w:val="left"/>
      <w:pPr>
        <w:ind w:left="0" w:firstLine="420"/>
      </w:pPr>
      <w:rPr>
        <w:rFonts w:hint="eastAsia"/>
      </w:rPr>
    </w:lvl>
  </w:abstractNum>
  <w:abstractNum w:abstractNumId="2">
    <w:nsid w:val="C69BF07B"/>
    <w:multiLevelType w:val="singleLevel"/>
    <w:tmpl w:val="C69BF07B"/>
    <w:lvl w:ilvl="0" w:tentative="0">
      <w:start w:val="1"/>
      <w:numFmt w:val="chineseCounting"/>
      <w:suff w:val="nothing"/>
      <w:lvlText w:val="（%1）"/>
      <w:lvlJc w:val="left"/>
      <w:pPr>
        <w:ind w:left="0" w:firstLine="420"/>
      </w:pPr>
      <w:rPr>
        <w:rFonts w:hint="eastAsia"/>
        <w:b w:val="0"/>
        <w:bCs w:val="0"/>
      </w:rPr>
    </w:lvl>
  </w:abstractNum>
  <w:abstractNum w:abstractNumId="3">
    <w:nsid w:val="DFF93CAF"/>
    <w:multiLevelType w:val="singleLevel"/>
    <w:tmpl w:val="DFF93CAF"/>
    <w:lvl w:ilvl="0" w:tentative="0">
      <w:start w:val="1"/>
      <w:numFmt w:val="decimal"/>
      <w:lvlText w:val="(%1)"/>
      <w:lvlJc w:val="left"/>
      <w:pPr>
        <w:ind w:left="425" w:hanging="425"/>
      </w:pPr>
      <w:rPr>
        <w:rFonts w:hint="default"/>
      </w:rPr>
    </w:lvl>
  </w:abstractNum>
  <w:abstractNum w:abstractNumId="4">
    <w:nsid w:val="F5A21D9E"/>
    <w:multiLevelType w:val="singleLevel"/>
    <w:tmpl w:val="F5A21D9E"/>
    <w:lvl w:ilvl="0" w:tentative="0">
      <w:start w:val="1"/>
      <w:numFmt w:val="decimal"/>
      <w:pStyle w:val="1"/>
      <w:suff w:val="nothing"/>
      <w:lvlText w:val="%1．"/>
      <w:lvlJc w:val="left"/>
      <w:pPr>
        <w:ind w:left="640" w:firstLine="400"/>
      </w:pPr>
      <w:rPr>
        <w:rFonts w:hint="default"/>
      </w:rPr>
    </w:lvl>
  </w:abstractNum>
  <w:abstractNum w:abstractNumId="5">
    <w:nsid w:val="FF444ADC"/>
    <w:multiLevelType w:val="singleLevel"/>
    <w:tmpl w:val="FF444ADC"/>
    <w:lvl w:ilvl="0" w:tentative="0">
      <w:start w:val="1"/>
      <w:numFmt w:val="chineseCounting"/>
      <w:suff w:val="nothing"/>
      <w:lvlText w:val="（%1）"/>
      <w:lvlJc w:val="left"/>
      <w:pPr>
        <w:ind w:left="0" w:firstLine="420"/>
      </w:pPr>
      <w:rPr>
        <w:rFonts w:hint="eastAsia"/>
      </w:rPr>
    </w:lvl>
  </w:abstractNum>
  <w:abstractNum w:abstractNumId="6">
    <w:nsid w:val="2601EBE4"/>
    <w:multiLevelType w:val="singleLevel"/>
    <w:tmpl w:val="2601EBE4"/>
    <w:lvl w:ilvl="0" w:tentative="0">
      <w:start w:val="1"/>
      <w:numFmt w:val="decimal"/>
      <w:suff w:val="nothing"/>
      <w:lvlText w:val="%1．"/>
      <w:lvlJc w:val="left"/>
      <w:pPr>
        <w:ind w:left="0" w:firstLine="400"/>
      </w:pPr>
      <w:rPr>
        <w:rFonts w:hint="default"/>
      </w:rPr>
    </w:lvl>
  </w:abstractNum>
  <w:abstractNum w:abstractNumId="7">
    <w:nsid w:val="2F314A7A"/>
    <w:multiLevelType w:val="singleLevel"/>
    <w:tmpl w:val="2F314A7A"/>
    <w:lvl w:ilvl="0" w:tentative="0">
      <w:start w:val="1"/>
      <w:numFmt w:val="chineseCounting"/>
      <w:suff w:val="nothing"/>
      <w:lvlText w:val="%1、"/>
      <w:lvlJc w:val="left"/>
      <w:pPr>
        <w:ind w:left="0" w:firstLine="420"/>
      </w:pPr>
      <w:rPr>
        <w:rFonts w:hint="eastAsia"/>
      </w:rPr>
    </w:lvl>
  </w:abstractNum>
  <w:abstractNum w:abstractNumId="8">
    <w:nsid w:val="30C3E24D"/>
    <w:multiLevelType w:val="singleLevel"/>
    <w:tmpl w:val="30C3E24D"/>
    <w:lvl w:ilvl="0" w:tentative="0">
      <w:start w:val="1"/>
      <w:numFmt w:val="decimal"/>
      <w:lvlText w:val="%1."/>
      <w:lvlJc w:val="left"/>
      <w:pPr>
        <w:ind w:left="425" w:hanging="425"/>
      </w:pPr>
      <w:rPr>
        <w:rFonts w:hint="default"/>
      </w:rPr>
    </w:lvl>
  </w:abstractNum>
  <w:abstractNum w:abstractNumId="9">
    <w:nsid w:val="575F1D03"/>
    <w:multiLevelType w:val="singleLevel"/>
    <w:tmpl w:val="575F1D03"/>
    <w:lvl w:ilvl="0" w:tentative="0">
      <w:start w:val="1"/>
      <w:numFmt w:val="chineseCounting"/>
      <w:suff w:val="nothing"/>
      <w:lvlText w:val="（%1）"/>
      <w:lvlJc w:val="left"/>
      <w:pPr>
        <w:ind w:left="0" w:firstLine="420"/>
      </w:pPr>
      <w:rPr>
        <w:rFonts w:hint="eastAsia"/>
      </w:rPr>
    </w:lvl>
  </w:abstractNum>
  <w:abstractNum w:abstractNumId="10">
    <w:nsid w:val="68926160"/>
    <w:multiLevelType w:val="singleLevel"/>
    <w:tmpl w:val="68926160"/>
    <w:lvl w:ilvl="0" w:tentative="0">
      <w:start w:val="1"/>
      <w:numFmt w:val="decimal"/>
      <w:suff w:val="nothing"/>
      <w:lvlText w:val="%1．"/>
      <w:lvlJc w:val="left"/>
      <w:pPr>
        <w:ind w:left="0" w:firstLine="400"/>
      </w:pPr>
      <w:rPr>
        <w:rFonts w:hint="default"/>
      </w:rPr>
    </w:lvl>
  </w:abstractNum>
  <w:abstractNum w:abstractNumId="11">
    <w:nsid w:val="68FF7590"/>
    <w:multiLevelType w:val="singleLevel"/>
    <w:tmpl w:val="68FF7590"/>
    <w:lvl w:ilvl="0" w:tentative="0">
      <w:start w:val="1"/>
      <w:numFmt w:val="chineseCounting"/>
      <w:suff w:val="nothing"/>
      <w:lvlText w:val="（%1）"/>
      <w:lvlJc w:val="left"/>
      <w:pPr>
        <w:ind w:left="0" w:firstLine="420"/>
      </w:pPr>
      <w:rPr>
        <w:rFonts w:hint="eastAsia"/>
      </w:rPr>
    </w:lvl>
  </w:abstractNum>
  <w:num w:numId="1">
    <w:abstractNumId w:val="4"/>
  </w:num>
  <w:num w:numId="2">
    <w:abstractNumId w:val="7"/>
  </w:num>
  <w:num w:numId="3">
    <w:abstractNumId w:val="1"/>
  </w:num>
  <w:num w:numId="4">
    <w:abstractNumId w:val="2"/>
  </w:num>
  <w:num w:numId="5">
    <w:abstractNumId w:val="11"/>
  </w:num>
  <w:num w:numId="6">
    <w:abstractNumId w:val="0"/>
  </w:num>
  <w:num w:numId="7">
    <w:abstractNumId w:val="9"/>
  </w:num>
  <w:num w:numId="8">
    <w:abstractNumId w:val="5"/>
  </w:num>
  <w:num w:numId="9">
    <w:abstractNumId w:val="10"/>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NjE2NzRjNzExMmVmY2EwYzZmYjk3YTcyOTEwMDUifQ=="/>
  </w:docVars>
  <w:rsids>
    <w:rsidRoot w:val="7E6C2F8A"/>
    <w:rsid w:val="005A2C9F"/>
    <w:rsid w:val="00982A82"/>
    <w:rsid w:val="01E7687A"/>
    <w:rsid w:val="04D211E1"/>
    <w:rsid w:val="07040B8F"/>
    <w:rsid w:val="0BE65171"/>
    <w:rsid w:val="0BF42D0A"/>
    <w:rsid w:val="0C0F534B"/>
    <w:rsid w:val="0E173F71"/>
    <w:rsid w:val="0E8C2C83"/>
    <w:rsid w:val="0FB74D7A"/>
    <w:rsid w:val="11330CE8"/>
    <w:rsid w:val="11F363FF"/>
    <w:rsid w:val="128679E9"/>
    <w:rsid w:val="12FD7F36"/>
    <w:rsid w:val="131F2AE3"/>
    <w:rsid w:val="15223EB1"/>
    <w:rsid w:val="158741A4"/>
    <w:rsid w:val="15E75E9E"/>
    <w:rsid w:val="164E6A70"/>
    <w:rsid w:val="179F6B86"/>
    <w:rsid w:val="18356E25"/>
    <w:rsid w:val="1B703AD5"/>
    <w:rsid w:val="1D86257E"/>
    <w:rsid w:val="1E214A6A"/>
    <w:rsid w:val="24B70680"/>
    <w:rsid w:val="27D52B4D"/>
    <w:rsid w:val="2839670C"/>
    <w:rsid w:val="294A2688"/>
    <w:rsid w:val="295E4B00"/>
    <w:rsid w:val="2B035E9D"/>
    <w:rsid w:val="2F9804F1"/>
    <w:rsid w:val="2FC367EB"/>
    <w:rsid w:val="2FCF413E"/>
    <w:rsid w:val="2FF77F3F"/>
    <w:rsid w:val="30995086"/>
    <w:rsid w:val="32D9314C"/>
    <w:rsid w:val="34153282"/>
    <w:rsid w:val="36C13E2D"/>
    <w:rsid w:val="36F80950"/>
    <w:rsid w:val="3788692A"/>
    <w:rsid w:val="3A0D3876"/>
    <w:rsid w:val="3BD82FE4"/>
    <w:rsid w:val="3C44609B"/>
    <w:rsid w:val="3DAB6499"/>
    <w:rsid w:val="3DDD61C0"/>
    <w:rsid w:val="3DFD29A6"/>
    <w:rsid w:val="3F4B6EF0"/>
    <w:rsid w:val="3FB672B0"/>
    <w:rsid w:val="400C38A3"/>
    <w:rsid w:val="465B6AFA"/>
    <w:rsid w:val="47A66B1D"/>
    <w:rsid w:val="482438F2"/>
    <w:rsid w:val="48D12D87"/>
    <w:rsid w:val="4A473BDF"/>
    <w:rsid w:val="4A515520"/>
    <w:rsid w:val="4D824C62"/>
    <w:rsid w:val="4F015978"/>
    <w:rsid w:val="4FE6250E"/>
    <w:rsid w:val="53167C94"/>
    <w:rsid w:val="538F23A6"/>
    <w:rsid w:val="55A84C13"/>
    <w:rsid w:val="55E24503"/>
    <w:rsid w:val="580C3AB9"/>
    <w:rsid w:val="584414A5"/>
    <w:rsid w:val="58631A14"/>
    <w:rsid w:val="58B31D39"/>
    <w:rsid w:val="59E545C2"/>
    <w:rsid w:val="5F683F77"/>
    <w:rsid w:val="606E2D7D"/>
    <w:rsid w:val="61E91E30"/>
    <w:rsid w:val="62222D78"/>
    <w:rsid w:val="6293302D"/>
    <w:rsid w:val="62B277C5"/>
    <w:rsid w:val="62DB47B4"/>
    <w:rsid w:val="653308D7"/>
    <w:rsid w:val="654F3237"/>
    <w:rsid w:val="69B8584F"/>
    <w:rsid w:val="69E34996"/>
    <w:rsid w:val="6C9A02D6"/>
    <w:rsid w:val="6D4D7BE6"/>
    <w:rsid w:val="6E405E5F"/>
    <w:rsid w:val="6E6174EC"/>
    <w:rsid w:val="6E8F1D24"/>
    <w:rsid w:val="725C2A93"/>
    <w:rsid w:val="74AE17FA"/>
    <w:rsid w:val="753E10E9"/>
    <w:rsid w:val="75F465C5"/>
    <w:rsid w:val="78943DD1"/>
    <w:rsid w:val="78EC3654"/>
    <w:rsid w:val="79F65ECE"/>
    <w:rsid w:val="7C400CFA"/>
    <w:rsid w:val="7CD9409F"/>
    <w:rsid w:val="7E6C2F8A"/>
    <w:rsid w:val="7E6E42D6"/>
    <w:rsid w:val="7EB91414"/>
    <w:rsid w:val="D4FF4352"/>
    <w:rsid w:val="DFFFF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numPr>
        <w:ilvl w:val="0"/>
        <w:numId w:val="1"/>
      </w:numPr>
      <w:kinsoku w:val="0"/>
      <w:autoSpaceDE w:val="0"/>
      <w:autoSpaceDN w:val="0"/>
      <w:adjustRightInd w:val="0"/>
      <w:snapToGrid w:val="0"/>
      <w:spacing w:line="600" w:lineRule="exact"/>
      <w:ind w:firstLine="640" w:firstLineChars="200"/>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1"/>
    <w:basedOn w:val="1"/>
    <w:next w:val="1"/>
    <w:link w:val="22"/>
    <w:qFormat/>
    <w:uiPriority w:val="0"/>
    <w:pPr>
      <w:keepNext/>
      <w:keepLines/>
      <w:spacing w:before="340" w:after="330" w:line="600" w:lineRule="exact"/>
      <w:outlineLvl w:val="0"/>
    </w:pPr>
    <w:rPr>
      <w:rFonts w:ascii="Times New Roman" w:hAnsi="Times New Roman" w:eastAsia="微软雅黑"/>
      <w:b/>
      <w:bCs/>
      <w:kern w:val="44"/>
      <w:sz w:val="44"/>
      <w:szCs w:val="44"/>
    </w:rPr>
  </w:style>
  <w:style w:type="paragraph" w:styleId="3">
    <w:name w:val="heading 2"/>
    <w:basedOn w:val="1"/>
    <w:next w:val="1"/>
    <w:link w:val="23"/>
    <w:unhideWhenUsed/>
    <w:qFormat/>
    <w:uiPriority w:val="0"/>
    <w:pPr>
      <w:keepNext/>
      <w:keepLines/>
      <w:ind w:firstLine="880"/>
      <w:outlineLvl w:val="1"/>
    </w:pPr>
    <w:rPr>
      <w:rFonts w:ascii="黑体" w:hAnsi="黑体" w:eastAsia="黑体" w:cs="黑体"/>
      <w:b/>
      <w:bCs/>
    </w:rPr>
  </w:style>
  <w:style w:type="paragraph" w:styleId="4">
    <w:name w:val="heading 3"/>
    <w:basedOn w:val="1"/>
    <w:next w:val="1"/>
    <w:link w:val="24"/>
    <w:unhideWhenUsed/>
    <w:qFormat/>
    <w:uiPriority w:val="0"/>
    <w:pPr>
      <w:keepNext/>
      <w:keepLines/>
      <w:spacing w:before="0" w:after="0" w:line="600" w:lineRule="exact"/>
      <w:outlineLvl w:val="2"/>
    </w:pPr>
    <w:rPr>
      <w:rFonts w:ascii="Times New Roman" w:hAnsi="Times New Roman" w:eastAsia="宋体"/>
      <w:b/>
      <w:bCs/>
      <w:sz w:val="28"/>
    </w:rPr>
  </w:style>
  <w:style w:type="paragraph" w:styleId="5">
    <w:name w:val="heading 4"/>
    <w:basedOn w:val="1"/>
    <w:next w:val="1"/>
    <w:link w:val="25"/>
    <w:autoRedefine/>
    <w:semiHidden/>
    <w:unhideWhenUsed/>
    <w:qFormat/>
    <w:uiPriority w:val="0"/>
    <w:pPr>
      <w:keepNext/>
      <w:keepLines/>
      <w:tabs>
        <w:tab w:val="left" w:pos="420"/>
      </w:tabs>
      <w:spacing w:line="600" w:lineRule="exact"/>
      <w:ind w:firstLine="880" w:firstLineChars="200"/>
      <w:outlineLvl w:val="3"/>
    </w:pPr>
    <w:rPr>
      <w:rFonts w:ascii="仿宋_GB2312" w:hAnsi="仿宋_GB2312"/>
      <w:bCs/>
      <w:kern w:val="0"/>
      <w:szCs w:val="28"/>
    </w:rPr>
  </w:style>
  <w:style w:type="paragraph" w:styleId="6">
    <w:name w:val="heading 5"/>
    <w:basedOn w:val="1"/>
    <w:next w:val="1"/>
    <w:link w:val="20"/>
    <w:semiHidden/>
    <w:unhideWhenUsed/>
    <w:qFormat/>
    <w:uiPriority w:val="0"/>
    <w:pPr>
      <w:keepNext/>
      <w:keepLines/>
      <w:spacing w:before="0" w:beforeLines="0" w:beforeAutospacing="0" w:after="0" w:afterLines="0" w:afterAutospacing="0" w:line="560" w:lineRule="exact"/>
      <w:ind w:firstLine="883" w:firstLineChars="200"/>
      <w:outlineLvl w:val="4"/>
    </w:pPr>
    <w:rPr>
      <w:rFonts w:ascii="仿宋_GB2312" w:hAnsi="仿宋_GB2312" w:eastAsia="仿宋_GB2312" w:cs="仿宋_GB2312"/>
      <w:sz w:val="32"/>
      <w:szCs w:val="32"/>
    </w:rPr>
  </w:style>
  <w:style w:type="paragraph" w:styleId="7">
    <w:name w:val="heading 6"/>
    <w:basedOn w:val="1"/>
    <w:next w:val="1"/>
    <w:link w:val="21"/>
    <w:autoRedefine/>
    <w:semiHidden/>
    <w:unhideWhenUsed/>
    <w:qFormat/>
    <w:uiPriority w:val="0"/>
    <w:pPr>
      <w:keepNext/>
      <w:keepLines/>
      <w:tabs>
        <w:tab w:val="left" w:pos="420"/>
      </w:tabs>
      <w:spacing w:before="0" w:beforeLines="0" w:beforeAutospacing="0" w:after="0" w:afterLines="0" w:afterAutospacing="0" w:line="560" w:lineRule="exact"/>
      <w:ind w:firstLine="880" w:firstLineChars="200"/>
      <w:outlineLvl w:val="5"/>
    </w:pPr>
    <w:rPr>
      <w:color w:val="auto"/>
      <w:kern w:val="0"/>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8">
    <w:name w:val="table of authorities"/>
    <w:next w:val="1"/>
    <w:autoRedefine/>
    <w:qFormat/>
    <w:uiPriority w:val="0"/>
    <w:pPr>
      <w:widowControl w:val="0"/>
      <w:ind w:left="420" w:leftChars="200"/>
      <w:jc w:val="both"/>
    </w:pPr>
    <w:rPr>
      <w:rFonts w:ascii="Times New Roman" w:hAnsi="Times New Roman" w:eastAsia="仿宋_GB2312" w:cs="Times New Roman"/>
      <w:kern w:val="2"/>
      <w:sz w:val="32"/>
      <w:szCs w:val="24"/>
      <w:lang w:val="en-US" w:eastAsia="zh-CN" w:bidi="ar-SA"/>
    </w:rPr>
  </w:style>
  <w:style w:type="paragraph" w:styleId="9">
    <w:name w:val="Normal Indent"/>
    <w:basedOn w:val="1"/>
    <w:next w:val="1"/>
    <w:qFormat/>
    <w:uiPriority w:val="0"/>
    <w:pPr>
      <w:ind w:firstLine="420"/>
    </w:pPr>
    <w:rPr>
      <w:kern w:val="0"/>
      <w:sz w:val="20"/>
    </w:rPr>
  </w:style>
  <w:style w:type="paragraph" w:styleId="10">
    <w:name w:val="annotation text"/>
    <w:basedOn w:val="1"/>
    <w:qFormat/>
    <w:uiPriority w:val="0"/>
    <w:pPr>
      <w:jc w:val="left"/>
    </w:pPr>
  </w:style>
  <w:style w:type="paragraph" w:styleId="11">
    <w:name w:val="Body Text"/>
    <w:basedOn w:val="1"/>
    <w:semiHidden/>
    <w:qFormat/>
    <w:uiPriority w:val="0"/>
    <w:rPr>
      <w:rFonts w:ascii="宋体" w:hAnsi="宋体" w:eastAsia="宋体" w:cs="宋体"/>
      <w:sz w:val="30"/>
      <w:szCs w:val="30"/>
      <w:lang w:val="en-US" w:eastAsia="en-US"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character" w:styleId="18">
    <w:name w:val="endnote reference"/>
    <w:basedOn w:val="16"/>
    <w:qFormat/>
    <w:uiPriority w:val="0"/>
    <w:rPr>
      <w:vertAlign w:val="superscript"/>
    </w:rPr>
  </w:style>
  <w:style w:type="character" w:styleId="19">
    <w:name w:val="footnote reference"/>
    <w:basedOn w:val="18"/>
    <w:qFormat/>
    <w:uiPriority w:val="0"/>
    <w:rPr>
      <w:rFonts w:ascii="Times New Roman" w:hAnsi="Times New Roman" w:eastAsia="宋体"/>
      <w:vertAlign w:val="superscript"/>
    </w:rPr>
  </w:style>
  <w:style w:type="character" w:customStyle="1" w:styleId="20">
    <w:name w:val="标题 5 Char"/>
    <w:link w:val="6"/>
    <w:qFormat/>
    <w:uiPriority w:val="0"/>
    <w:rPr>
      <w:rFonts w:ascii="仿宋_GB2312" w:hAnsi="仿宋_GB2312" w:eastAsia="仿宋_GB2312" w:cs="仿宋_GB2312"/>
      <w:sz w:val="32"/>
      <w:szCs w:val="32"/>
    </w:rPr>
  </w:style>
  <w:style w:type="character" w:customStyle="1" w:styleId="21">
    <w:name w:val="标题 6 Char"/>
    <w:link w:val="7"/>
    <w:autoRedefine/>
    <w:qFormat/>
    <w:uiPriority w:val="0"/>
    <w:rPr>
      <w:rFonts w:ascii="仿宋_GB2312" w:hAnsi="仿宋_GB2312" w:eastAsia="仿宋_GB2312"/>
      <w:color w:val="auto"/>
      <w:kern w:val="0"/>
      <w:szCs w:val="32"/>
    </w:rPr>
  </w:style>
  <w:style w:type="character" w:customStyle="1" w:styleId="22">
    <w:name w:val="标题 1 字符"/>
    <w:link w:val="2"/>
    <w:qFormat/>
    <w:uiPriority w:val="9"/>
    <w:rPr>
      <w:rFonts w:ascii="Times New Roman" w:hAnsi="Times New Roman" w:eastAsia="微软雅黑"/>
      <w:b/>
      <w:bCs/>
      <w:kern w:val="44"/>
      <w:sz w:val="44"/>
      <w:szCs w:val="44"/>
    </w:rPr>
  </w:style>
  <w:style w:type="character" w:customStyle="1" w:styleId="23">
    <w:name w:val="标题 2 字符"/>
    <w:link w:val="3"/>
    <w:qFormat/>
    <w:uiPriority w:val="9"/>
    <w:rPr>
      <w:rFonts w:ascii="黑体" w:hAnsi="黑体" w:eastAsia="黑体" w:cs="黑体"/>
      <w:b/>
      <w:bCs/>
      <w:kern w:val="2"/>
      <w:sz w:val="32"/>
      <w:szCs w:val="32"/>
      <w:lang w:val="en-US" w:eastAsia="zh-CN" w:bidi="ar-SA"/>
    </w:rPr>
  </w:style>
  <w:style w:type="character" w:customStyle="1" w:styleId="24">
    <w:name w:val="标题 3 字符"/>
    <w:link w:val="4"/>
    <w:qFormat/>
    <w:uiPriority w:val="9"/>
    <w:rPr>
      <w:rFonts w:ascii="Times New Roman" w:hAnsi="Times New Roman" w:eastAsia="宋体"/>
      <w:b/>
      <w:bCs/>
      <w:sz w:val="28"/>
      <w:szCs w:val="32"/>
    </w:rPr>
  </w:style>
  <w:style w:type="character" w:customStyle="1" w:styleId="25">
    <w:name w:val="标题 4 字符"/>
    <w:link w:val="5"/>
    <w:qFormat/>
    <w:uiPriority w:val="9"/>
    <w:rPr>
      <w:rFonts w:ascii="仿宋_GB2312" w:hAnsi="仿宋_GB2312" w:eastAsia="仿宋_GB2312" w:cstheme="minorEastAsia"/>
      <w:bCs/>
      <w:kern w:val="0"/>
      <w:sz w:val="32"/>
      <w:szCs w:val="28"/>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14588</Words>
  <Characters>14920</Characters>
  <Lines>0</Lines>
  <Paragraphs>0</Paragraphs>
  <TotalTime>26</TotalTime>
  <ScaleCrop>false</ScaleCrop>
  <LinksUpToDate>false</LinksUpToDate>
  <CharactersWithSpaces>14929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2025-12-04T21:29:00Z</dcterms:created>
  <dc:creator>Lenovo</dc:creator>
  <cp:lastModifiedBy>代理机构c</cp:lastModifiedBy>
  <cp:lastPrinted>2026-03-24T14:58:00Z</cp:lastPrinted>
  <dcterms:modified xsi:type="dcterms:W3CDTF">2026-04-21T07:50:01Z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17F431C44C95CBCE3224E769F9C2DB49_43</vt:lpwstr>
  </property>
  <property fmtid="{D5CDD505-2E9C-101B-9397-08002B2CF9AE}" pid="4" name="KSOTemplateDocerSaveRecord">
    <vt:lpwstr>eyJoZGlkIjoiZDEyMDY1MDE4NDllNWI1OTNlODQzNWVhZTkyZDQ2MDkiLCJ1c2VySWQiOiIyMjkxNTgzMTEifQ==</vt:lpwstr>
  </property>
</Properties>
</file>