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0"/>
          <w:szCs w:val="30"/>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32"/>
          <w:u w:val="single"/>
        </w:rPr>
        <w:t>广东财经大学</w:t>
      </w:r>
      <w:r>
        <w:rPr>
          <w:rFonts w:hint="eastAsia" w:ascii="宋体" w:hAnsi="宋体"/>
          <w:b/>
          <w:sz w:val="32"/>
          <w:szCs w:val="32"/>
          <w:u w:val="single"/>
          <w:lang w:val="en-US" w:eastAsia="zh-CN"/>
        </w:rPr>
        <w:t>2024-2025年基建、修缮项目</w:t>
      </w:r>
      <w:r>
        <w:rPr>
          <w:rFonts w:hint="eastAsia" w:ascii="宋体" w:hAnsi="宋体"/>
          <w:b/>
          <w:sz w:val="32"/>
          <w:szCs w:val="32"/>
          <w:u w:val="single"/>
        </w:rPr>
        <w:t>预算</w:t>
      </w:r>
      <w:r>
        <w:rPr>
          <w:rFonts w:hint="eastAsia" w:ascii="宋体" w:hAnsi="宋体"/>
          <w:b/>
          <w:sz w:val="32"/>
          <w:szCs w:val="32"/>
          <w:u w:val="single"/>
          <w:lang w:val="en-US" w:eastAsia="zh-CN"/>
        </w:rPr>
        <w:t>审核</w:t>
      </w:r>
      <w:r>
        <w:rPr>
          <w:rFonts w:hint="eastAsia" w:ascii="宋体" w:hAnsi="宋体"/>
          <w:b/>
          <w:sz w:val="32"/>
          <w:szCs w:val="32"/>
          <w:u w:val="single"/>
        </w:rPr>
        <w:t xml:space="preserve"> </w:t>
      </w:r>
      <w:r>
        <w:rPr>
          <w:rFonts w:hint="eastAsia" w:ascii="宋体" w:hAnsi="宋体"/>
          <w:b/>
          <w:sz w:val="32"/>
          <w:szCs w:val="32"/>
          <w:u w:val="none"/>
        </w:rPr>
        <w:t xml:space="preserve">         </w:t>
      </w:r>
      <w:r>
        <w:rPr>
          <w:rFonts w:hint="eastAsia" w:ascii="宋体" w:hAnsi="宋体"/>
          <w:b/>
          <w:sz w:val="30"/>
          <w:szCs w:val="30"/>
          <w:u w:val="non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财务与国有资产管理处</w:t>
      </w:r>
      <w:r>
        <w:rPr>
          <w:rFonts w:hint="eastAsia" w:ascii="宋体" w:hAnsi="宋体"/>
          <w:b/>
          <w:sz w:val="36"/>
          <w:u w:val="none"/>
        </w:rPr>
        <w:t xml:space="preserve">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2024年5月14日</w:t>
      </w:r>
      <w:r>
        <w:rPr>
          <w:rFonts w:hint="eastAsia" w:ascii="宋体" w:hAnsi="宋体"/>
          <w:b/>
          <w:sz w:val="36"/>
          <w:u w:val="single"/>
        </w:rPr>
        <w:t xml:space="preserve">       </w:t>
      </w:r>
    </w:p>
    <w:p>
      <w:pPr>
        <w:spacing w:line="1000" w:lineRule="exact"/>
        <w:jc w:val="both"/>
        <w:rPr>
          <w:rFonts w:ascii="黑体" w:eastAsia="黑体"/>
          <w:b/>
          <w:sz w:val="72"/>
          <w:szCs w:val="72"/>
        </w:rPr>
      </w:pPr>
      <w:bookmarkStart w:id="29" w:name="_GoBack"/>
      <w:bookmarkEnd w:id="29"/>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w:t>
      </w:r>
      <w:r>
        <w:rPr>
          <w:rFonts w:hint="eastAsia" w:asciiTheme="minorEastAsia" w:hAnsiTheme="minorEastAsia" w:eastAsiaTheme="minorEastAsia" w:cstheme="minorEastAsia"/>
          <w:sz w:val="28"/>
          <w:szCs w:val="28"/>
          <w:lang w:eastAsia="zh-CN"/>
        </w:rPr>
        <w:t>报价人</w:t>
      </w:r>
      <w:r>
        <w:rPr>
          <w:rFonts w:hint="eastAsia" w:asciiTheme="minorEastAsia" w:hAnsiTheme="minorEastAsia" w:eastAsiaTheme="minorEastAsia" w:cstheme="minorEastAsia"/>
          <w:sz w:val="28"/>
          <w:szCs w:val="28"/>
        </w:rPr>
        <w:t>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pageBreakBefore w:val="0"/>
        <w:widowControl w:val="0"/>
        <w:kinsoku/>
        <w:wordWrap/>
        <w:overflowPunct/>
        <w:topLinePunct w:val="0"/>
        <w:autoSpaceDE/>
        <w:autoSpaceDN/>
        <w:bidi w:val="0"/>
        <w:spacing w:line="560" w:lineRule="atLeast"/>
        <w:ind w:firstLine="560" w:firstLineChars="200"/>
        <w:textAlignment w:val="auto"/>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atLeast"/>
        <w:ind w:firstLine="562" w:firstLineChars="200"/>
        <w:textAlignment w:val="auto"/>
        <w:rPr>
          <w:rFonts w:hint="eastAsia"/>
        </w:rPr>
      </w:pPr>
      <w:bookmarkStart w:id="4" w:name="_Toc60236698"/>
      <w:bookmarkStart w:id="5" w:name="_Toc508103351"/>
      <w:bookmarkStart w:id="6" w:name="_Toc16574"/>
      <w:r>
        <w:rPr>
          <w:rFonts w:hint="eastAsia"/>
        </w:rPr>
        <w:t>采购项目</w:t>
      </w:r>
      <w:bookmarkEnd w:id="4"/>
      <w:bookmarkEnd w:id="5"/>
      <w:r>
        <w:rPr>
          <w:rFonts w:hint="eastAsia"/>
        </w:rPr>
        <w:t>概况</w:t>
      </w:r>
      <w:bookmarkEnd w:id="6"/>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rPr>
      </w:pPr>
      <w:r>
        <w:rPr>
          <w:rFonts w:hint="eastAsia" w:ascii="宋体" w:hAnsi="宋体"/>
          <w:sz w:val="28"/>
          <w:szCs w:val="28"/>
          <w:lang w:val="en-US" w:eastAsia="zh-CN"/>
        </w:rPr>
        <w:t>本项目</w:t>
      </w:r>
      <w:r>
        <w:rPr>
          <w:rFonts w:hint="eastAsia" w:ascii="宋体" w:hAnsi="宋体"/>
          <w:sz w:val="28"/>
          <w:szCs w:val="28"/>
        </w:rPr>
        <w:t>主要为广东财经大学两校区202</w:t>
      </w:r>
      <w:r>
        <w:rPr>
          <w:rFonts w:hint="eastAsia" w:ascii="宋体" w:hAnsi="宋体"/>
          <w:sz w:val="28"/>
          <w:szCs w:val="28"/>
          <w:lang w:val="en-US" w:eastAsia="zh-CN"/>
        </w:rPr>
        <w:t>4</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10万元以上基建、修缮</w:t>
      </w:r>
      <w:r>
        <w:rPr>
          <w:rFonts w:hint="eastAsia" w:ascii="宋体" w:hAnsi="宋体"/>
          <w:sz w:val="28"/>
          <w:szCs w:val="28"/>
        </w:rPr>
        <w:t>项目。</w:t>
      </w:r>
      <w:r>
        <w:rPr>
          <w:rFonts w:hint="eastAsia" w:ascii="宋体" w:hAnsi="宋体"/>
          <w:sz w:val="28"/>
          <w:szCs w:val="28"/>
          <w:lang w:val="en-US" w:eastAsia="zh-CN"/>
        </w:rPr>
        <w:t>需审核</w:t>
      </w:r>
      <w:r>
        <w:rPr>
          <w:rFonts w:hint="eastAsia" w:ascii="宋体" w:hAnsi="宋体"/>
          <w:sz w:val="28"/>
          <w:szCs w:val="28"/>
        </w:rPr>
        <w:t>项目预算总金额约</w:t>
      </w:r>
      <w:r>
        <w:rPr>
          <w:rFonts w:hint="eastAsia" w:ascii="宋体" w:hAnsi="宋体"/>
          <w:sz w:val="28"/>
          <w:szCs w:val="28"/>
          <w:lang w:val="en-US" w:eastAsia="zh-CN"/>
        </w:rPr>
        <w:t>5</w:t>
      </w:r>
      <w:r>
        <w:rPr>
          <w:rFonts w:hint="eastAsia" w:ascii="宋体" w:hAnsi="宋体"/>
          <w:sz w:val="28"/>
          <w:szCs w:val="28"/>
        </w:rPr>
        <w:t>,000万元，按最终审核项目实际金额结算。</w:t>
      </w:r>
    </w:p>
    <w:p>
      <w:pPr>
        <w:pageBreakBefore w:val="0"/>
        <w:widowControl w:val="0"/>
        <w:kinsoku/>
        <w:wordWrap/>
        <w:overflowPunct/>
        <w:topLinePunct w:val="0"/>
        <w:autoSpaceDE/>
        <w:autoSpaceDN/>
        <w:bidi w:val="0"/>
        <w:spacing w:line="560" w:lineRule="atLeast"/>
        <w:ind w:firstLine="560" w:firstLineChars="200"/>
        <w:textAlignment w:val="auto"/>
        <w:rPr>
          <w:rFonts w:ascii="宋体" w:hAnsi="宋体"/>
          <w:color w:val="FF0000"/>
          <w:sz w:val="28"/>
          <w:szCs w:val="28"/>
        </w:rPr>
      </w:pPr>
      <w:r>
        <w:rPr>
          <w:rFonts w:hint="eastAsia" w:ascii="宋体" w:hAnsi="宋体"/>
          <w:color w:val="FF0000"/>
          <w:sz w:val="28"/>
          <w:szCs w:val="28"/>
        </w:rPr>
        <w:t>本项目采购预算控制价</w:t>
      </w:r>
      <w:r>
        <w:rPr>
          <w:rFonts w:hint="eastAsia" w:ascii="宋体" w:hAnsi="宋体"/>
          <w:color w:val="FF0000"/>
          <w:sz w:val="28"/>
          <w:szCs w:val="28"/>
          <w:lang w:val="en-US" w:eastAsia="zh-CN"/>
        </w:rPr>
        <w:t>9</w:t>
      </w:r>
      <w:r>
        <w:rPr>
          <w:rFonts w:hint="eastAsia" w:ascii="宋体" w:hAnsi="宋体"/>
          <w:color w:val="FF0000"/>
          <w:sz w:val="28"/>
          <w:szCs w:val="28"/>
        </w:rPr>
        <w:t>万元，</w:t>
      </w:r>
      <w:r>
        <w:rPr>
          <w:rFonts w:ascii="宋体" w:hAnsi="宋体"/>
          <w:color w:val="FF0000"/>
          <w:sz w:val="28"/>
          <w:szCs w:val="28"/>
        </w:rPr>
        <w:t>资金已到位</w:t>
      </w:r>
      <w:r>
        <w:rPr>
          <w:rFonts w:hint="eastAsia" w:ascii="宋体" w:hAnsi="宋体"/>
          <w:color w:val="FF0000"/>
          <w:sz w:val="28"/>
          <w:szCs w:val="28"/>
          <w:lang w:eastAsia="zh-CN"/>
        </w:rPr>
        <w:t>，</w:t>
      </w:r>
      <w:r>
        <w:rPr>
          <w:rFonts w:hint="eastAsia" w:ascii="宋体" w:hAnsi="宋体"/>
          <w:color w:val="FF0000"/>
          <w:sz w:val="28"/>
          <w:szCs w:val="28"/>
          <w:lang w:val="en-US" w:eastAsia="zh-CN"/>
        </w:rPr>
        <w:t>据实结算</w:t>
      </w:r>
      <w:r>
        <w:rPr>
          <w:rFonts w:ascii="宋体" w:hAnsi="宋体"/>
          <w:color w:val="FF0000"/>
          <w:sz w:val="28"/>
          <w:szCs w:val="28"/>
        </w:rPr>
        <w:t>。</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w:t>
      </w:r>
      <w:r>
        <w:rPr>
          <w:rFonts w:hint="eastAsia" w:ascii="宋体" w:hAnsi="宋体"/>
          <w:sz w:val="28"/>
          <w:szCs w:val="28"/>
          <w:lang w:eastAsia="zh-CN"/>
        </w:rPr>
        <w:t>报价人</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hint="eastAsia" w:ascii="宋体" w:hAnsi="宋体"/>
          <w:sz w:val="28"/>
          <w:szCs w:val="28"/>
        </w:rPr>
      </w:pPr>
      <w:r>
        <w:rPr>
          <w:rFonts w:hint="eastAsia" w:ascii="宋体" w:hAnsi="宋体"/>
          <w:sz w:val="28"/>
          <w:szCs w:val="28"/>
        </w:rPr>
        <w:t>投标人按下浮折扣率进行报价。</w:t>
      </w:r>
    </w:p>
    <w:p>
      <w:pPr>
        <w:spacing w:line="560" w:lineRule="exact"/>
        <w:ind w:firstLine="560" w:firstLineChars="200"/>
        <w:rPr>
          <w:rFonts w:hint="eastAsia" w:ascii="宋体" w:hAnsi="宋体"/>
          <w:sz w:val="28"/>
          <w:szCs w:val="28"/>
        </w:rPr>
      </w:pPr>
      <w:r>
        <w:rPr>
          <w:rFonts w:hint="eastAsia" w:ascii="宋体" w:hAnsi="宋体"/>
          <w:sz w:val="28"/>
          <w:szCs w:val="28"/>
        </w:rPr>
        <w:t>收费基准价</w:t>
      </w:r>
      <w:r>
        <w:rPr>
          <w:rFonts w:hint="eastAsia" w:ascii="宋体" w:hAnsi="宋体"/>
          <w:sz w:val="28"/>
          <w:szCs w:val="28"/>
          <w:lang w:eastAsia="zh-CN"/>
        </w:rPr>
        <w:t>：按《广东省建筑工程造价咨询服务收费项目和收费标准表》（附件1）为标准，以送审金额按全年工程预算审核的清单计价法差额定率累进计费，在此基础上下浮一定比率（包括该表中说明第2条“造价咨询费不足2000元的按2000元收取”也按该比率计算），例如：1、某项目送审金额为120万元，按此标准计算出来的基准价为5,620元（1,000,000*3‰+200,000*2.5‰+1,000,000*1.8‰+200,000*1.6‰），在此基础上再按最终折扣率计算，如最终折扣率为20%，即4,496元（5,620*80%）。2、某项目送审金额为30万元，按此标准计算出来的基准价为1,440元（300,000*3‰+300,000*1.8‰），在此基础上再按最终折扣率计算，如最终折扣率为20%，即1,600元（2,000*80%）。以成交的两家供应商所报的下浮折扣率的平均值作为最终折扣率，每个项目的委托由我校根据供应商专业特点及服务质量等，指定其中的一家作为评审公司承接。</w:t>
      </w:r>
    </w:p>
    <w:p>
      <w:pPr>
        <w:spacing w:line="560" w:lineRule="exact"/>
        <w:ind w:firstLine="560" w:firstLineChars="200"/>
        <w:rPr>
          <w:rFonts w:ascii="宋体" w:hAnsi="宋体"/>
          <w:sz w:val="28"/>
          <w:szCs w:val="28"/>
        </w:rPr>
      </w:pPr>
      <w:r>
        <w:rPr>
          <w:rFonts w:hint="eastAsia" w:ascii="宋体" w:hAnsi="宋体"/>
          <w:sz w:val="28"/>
          <w:szCs w:val="28"/>
        </w:rPr>
        <w:t>提醒：报价文件中只能提供唯一明确报价。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lang w:val="en-US" w:eastAsia="zh-CN"/>
        </w:rPr>
        <w:t>一</w:t>
      </w:r>
      <w:r>
        <w:rPr>
          <w:rFonts w:hint="eastAsia" w:ascii="宋体" w:hAnsi="宋体"/>
          <w:sz w:val="28"/>
          <w:szCs w:val="28"/>
          <w:u w:val="single"/>
        </w:rPr>
        <w:t>。</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w:t>
      </w:r>
      <w:r>
        <w:rPr>
          <w:rFonts w:hint="eastAsia" w:ascii="宋体" w:hAnsi="宋体"/>
          <w:b/>
          <w:bCs/>
          <w:sz w:val="28"/>
          <w:szCs w:val="28"/>
          <w:lang w:eastAsia="zh-CN"/>
        </w:rPr>
        <w:t>报价人</w:t>
      </w:r>
      <w:r>
        <w:rPr>
          <w:rFonts w:hint="eastAsia" w:ascii="宋体" w:hAnsi="宋体"/>
          <w:b/>
          <w:bCs/>
          <w:sz w:val="28"/>
          <w:szCs w:val="28"/>
        </w:rPr>
        <w:t>中，按报价</w:t>
      </w:r>
      <w:r>
        <w:rPr>
          <w:rFonts w:hint="eastAsia" w:ascii="宋体" w:hAnsi="宋体"/>
          <w:b/>
          <w:bCs/>
          <w:sz w:val="28"/>
          <w:szCs w:val="28"/>
          <w:lang w:val="en-US" w:eastAsia="zh-CN"/>
        </w:rPr>
        <w:t>下浮率</w:t>
      </w:r>
      <w:r>
        <w:rPr>
          <w:rFonts w:hint="eastAsia" w:ascii="宋体" w:hAnsi="宋体"/>
          <w:b/>
          <w:bCs/>
          <w:sz w:val="28"/>
          <w:szCs w:val="28"/>
        </w:rPr>
        <w:t>最</w:t>
      </w:r>
      <w:r>
        <w:rPr>
          <w:rFonts w:hint="eastAsia" w:ascii="宋体" w:hAnsi="宋体"/>
          <w:b/>
          <w:bCs/>
          <w:sz w:val="28"/>
          <w:szCs w:val="28"/>
          <w:lang w:val="en-US" w:eastAsia="zh-CN"/>
        </w:rPr>
        <w:t>高</w:t>
      </w:r>
      <w:r>
        <w:rPr>
          <w:rFonts w:hint="eastAsia" w:ascii="宋体" w:hAnsi="宋体"/>
          <w:b/>
          <w:bCs/>
          <w:sz w:val="28"/>
          <w:szCs w:val="28"/>
        </w:rPr>
        <w:t>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hint="eastAsia" w:ascii="宋体" w:hAnsi="宋体"/>
          <w:b w:val="0"/>
          <w:bCs w:val="0"/>
          <w:sz w:val="28"/>
          <w:szCs w:val="28"/>
        </w:rPr>
      </w:pPr>
      <w:r>
        <w:rPr>
          <w:rFonts w:hint="eastAsia" w:ascii="宋体" w:hAnsi="宋体"/>
          <w:b/>
          <w:bCs/>
          <w:sz w:val="28"/>
          <w:szCs w:val="28"/>
        </w:rPr>
        <w:t>2、详细性评审：</w:t>
      </w:r>
      <w:r>
        <w:rPr>
          <w:rFonts w:hint="eastAsia" w:ascii="宋体" w:hAnsi="宋体"/>
          <w:b w:val="0"/>
          <w:bCs w:val="0"/>
          <w:sz w:val="28"/>
          <w:szCs w:val="28"/>
        </w:rPr>
        <w:t>按照报价下浮率最高原则确定成交</w:t>
      </w:r>
      <w:r>
        <w:rPr>
          <w:rFonts w:hint="eastAsia" w:ascii="宋体" w:hAnsi="宋体"/>
          <w:b w:val="0"/>
          <w:bCs w:val="0"/>
          <w:sz w:val="28"/>
          <w:szCs w:val="28"/>
          <w:lang w:val="en-US" w:eastAsia="zh-CN"/>
        </w:rPr>
        <w:t>报价人</w:t>
      </w:r>
      <w:r>
        <w:rPr>
          <w:rFonts w:hint="eastAsia" w:ascii="宋体" w:hAnsi="宋体"/>
          <w:b w:val="0"/>
          <w:bCs w:val="0"/>
          <w:sz w:val="28"/>
          <w:szCs w:val="28"/>
        </w:rPr>
        <w:t>。下浮折扣率率最高、次高的</w:t>
      </w:r>
      <w:r>
        <w:rPr>
          <w:rFonts w:hint="eastAsia" w:ascii="宋体" w:hAnsi="宋体"/>
          <w:b w:val="0"/>
          <w:bCs w:val="0"/>
          <w:sz w:val="28"/>
          <w:szCs w:val="28"/>
          <w:lang w:val="en-US" w:eastAsia="zh-CN"/>
        </w:rPr>
        <w:t>报价人</w:t>
      </w:r>
      <w:r>
        <w:rPr>
          <w:rFonts w:hint="eastAsia" w:ascii="宋体" w:hAnsi="宋体"/>
          <w:b w:val="0"/>
          <w:bCs w:val="0"/>
          <w:sz w:val="28"/>
          <w:szCs w:val="28"/>
        </w:rPr>
        <w:t>为第一、第二候选成交</w:t>
      </w:r>
      <w:r>
        <w:rPr>
          <w:rFonts w:hint="eastAsia" w:ascii="宋体" w:hAnsi="宋体"/>
          <w:b w:val="0"/>
          <w:bCs w:val="0"/>
          <w:sz w:val="28"/>
          <w:szCs w:val="28"/>
          <w:lang w:val="en-US" w:eastAsia="zh-CN"/>
        </w:rPr>
        <w:t>报价人</w:t>
      </w:r>
      <w:r>
        <w:rPr>
          <w:rFonts w:hint="eastAsia" w:ascii="宋体" w:hAnsi="宋体"/>
          <w:b w:val="0"/>
          <w:bCs w:val="0"/>
          <w:sz w:val="28"/>
          <w:szCs w:val="28"/>
        </w:rPr>
        <w:t>，最高、次高</w:t>
      </w:r>
      <w:r>
        <w:rPr>
          <w:rFonts w:hint="eastAsia" w:ascii="宋体" w:hAnsi="宋体"/>
          <w:b w:val="0"/>
          <w:bCs w:val="0"/>
          <w:sz w:val="28"/>
          <w:szCs w:val="28"/>
          <w:lang w:val="en-US" w:eastAsia="zh-CN"/>
        </w:rPr>
        <w:t>报价人</w:t>
      </w:r>
      <w:r>
        <w:rPr>
          <w:rFonts w:hint="eastAsia" w:ascii="宋体" w:hAnsi="宋体"/>
          <w:b w:val="0"/>
          <w:bCs w:val="0"/>
          <w:sz w:val="28"/>
          <w:szCs w:val="28"/>
        </w:rPr>
        <w:t>因故不签合同的，报价排名第三的</w:t>
      </w:r>
      <w:r>
        <w:rPr>
          <w:rFonts w:hint="eastAsia" w:ascii="宋体" w:hAnsi="宋体"/>
          <w:b w:val="0"/>
          <w:bCs w:val="0"/>
          <w:sz w:val="28"/>
          <w:szCs w:val="28"/>
          <w:lang w:val="en-US" w:eastAsia="zh-CN"/>
        </w:rPr>
        <w:t>报价人</w:t>
      </w:r>
      <w:r>
        <w:rPr>
          <w:rFonts w:hint="eastAsia" w:ascii="宋体" w:hAnsi="宋体"/>
          <w:b w:val="0"/>
          <w:bCs w:val="0"/>
          <w:sz w:val="28"/>
          <w:szCs w:val="28"/>
        </w:rPr>
        <w:t>推荐为候选成交</w:t>
      </w:r>
      <w:r>
        <w:rPr>
          <w:rFonts w:hint="eastAsia" w:ascii="宋体" w:hAnsi="宋体"/>
          <w:b w:val="0"/>
          <w:bCs w:val="0"/>
          <w:sz w:val="28"/>
          <w:szCs w:val="28"/>
          <w:lang w:val="en-US" w:eastAsia="zh-CN"/>
        </w:rPr>
        <w:t>报价人</w:t>
      </w:r>
      <w:r>
        <w:rPr>
          <w:rFonts w:hint="eastAsia" w:ascii="宋体" w:hAnsi="宋体"/>
          <w:b w:val="0"/>
          <w:bCs w:val="0"/>
          <w:sz w:val="28"/>
          <w:szCs w:val="28"/>
        </w:rPr>
        <w:t>，依此类推。</w:t>
      </w:r>
    </w:p>
    <w:p>
      <w:pPr>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当出现相同报价时，按报价文件</w:t>
      </w:r>
      <w:r>
        <w:rPr>
          <w:rFonts w:hint="eastAsia" w:ascii="宋体" w:hAnsi="宋体"/>
          <w:sz w:val="28"/>
          <w:szCs w:val="28"/>
          <w:highlight w:val="none"/>
          <w:lang w:val="en-US" w:eastAsia="zh-CN"/>
        </w:rPr>
        <w:t>寄出时间的</w:t>
      </w:r>
      <w:r>
        <w:rPr>
          <w:rFonts w:hint="eastAsia" w:ascii="宋体" w:hAnsi="宋体"/>
          <w:sz w:val="28"/>
          <w:szCs w:val="28"/>
          <w:highlight w:val="none"/>
        </w:rPr>
        <w:t>先后顺序</w:t>
      </w:r>
      <w:r>
        <w:rPr>
          <w:rFonts w:hint="eastAsia" w:ascii="宋体" w:hAnsi="宋体"/>
          <w:sz w:val="28"/>
          <w:szCs w:val="28"/>
          <w:highlight w:val="none"/>
          <w:lang w:val="en-US" w:eastAsia="zh-CN"/>
        </w:rPr>
        <w:t>排序，并推荐排名靠前的供应商成交</w:t>
      </w:r>
      <w:r>
        <w:rPr>
          <w:rFonts w:hint="eastAsia" w:ascii="宋体" w:hAnsi="宋体"/>
          <w:sz w:val="28"/>
          <w:szCs w:val="28"/>
          <w:highlight w:val="none"/>
        </w:rPr>
        <w:t>。</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w:t>
      </w:r>
      <w:r>
        <w:rPr>
          <w:rFonts w:hint="eastAsia" w:ascii="宋体" w:hAnsi="宋体"/>
          <w:b/>
          <w:bCs/>
          <w:sz w:val="28"/>
          <w:szCs w:val="28"/>
          <w:lang w:eastAsia="zh-CN"/>
        </w:rPr>
        <w:t>报价人</w:t>
      </w:r>
      <w:r>
        <w:rPr>
          <w:rFonts w:hint="eastAsia" w:ascii="宋体" w:hAnsi="宋体"/>
          <w:b/>
          <w:bCs/>
          <w:sz w:val="28"/>
          <w:szCs w:val="28"/>
        </w:rPr>
        <w:t>进行综合评审，综合得分最高推荐为成交</w:t>
      </w:r>
      <w:r>
        <w:rPr>
          <w:rFonts w:hint="eastAsia" w:ascii="宋体" w:hAnsi="宋体"/>
          <w:b/>
          <w:bCs/>
          <w:sz w:val="28"/>
          <w:szCs w:val="28"/>
          <w:lang w:eastAsia="zh-CN"/>
        </w:rPr>
        <w:t>报价人</w:t>
      </w:r>
      <w:r>
        <w:rPr>
          <w:rFonts w:hint="eastAsia" w:ascii="宋体" w:hAnsi="宋体"/>
          <w:b/>
          <w:bCs/>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w:t>
      </w:r>
      <w:r>
        <w:rPr>
          <w:rFonts w:hint="eastAsia" w:ascii="宋体" w:hAnsi="宋体"/>
          <w:sz w:val="28"/>
          <w:szCs w:val="28"/>
          <w:lang w:eastAsia="zh-CN"/>
        </w:rPr>
        <w:t>报价人</w:t>
      </w:r>
      <w:r>
        <w:rPr>
          <w:rFonts w:hint="eastAsia" w:ascii="宋体" w:hAnsi="宋体"/>
          <w:sz w:val="28"/>
          <w:szCs w:val="28"/>
        </w:rPr>
        <w:t>。综合得分相等时，以报价低的优先，报价也相等时，以技术质量因素得分高的优先，技术质量因素得分也相等时，由采购方代表确定1家作为成交</w:t>
      </w:r>
      <w:r>
        <w:rPr>
          <w:rFonts w:hint="eastAsia" w:ascii="宋体" w:hAnsi="宋体"/>
          <w:sz w:val="28"/>
          <w:szCs w:val="28"/>
          <w:lang w:eastAsia="zh-CN"/>
        </w:rPr>
        <w:t>报价人</w:t>
      </w:r>
      <w:r>
        <w:rPr>
          <w:rFonts w:hint="eastAsia" w:ascii="宋体" w:hAnsi="宋体"/>
          <w:sz w:val="28"/>
          <w:szCs w:val="28"/>
        </w:rPr>
        <w:t>。</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w:t>
      </w:r>
      <w:r>
        <w:rPr>
          <w:rFonts w:hint="eastAsia" w:ascii="宋体" w:hAnsi="宋体"/>
          <w:b/>
          <w:bCs/>
          <w:sz w:val="28"/>
          <w:szCs w:val="28"/>
          <w:lang w:eastAsia="zh-CN"/>
        </w:rPr>
        <w:t>报价人</w:t>
      </w:r>
      <w:r>
        <w:rPr>
          <w:rFonts w:hint="eastAsia" w:ascii="宋体" w:hAnsi="宋体"/>
          <w:b/>
          <w:bCs/>
          <w:sz w:val="28"/>
          <w:szCs w:val="28"/>
        </w:rPr>
        <w:t>进行一轮或多轮谈判确定具体采购需求后，按最低报价或综合评审得分最高推荐成交</w:t>
      </w:r>
      <w:r>
        <w:rPr>
          <w:rFonts w:hint="eastAsia" w:ascii="宋体" w:hAnsi="宋体"/>
          <w:b/>
          <w:bCs/>
          <w:sz w:val="28"/>
          <w:szCs w:val="28"/>
          <w:lang w:eastAsia="zh-CN"/>
        </w:rPr>
        <w:t>报价人</w:t>
      </w:r>
      <w:r>
        <w:rPr>
          <w:rFonts w:hint="eastAsia" w:ascii="宋体" w:hAnsi="宋体"/>
          <w:b/>
          <w:bCs/>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w:t>
      </w:r>
      <w:r>
        <w:rPr>
          <w:rFonts w:hint="eastAsia" w:ascii="宋体" w:hAnsi="宋体"/>
          <w:sz w:val="28"/>
          <w:szCs w:val="28"/>
          <w:lang w:eastAsia="zh-CN"/>
        </w:rPr>
        <w:t>报价人</w:t>
      </w:r>
      <w:r>
        <w:rPr>
          <w:rFonts w:hint="eastAsia" w:ascii="宋体" w:hAnsi="宋体"/>
          <w:sz w:val="28"/>
          <w:szCs w:val="28"/>
        </w:rPr>
        <w:t>分别进行，并给予所有参加报价的</w:t>
      </w:r>
      <w:r>
        <w:rPr>
          <w:rFonts w:hint="eastAsia" w:ascii="宋体" w:hAnsi="宋体"/>
          <w:sz w:val="28"/>
          <w:szCs w:val="28"/>
          <w:lang w:eastAsia="zh-CN"/>
        </w:rPr>
        <w:t>报价人</w:t>
      </w:r>
      <w:r>
        <w:rPr>
          <w:rFonts w:hint="eastAsia" w:ascii="宋体" w:hAnsi="宋体"/>
          <w:sz w:val="28"/>
          <w:szCs w:val="28"/>
        </w:rPr>
        <w:t>平等的谈判机会。</w:t>
      </w:r>
    </w:p>
    <w:p>
      <w:pPr>
        <w:spacing w:line="560" w:lineRule="exact"/>
        <w:ind w:firstLine="560" w:firstLineChars="200"/>
        <w:rPr>
          <w:rFonts w:ascii="宋体" w:hAnsi="宋体"/>
          <w:sz w:val="28"/>
          <w:szCs w:val="28"/>
        </w:rPr>
      </w:pPr>
      <w:r>
        <w:rPr>
          <w:rFonts w:hint="eastAsia" w:ascii="宋体" w:hAnsi="宋体"/>
          <w:sz w:val="28"/>
          <w:szCs w:val="28"/>
          <w:lang w:eastAsia="zh-CN"/>
        </w:rPr>
        <w:t>报价人</w:t>
      </w:r>
      <w:r>
        <w:rPr>
          <w:rFonts w:hint="eastAsia" w:ascii="宋体" w:hAnsi="宋体"/>
          <w:sz w:val="28"/>
          <w:szCs w:val="28"/>
        </w:rPr>
        <w:t>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3"/>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w:t>
      </w:r>
      <w:r>
        <w:rPr>
          <w:rFonts w:hint="eastAsia" w:ascii="宋体" w:hAnsi="宋体"/>
          <w:sz w:val="28"/>
          <w:szCs w:val="28"/>
          <w:lang w:eastAsia="zh-CN"/>
        </w:rPr>
        <w:t>报价人</w:t>
      </w:r>
      <w:r>
        <w:rPr>
          <w:rFonts w:hint="eastAsia" w:ascii="宋体" w:hAnsi="宋体"/>
          <w:sz w:val="28"/>
          <w:szCs w:val="28"/>
        </w:rPr>
        <w:t>为成交</w:t>
      </w:r>
      <w:r>
        <w:rPr>
          <w:rFonts w:hint="eastAsia" w:ascii="宋体" w:hAnsi="宋体"/>
          <w:sz w:val="28"/>
          <w:szCs w:val="28"/>
          <w:lang w:eastAsia="zh-CN"/>
        </w:rPr>
        <w:t>报价人</w:t>
      </w:r>
      <w:r>
        <w:rPr>
          <w:rFonts w:hint="eastAsia" w:ascii="宋体" w:hAnsi="宋体"/>
          <w:sz w:val="28"/>
          <w:szCs w:val="28"/>
        </w:rPr>
        <w:t>。最低报价相等时，由采购方代表确定1家作为成交</w:t>
      </w:r>
      <w:r>
        <w:rPr>
          <w:rFonts w:hint="eastAsia" w:ascii="宋体" w:hAnsi="宋体"/>
          <w:sz w:val="28"/>
          <w:szCs w:val="28"/>
          <w:lang w:eastAsia="zh-CN"/>
        </w:rPr>
        <w:t>报价人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w:t>
      </w:r>
      <w:r>
        <w:rPr>
          <w:rFonts w:hint="eastAsia" w:ascii="宋体" w:hAnsi="宋体"/>
          <w:sz w:val="28"/>
          <w:szCs w:val="28"/>
          <w:lang w:eastAsia="zh-CN"/>
        </w:rPr>
        <w:t>报价人</w:t>
      </w:r>
      <w:r>
        <w:rPr>
          <w:rFonts w:hint="eastAsia" w:ascii="宋体" w:hAnsi="宋体"/>
          <w:sz w:val="28"/>
          <w:szCs w:val="28"/>
        </w:rPr>
        <w:t>。综合得分相等时，以报价低的优先，报价也相等时，以技术质量因素得分高的优先，技术质量因素得分也相等时，由采购方代表确定1家作为中标候选人。</w:t>
      </w:r>
    </w:p>
    <w:p>
      <w:pPr>
        <w:pStyle w:val="3"/>
        <w:numPr>
          <w:ilvl w:val="0"/>
          <w:numId w:val="4"/>
        </w:numPr>
        <w:spacing w:line="560" w:lineRule="exact"/>
      </w:pPr>
      <w:bookmarkStart w:id="22" w:name="_Toc18663"/>
      <w:r>
        <w:rPr>
          <w:rFonts w:hint="eastAsia"/>
        </w:rPr>
        <w:t>成交</w:t>
      </w:r>
      <w:r>
        <w:rPr>
          <w:rFonts w:hint="eastAsia"/>
          <w:lang w:eastAsia="zh-CN"/>
        </w:rPr>
        <w:t>报价人</w:t>
      </w:r>
      <w:r>
        <w:rPr>
          <w:rFonts w:hint="eastAsia"/>
        </w:rPr>
        <w:t>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w:t>
      </w:r>
      <w:r>
        <w:rPr>
          <w:rFonts w:hint="eastAsia" w:ascii="宋体" w:hAnsi="宋体"/>
          <w:sz w:val="28"/>
          <w:szCs w:val="28"/>
          <w:lang w:eastAsia="zh-CN"/>
        </w:rPr>
        <w:t>报价人</w:t>
      </w:r>
      <w:r>
        <w:rPr>
          <w:rFonts w:hint="eastAsia" w:ascii="宋体" w:hAnsi="宋体"/>
          <w:sz w:val="28"/>
          <w:szCs w:val="28"/>
        </w:rPr>
        <w:t>确认后，在发出采购结果公告后30日内与成交</w:t>
      </w:r>
      <w:r>
        <w:rPr>
          <w:rFonts w:hint="eastAsia" w:ascii="宋体" w:hAnsi="宋体"/>
          <w:sz w:val="28"/>
          <w:szCs w:val="28"/>
          <w:lang w:eastAsia="zh-CN"/>
        </w:rPr>
        <w:t>报价人</w:t>
      </w:r>
      <w:r>
        <w:rPr>
          <w:rFonts w:hint="eastAsia" w:ascii="宋体" w:hAnsi="宋体"/>
          <w:sz w:val="28"/>
          <w:szCs w:val="28"/>
        </w:rPr>
        <w:t>签订采购合同。若成交</w:t>
      </w:r>
      <w:r>
        <w:rPr>
          <w:rFonts w:hint="eastAsia" w:ascii="宋体" w:hAnsi="宋体"/>
          <w:sz w:val="28"/>
          <w:szCs w:val="28"/>
          <w:lang w:eastAsia="zh-CN"/>
        </w:rPr>
        <w:t>报价人</w:t>
      </w:r>
      <w:r>
        <w:rPr>
          <w:rFonts w:hint="eastAsia" w:ascii="宋体" w:hAnsi="宋体"/>
          <w:sz w:val="28"/>
          <w:szCs w:val="28"/>
        </w:rPr>
        <w:t>放弃成交资格或不按照学校采购制度的规定签订合同或被采购单位单方面解除合同的，采购单位有权依照排名先后顺序依次选择其他</w:t>
      </w:r>
      <w:r>
        <w:rPr>
          <w:rFonts w:hint="eastAsia" w:ascii="宋体" w:hAnsi="宋体"/>
          <w:sz w:val="28"/>
          <w:szCs w:val="28"/>
          <w:lang w:eastAsia="zh-CN"/>
        </w:rPr>
        <w:t>报价人</w:t>
      </w:r>
      <w:r>
        <w:rPr>
          <w:rFonts w:hint="eastAsia" w:ascii="宋体" w:hAnsi="宋体"/>
          <w:sz w:val="28"/>
          <w:szCs w:val="28"/>
        </w:rPr>
        <w:t>作为成交</w:t>
      </w:r>
      <w:r>
        <w:rPr>
          <w:rFonts w:hint="eastAsia" w:ascii="宋体" w:hAnsi="宋体"/>
          <w:sz w:val="28"/>
          <w:szCs w:val="28"/>
          <w:lang w:eastAsia="zh-CN"/>
        </w:rPr>
        <w:t>报价人</w:t>
      </w:r>
      <w:r>
        <w:rPr>
          <w:rFonts w:hint="eastAsia" w:ascii="宋体" w:hAnsi="宋体"/>
          <w:sz w:val="28"/>
          <w:szCs w:val="28"/>
        </w:rPr>
        <w:t>。</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lang w:val="en-US" w:eastAsia="zh-CN"/>
              </w:rPr>
              <w:t>服务</w:t>
            </w:r>
            <w:r>
              <w:rPr>
                <w:rStyle w:val="30"/>
                <w:rFonts w:hint="eastAsia" w:ascii="宋体" w:hAnsi="宋体" w:cs="宋体"/>
                <w:color w:val="333333"/>
                <w:kern w:val="0"/>
                <w:sz w:val="24"/>
              </w:rPr>
              <w:t>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rPr>
              <w:t>广东财经大学2024-2025年基建、修缮项目预算审核</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报价人须为企业法人，并具备建设行政主管部门颁发的工程造价咨询乙级或以上资质，报价时须提供相关资质证书并加盖公章。未提供证明文件的认定为无效报价。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报价人应具备项目可行性论证、工程项目预算评审等方面资格，具备丰富的工程项目审核案例和经验，报价时提供相应证明文件并加盖公司公章，未提供证明文件的认定为无效报价。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报价人应熟悉并严格执行国家、广东省相关法律、法规及相关政策，本着为广东财经大学经费节约投资的原则，科学、客观、公正地开展预算审核工作，要合理体现业主控制项目投资的要求。</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报价人健全内部控制制度，确保依据合法充分，程序严谨合规，结果科学公正；在开展具体项目预算审核工作时，应严格按照采购人规定的程序开展工作，保证各环节工作质量。</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报价人接受项目委托后，在取得完整预算清单后15天内完成初稿。如遇影响进度的特殊事宜，应及时向采购人报告。项目总负责人要随时跟进项目工作进度并做好记录。</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报价人要严格执行国家的法律法规，遵守职业道德准则和独立审核准则，遵守国家有关保密规定和廉政规定，不得向项目单位另行收取任何费用，不得对外泄露在工作过程中获知的项目的任何资料、信息，不参与被审核项目的其他招投标工作。</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报价人注册地在广州，或注册地不在广州，但在广州有常驻办公地点。报价时提供相应证明文件。</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项目组负责人应具备3年以上工作经验和高级职称，报价时提供拟投入本项目的人员名单及工作年限和职称证明文件并加盖公司公章。未提供证明文件的认定为无效报价。</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eastAsia="宋体" w:cs="宋体"/>
          <w:sz w:val="28"/>
          <w:szCs w:val="28"/>
          <w:lang w:val="en-US" w:eastAsia="zh-CN"/>
        </w:rPr>
        <w:t>★</w:t>
      </w:r>
      <w:r>
        <w:rPr>
          <w:rFonts w:hint="eastAsia" w:ascii="宋体" w:hAnsi="宋体"/>
          <w:sz w:val="28"/>
          <w:szCs w:val="28"/>
          <w:lang w:val="en-US" w:eastAsia="zh-CN"/>
        </w:rPr>
        <w:t>禁止将委托工作转包给其他单位。</w:t>
      </w:r>
    </w:p>
    <w:p>
      <w:pPr>
        <w:spacing w:line="560" w:lineRule="exact"/>
        <w:ind w:firstLine="560" w:firstLineChars="200"/>
        <w:rPr>
          <w:rFonts w:hint="eastAsia" w:ascii="宋体" w:hAnsi="宋体"/>
          <w:kern w:val="0"/>
          <w:sz w:val="28"/>
          <w:szCs w:val="28"/>
        </w:rPr>
      </w:pP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cs="宋体"/>
          <w:b/>
          <w:sz w:val="28"/>
          <w:szCs w:val="28"/>
          <w:lang w:val="en-US" w:eastAsia="zh-CN"/>
        </w:rPr>
      </w:pPr>
      <w:r>
        <w:rPr>
          <w:rFonts w:hint="eastAsia" w:ascii="宋体" w:hAnsi="宋体" w:cs="宋体"/>
          <w:b/>
          <w:sz w:val="28"/>
          <w:szCs w:val="28"/>
        </w:rPr>
        <w:t>（一）交货期及</w:t>
      </w:r>
      <w:r>
        <w:rPr>
          <w:rFonts w:hint="eastAsia" w:ascii="宋体" w:hAnsi="宋体" w:cs="宋体"/>
          <w:b/>
          <w:sz w:val="28"/>
          <w:szCs w:val="28"/>
          <w:lang w:val="en-US" w:eastAsia="zh-CN"/>
        </w:rPr>
        <w:t>要求</w:t>
      </w:r>
    </w:p>
    <w:p>
      <w:pPr>
        <w:pageBreakBefore w:val="0"/>
        <w:widowControl w:val="0"/>
        <w:kinsoku/>
        <w:wordWrap/>
        <w:overflowPunct/>
        <w:topLinePunct w:val="0"/>
        <w:autoSpaceDE/>
        <w:autoSpaceDN/>
        <w:bidi w:val="0"/>
        <w:spacing w:line="560" w:lineRule="atLeast"/>
        <w:ind w:firstLine="562" w:firstLineChars="200"/>
        <w:textAlignment w:val="auto"/>
        <w:rPr>
          <w:rFonts w:hint="default" w:ascii="宋体" w:hAnsi="宋体" w:cs="宋体"/>
          <w:b/>
          <w:sz w:val="28"/>
          <w:szCs w:val="28"/>
          <w:lang w:val="en-US" w:eastAsia="zh-CN"/>
        </w:rPr>
      </w:pPr>
      <w:r>
        <w:rPr>
          <w:rFonts w:hint="eastAsia" w:ascii="宋体" w:hAnsi="宋体" w:cs="宋体"/>
          <w:b/>
          <w:sz w:val="28"/>
          <w:szCs w:val="28"/>
          <w:lang w:val="en-US" w:eastAsia="zh-CN"/>
        </w:rPr>
        <w:t>交货期：</w:t>
      </w:r>
      <w:r>
        <w:rPr>
          <w:rFonts w:hint="eastAsia" w:ascii="宋体" w:hAnsi="宋体"/>
          <w:sz w:val="28"/>
          <w:szCs w:val="28"/>
          <w:lang w:val="en-US" w:eastAsia="zh-CN"/>
        </w:rPr>
        <w:t>报价人接受项目委托后，在取得完整预算清单后15天内完成初稿。</w:t>
      </w:r>
    </w:p>
    <w:p>
      <w:pPr>
        <w:pageBreakBefore w:val="0"/>
        <w:widowControl w:val="0"/>
        <w:numPr>
          <w:ilvl w:val="0"/>
          <w:numId w:val="0"/>
        </w:numPr>
        <w:kinsoku/>
        <w:wordWrap/>
        <w:overflowPunct/>
        <w:topLinePunct w:val="0"/>
        <w:autoSpaceDE/>
        <w:autoSpaceDN/>
        <w:bidi w:val="0"/>
        <w:spacing w:line="560" w:lineRule="atLeast"/>
        <w:ind w:firstLine="562" w:firstLineChars="200"/>
        <w:textAlignment w:val="auto"/>
        <w:rPr>
          <w:rFonts w:ascii="宋体" w:hAnsi="宋体"/>
          <w:bCs/>
          <w:sz w:val="28"/>
          <w:szCs w:val="28"/>
        </w:rPr>
      </w:pPr>
      <w:r>
        <w:rPr>
          <w:rFonts w:hint="eastAsia" w:ascii="宋体" w:hAnsi="宋体"/>
          <w:b/>
          <w:bCs/>
          <w:sz w:val="28"/>
          <w:szCs w:val="28"/>
          <w:lang w:val="en-US" w:eastAsia="zh-CN"/>
        </w:rPr>
        <w:t>交货要求：</w:t>
      </w:r>
      <w:r>
        <w:rPr>
          <w:rFonts w:hint="eastAsia" w:ascii="宋体" w:hAnsi="宋体"/>
          <w:sz w:val="28"/>
          <w:szCs w:val="28"/>
          <w:lang w:val="en-US" w:eastAsia="zh-CN"/>
        </w:rPr>
        <w:t>出具项目预算审核报告及相关咨询成果文件，交付报告须有项目负责人签字并加盖公章。</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）结算与付款方式</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每完成一个项目并且通过验收后，成交报价人向采购人开具正式的发票， 30个工作日内采购人完成办理所开具发票的支付手续，遇寒暑假顺延。</w:t>
      </w:r>
    </w:p>
    <w:p>
      <w:pPr>
        <w:numPr>
          <w:ilvl w:val="0"/>
          <w:numId w:val="5"/>
        </w:numPr>
        <w:adjustRightInd w:val="0"/>
        <w:snapToGrid w:val="0"/>
        <w:spacing w:line="560" w:lineRule="exact"/>
        <w:ind w:firstLine="641" w:firstLineChars="228"/>
        <w:jc w:val="left"/>
        <w:rPr>
          <w:rFonts w:hint="eastAsia" w:ascii="宋体" w:hAnsi="宋体"/>
          <w:b/>
          <w:sz w:val="28"/>
          <w:szCs w:val="28"/>
        </w:rPr>
      </w:pPr>
      <w:bookmarkStart w:id="28" w:name="_Toc14310"/>
      <w:r>
        <w:rPr>
          <w:rFonts w:hint="eastAsia" w:ascii="宋体" w:hAnsi="宋体"/>
          <w:b/>
          <w:sz w:val="28"/>
          <w:szCs w:val="28"/>
        </w:rPr>
        <w:t>违约处罚</w:t>
      </w:r>
    </w:p>
    <w:p>
      <w:pPr>
        <w:adjustRightInd w:val="0"/>
        <w:snapToGrid w:val="0"/>
        <w:spacing w:line="560" w:lineRule="exact"/>
        <w:ind w:firstLine="638" w:firstLineChars="228"/>
        <w:jc w:val="left"/>
        <w:rPr>
          <w:rFonts w:hint="eastAsia" w:ascii="宋体" w:hAnsi="宋体"/>
          <w:b/>
          <w:sz w:val="28"/>
          <w:szCs w:val="28"/>
        </w:rPr>
      </w:pPr>
      <w:r>
        <w:rPr>
          <w:rFonts w:hint="eastAsia" w:ascii="宋体" w:hAnsi="宋体"/>
          <w:sz w:val="28"/>
          <w:szCs w:val="28"/>
        </w:rPr>
        <w:t>1、成交人的违约责任：</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成交人</w:t>
      </w:r>
      <w:r>
        <w:rPr>
          <w:rFonts w:hint="eastAsia" w:ascii="宋体" w:hAnsi="宋体"/>
          <w:sz w:val="28"/>
          <w:szCs w:val="28"/>
          <w:lang w:val="en-US" w:eastAsia="zh-CN"/>
        </w:rPr>
        <w:t>提供的服务不符合本合同规定的，采购人有权拒收，并且成交人须向采购人支付项目费用5%的违约金。</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成交人未能按本合同规定的交货时间提供完整服务的，从逾期之日起每日按项目费用0.1%的数额向采购人支付违约金，违约金累计总额不超过项目费用的5%；逾期半个月以上的，采购人有权终止合同，并且成交人须向采购人支付项目费用5%的违约金，由此造成的采购人经济损失由成交人承担。</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（4）其它违约责任按《中华人民共和国民法典》处理。</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rPr>
        <w:t>2、采购单位的违约责任：</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（1）采购人无正当理由拒绝接受服务，到期拒付服务款项的，采购人向成交人偿付项目费用5%的违约金。</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（2）采购人逾期付款，则每日按未支付的项目费用0.1%向成交人偿付违约金，违约金累计总额不超过未付款项目费用的5%。</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pageBreakBefore w:val="0"/>
        <w:widowControl/>
        <w:kinsoku/>
        <w:wordWrap/>
        <w:overflowPunct/>
        <w:topLinePunct w:val="0"/>
        <w:autoSpaceDE/>
        <w:autoSpaceDN/>
        <w:bidi w:val="0"/>
        <w:adjustRightInd w:val="0"/>
        <w:snapToGrid w:val="0"/>
        <w:spacing w:line="560" w:lineRule="exact"/>
        <w:ind w:firstLine="641" w:firstLineChars="228"/>
        <w:jc w:val="left"/>
        <w:textAlignment w:val="auto"/>
        <w:rPr>
          <w:rFonts w:hint="eastAsia" w:ascii="宋体" w:hAnsi="宋体"/>
          <w:b/>
          <w:sz w:val="28"/>
          <w:szCs w:val="28"/>
          <w:lang w:val="en-US" w:eastAsia="zh-CN"/>
        </w:rPr>
      </w:pPr>
      <w:r>
        <w:rPr>
          <w:rFonts w:hint="eastAsia" w:ascii="宋体" w:hAnsi="宋体"/>
          <w:b/>
          <w:sz w:val="28"/>
          <w:szCs w:val="28"/>
          <w:lang w:val="en-US" w:eastAsia="zh-CN"/>
        </w:rPr>
        <w:t>（九）争议的解决</w:t>
      </w:r>
    </w:p>
    <w:p>
      <w:pPr>
        <w:pageBreakBefore w:val="0"/>
        <w:widowControl w:val="0"/>
        <w:kinsoku/>
        <w:wordWrap/>
        <w:overflowPunct/>
        <w:topLinePunct w:val="0"/>
        <w:autoSpaceDE/>
        <w:autoSpaceDN/>
        <w:bidi w:val="0"/>
        <w:spacing w:line="560" w:lineRule="atLeas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合同执行过程中发生的任何争议，如双方不能通过友好协商解决，提交采购人所在地人民法院诉讼解决。</w:t>
      </w:r>
    </w:p>
    <w:p>
      <w:pPr>
        <w:pageBreakBefore w:val="0"/>
        <w:widowControl/>
        <w:kinsoku/>
        <w:wordWrap/>
        <w:overflowPunct/>
        <w:topLinePunct w:val="0"/>
        <w:autoSpaceDE/>
        <w:autoSpaceDN/>
        <w:bidi w:val="0"/>
        <w:adjustRightInd w:val="0"/>
        <w:snapToGrid w:val="0"/>
        <w:spacing w:line="560" w:lineRule="exact"/>
        <w:ind w:firstLine="641" w:firstLineChars="228"/>
        <w:jc w:val="left"/>
        <w:textAlignment w:val="auto"/>
        <w:rPr>
          <w:rFonts w:hint="eastAsia" w:ascii="宋体" w:hAnsi="宋体"/>
          <w:b/>
          <w:sz w:val="28"/>
          <w:szCs w:val="28"/>
          <w:lang w:val="en-US" w:eastAsia="zh-CN"/>
        </w:rPr>
      </w:pPr>
      <w:r>
        <w:rPr>
          <w:rFonts w:hint="eastAsia" w:ascii="宋体" w:hAnsi="宋体"/>
          <w:b/>
          <w:sz w:val="28"/>
          <w:szCs w:val="28"/>
          <w:lang w:val="en-US" w:eastAsia="zh-CN"/>
        </w:rPr>
        <w:t xml:space="preserve">（十）不可抗力 </w:t>
      </w:r>
    </w:p>
    <w:p>
      <w:pPr>
        <w:pageBreakBefore w:val="0"/>
        <w:widowControl w:val="0"/>
        <w:kinsoku/>
        <w:wordWrap/>
        <w:overflowPunct/>
        <w:topLinePunct w:val="0"/>
        <w:autoSpaceDE/>
        <w:autoSpaceDN/>
        <w:bidi w:val="0"/>
        <w:spacing w:line="560" w:lineRule="atLeas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400" w:lineRule="exact"/>
        <w:ind w:firstLine="562" w:firstLineChars="200"/>
        <w:rPr>
          <w:rFonts w:hint="eastAsia" w:ascii="宋体" w:hAnsi="宋体"/>
          <w:b/>
          <w:sz w:val="28"/>
          <w:szCs w:val="28"/>
        </w:rPr>
      </w:pPr>
    </w:p>
    <w:p>
      <w:pPr>
        <w:pStyle w:val="2"/>
      </w:pPr>
      <w:r>
        <w:rPr>
          <w:rFonts w:hint="eastAsia"/>
        </w:rPr>
        <w:t>第三部分  报价文件格式</w:t>
      </w:r>
      <w:bookmarkEnd w:id="28"/>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r>
              <w:rPr>
                <w:rFonts w:hint="eastAsia" w:ascii="宋体" w:hAnsi="宋体" w:cs="宋体"/>
                <w:sz w:val="24"/>
              </w:rPr>
              <w:t>广东财经大学2024-2025年基建、修缮项目预算审核</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w:t>
            </w:r>
            <w:r>
              <w:rPr>
                <w:rFonts w:hint="eastAsia" w:ascii="宋体" w:hAnsi="宋体"/>
                <w:b/>
                <w:sz w:val="24"/>
                <w:lang w:val="en-US" w:eastAsia="zh-CN"/>
              </w:rPr>
              <w:t>下浮率</w:t>
            </w:r>
            <w:r>
              <w:rPr>
                <w:rFonts w:hint="eastAsia" w:ascii="宋体" w:hAnsi="宋体"/>
                <w:b/>
                <w:sz w:val="24"/>
              </w:rPr>
              <w:t>（</w:t>
            </w:r>
            <w:r>
              <w:rPr>
                <w:rFonts w:hint="eastAsia" w:ascii="宋体" w:hAnsi="宋体"/>
                <w:b/>
                <w:sz w:val="24"/>
                <w:lang w:val="en-US" w:eastAsia="zh-CN"/>
              </w:rPr>
              <w:t>%</w:t>
            </w:r>
            <w:r>
              <w:rPr>
                <w:rFonts w:hint="eastAsia" w:ascii="宋体" w:hAnsi="宋体"/>
                <w:b/>
                <w:sz w:val="24"/>
              </w:rPr>
              <w:t>）</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adjustRightInd w:val="0"/>
        <w:snapToGrid w:val="0"/>
        <w:rPr>
          <w:rFonts w:ascii="宋体" w:hAnsi="宋体"/>
          <w:b/>
          <w:sz w:val="28"/>
          <w:szCs w:val="28"/>
        </w:rPr>
      </w:pPr>
    </w:p>
    <w:p>
      <w:pPr>
        <w:adjustRightInd w:val="0"/>
        <w:snapToGrid w:val="0"/>
        <w:rPr>
          <w:rFonts w:ascii="宋体" w:hAnsi="宋体"/>
          <w:b/>
          <w:sz w:val="28"/>
          <w:szCs w:val="28"/>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71"/>
        <w:gridCol w:w="1014"/>
        <w:gridCol w:w="484"/>
        <w:gridCol w:w="3431"/>
        <w:gridCol w:w="138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序号</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品目名称</w:t>
            </w: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int="default" w:hAnsi="宋体" w:eastAsia="宋体"/>
                <w:b/>
                <w:kern w:val="2"/>
                <w:sz w:val="24"/>
                <w:lang w:val="en-US" w:eastAsia="zh-CN"/>
              </w:rPr>
            </w:pPr>
            <w:r>
              <w:rPr>
                <w:rFonts w:hint="eastAsia" w:hAnsi="宋体"/>
                <w:b/>
                <w:kern w:val="2"/>
                <w:sz w:val="24"/>
                <w:lang w:val="en-US" w:eastAsia="zh-CN"/>
              </w:rPr>
              <w:t>产品描述</w:t>
            </w:r>
          </w:p>
        </w:tc>
        <w:tc>
          <w:tcPr>
            <w:tcW w:w="138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lang w:val="en-US" w:eastAsia="zh-CN"/>
              </w:rPr>
              <w:t>下浮率</w:t>
            </w:r>
            <w:r>
              <w:rPr>
                <w:rFonts w:hint="eastAsia" w:hAnsi="宋体"/>
                <w:b/>
                <w:kern w:val="2"/>
                <w:sz w:val="24"/>
              </w:rPr>
              <w:t>（</w:t>
            </w:r>
            <w:r>
              <w:rPr>
                <w:rFonts w:hint="eastAsia" w:hAnsi="宋体"/>
                <w:b/>
                <w:kern w:val="2"/>
                <w:sz w:val="24"/>
                <w:lang w:val="en-US" w:eastAsia="zh-CN"/>
              </w:rPr>
              <w:t>%</w:t>
            </w:r>
            <w:r>
              <w:rPr>
                <w:rFonts w:hint="eastAsia" w:hAnsi="宋体"/>
                <w:b/>
                <w:kern w:val="2"/>
                <w:sz w:val="24"/>
              </w:rPr>
              <w:t>）</w:t>
            </w:r>
          </w:p>
        </w:tc>
        <w:tc>
          <w:tcPr>
            <w:tcW w:w="1267" w:type="dxa"/>
            <w:tcBorders>
              <w:top w:val="single" w:color="auto" w:sz="4" w:space="0"/>
              <w:left w:val="single" w:color="auto" w:sz="4" w:space="0"/>
              <w:bottom w:val="single" w:color="auto" w:sz="4" w:space="0"/>
              <w:right w:val="single" w:color="auto" w:sz="4" w:space="0"/>
            </w:tcBorders>
            <w:shd w:val="clear" w:color="auto" w:fill="auto"/>
            <w:noWrap/>
          </w:tcPr>
          <w:p>
            <w:pPr>
              <w:pStyle w:val="13"/>
              <w:jc w:val="center"/>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eastAsia="宋体"/>
                <w:kern w:val="2"/>
                <w:sz w:val="24"/>
                <w:lang w:val="en-US" w:eastAsia="zh-CN"/>
              </w:rPr>
            </w:pPr>
            <w:r>
              <w:rPr>
                <w:rFonts w:hint="eastAsia" w:hAnsi="宋体"/>
                <w:kern w:val="2"/>
                <w:sz w:val="24"/>
                <w:lang w:val="en-US" w:eastAsia="zh-CN"/>
              </w:rPr>
              <w:t>1</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广东财经大</w:t>
            </w:r>
            <w:r>
              <w:rPr>
                <w:rFonts w:hint="eastAsia" w:hAnsi="宋体"/>
                <w:kern w:val="2"/>
                <w:sz w:val="24"/>
                <w:lang w:val="en-US" w:eastAsia="zh-CN"/>
              </w:rPr>
              <w:t>学2024-2025年</w:t>
            </w:r>
            <w:r>
              <w:rPr>
                <w:rFonts w:hint="eastAsia" w:ascii="宋体" w:hAnsi="宋体" w:cs="宋体"/>
                <w:sz w:val="24"/>
              </w:rPr>
              <w:t>基建、修缮</w:t>
            </w:r>
            <w:r>
              <w:rPr>
                <w:rFonts w:hint="eastAsia" w:hAnsi="宋体"/>
                <w:kern w:val="2"/>
                <w:sz w:val="24"/>
              </w:rPr>
              <w:t>采购</w:t>
            </w:r>
            <w:r>
              <w:rPr>
                <w:rFonts w:hint="eastAsia" w:hAnsi="宋体"/>
                <w:kern w:val="2"/>
                <w:sz w:val="24"/>
                <w:lang w:val="en-US" w:eastAsia="zh-CN"/>
              </w:rPr>
              <w:t>项目</w:t>
            </w:r>
            <w:r>
              <w:rPr>
                <w:rFonts w:hint="eastAsia" w:hAnsi="宋体"/>
                <w:kern w:val="2"/>
                <w:sz w:val="24"/>
              </w:rPr>
              <w:t>预算</w:t>
            </w:r>
            <w:r>
              <w:rPr>
                <w:rFonts w:hint="eastAsia" w:hAnsi="宋体"/>
                <w:kern w:val="2"/>
                <w:sz w:val="24"/>
                <w:lang w:val="en-US" w:eastAsia="zh-CN"/>
              </w:rPr>
              <w:t>审核</w:t>
            </w:r>
          </w:p>
        </w:tc>
        <w:tc>
          <w:tcPr>
            <w:tcW w:w="3915"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rPr>
            </w:pPr>
            <w:r>
              <w:rPr>
                <w:rFonts w:hint="eastAsia"/>
              </w:rPr>
              <w:t xml:space="preserve">所需评审项目基本情况： </w:t>
            </w:r>
            <w:r>
              <w:rPr>
                <w:rFonts w:hint="eastAsia"/>
                <w:lang w:val="en-US" w:eastAsia="zh-CN"/>
              </w:rPr>
              <w:t>本项目</w:t>
            </w:r>
            <w:r>
              <w:rPr>
                <w:rFonts w:hint="eastAsia"/>
              </w:rPr>
              <w:t>主要为广东财经大学两校区202</w:t>
            </w:r>
            <w:r>
              <w:rPr>
                <w:rFonts w:hint="eastAsia"/>
                <w:lang w:val="en-US" w:eastAsia="zh-CN"/>
              </w:rPr>
              <w:t>4</w:t>
            </w:r>
            <w:r>
              <w:rPr>
                <w:rFonts w:hint="eastAsia"/>
              </w:rPr>
              <w:t>-202</w:t>
            </w:r>
            <w:r>
              <w:rPr>
                <w:rFonts w:hint="eastAsia"/>
                <w:lang w:val="en-US" w:eastAsia="zh-CN"/>
              </w:rPr>
              <w:t>5</w:t>
            </w:r>
            <w:r>
              <w:rPr>
                <w:rFonts w:hint="eastAsia"/>
              </w:rPr>
              <w:t>年</w:t>
            </w:r>
            <w:r>
              <w:rPr>
                <w:rFonts w:hint="eastAsia"/>
                <w:lang w:val="en-US" w:eastAsia="zh-CN"/>
              </w:rPr>
              <w:t>10万元以上基建、修缮</w:t>
            </w:r>
            <w:r>
              <w:rPr>
                <w:rFonts w:hint="eastAsia"/>
              </w:rPr>
              <w:t>项目。</w:t>
            </w:r>
            <w:r>
              <w:rPr>
                <w:rFonts w:hint="eastAsia"/>
                <w:lang w:val="en-US" w:eastAsia="zh-CN"/>
              </w:rPr>
              <w:t>需审核</w:t>
            </w:r>
            <w:r>
              <w:rPr>
                <w:rFonts w:hint="eastAsia"/>
              </w:rPr>
              <w:t>项目预算总金额约</w:t>
            </w:r>
            <w:r>
              <w:rPr>
                <w:rFonts w:hint="eastAsia"/>
                <w:lang w:val="en-US" w:eastAsia="zh-CN"/>
              </w:rPr>
              <w:t>5</w:t>
            </w:r>
            <w:r>
              <w:rPr>
                <w:rFonts w:hint="eastAsia"/>
              </w:rPr>
              <w:t>,000万元，按最终审核项目实际金额结算。</w:t>
            </w:r>
          </w:p>
          <w:p>
            <w:pPr>
              <w:pStyle w:val="13"/>
              <w:jc w:val="left"/>
              <w:rPr>
                <w:rFonts w:hAnsi="宋体"/>
                <w:kern w:val="2"/>
                <w:sz w:val="24"/>
              </w:rPr>
            </w:pPr>
            <w:r>
              <w:rPr>
                <w:rFonts w:hint="eastAsia"/>
              </w:rPr>
              <w:t xml:space="preserve"> </w:t>
            </w:r>
          </w:p>
        </w:tc>
        <w:tc>
          <w:tcPr>
            <w:tcW w:w="138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267"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13"/>
              <w:ind w:firstLine="482" w:firstLineChars="200"/>
              <w:rPr>
                <w:rFonts w:hint="eastAsia" w:hAnsi="宋体" w:eastAsia="宋体"/>
                <w:b/>
                <w:kern w:val="2"/>
                <w:sz w:val="24"/>
                <w:lang w:eastAsia="zh-CN"/>
              </w:rPr>
            </w:pPr>
            <w:r>
              <w:rPr>
                <w:rFonts w:hint="eastAsia" w:hAnsi="宋体"/>
                <w:b/>
                <w:kern w:val="2"/>
                <w:sz w:val="24"/>
              </w:rPr>
              <w:t xml:space="preserve">       </w:t>
            </w:r>
            <w:r>
              <w:rPr>
                <w:rFonts w:hint="eastAsia" w:hAnsi="宋体"/>
                <w:b/>
                <w:kern w:val="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3"/>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lang w:val="en-US" w:eastAsia="zh-CN"/>
              </w:rPr>
              <w:t>下浮率</w:t>
            </w:r>
            <w:r>
              <w:rPr>
                <w:rFonts w:hint="eastAsia" w:hAnsi="宋体"/>
                <w:b/>
                <w:kern w:val="2"/>
                <w:sz w:val="24"/>
              </w:rPr>
              <w:t>：</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w:t>
      </w:r>
      <w:r>
        <w:rPr>
          <w:rFonts w:hint="eastAsia" w:hAnsi="宋体"/>
          <w:sz w:val="28"/>
          <w:szCs w:val="28"/>
          <w:lang w:val="en-US" w:eastAsia="zh-CN"/>
        </w:rPr>
        <w:t>下浮率</w:t>
      </w:r>
      <w:r>
        <w:rPr>
          <w:rFonts w:hint="eastAsia" w:hAnsi="宋体"/>
          <w:sz w:val="28"/>
          <w:szCs w:val="28"/>
        </w:rPr>
        <w:t>”必须与《报价一览表》中的“报价</w:t>
      </w:r>
      <w:r>
        <w:rPr>
          <w:rFonts w:hint="eastAsia" w:hAnsi="宋体"/>
          <w:sz w:val="28"/>
          <w:szCs w:val="28"/>
          <w:lang w:val="en-US" w:eastAsia="zh-CN"/>
        </w:rPr>
        <w:t>下浮率</w:t>
      </w:r>
      <w:r>
        <w:rPr>
          <w:rFonts w:hint="eastAsia" w:hAnsi="宋体"/>
          <w:sz w:val="28"/>
          <w:szCs w:val="28"/>
        </w:rPr>
        <w:t>”一致。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afterLines="50" w:line="400" w:lineRule="exact"/>
        <w:rPr>
          <w:rFonts w:hint="eastAsia" w:ascii="宋体" w:hAnsi="宋体"/>
          <w:sz w:val="32"/>
          <w:szCs w:val="32"/>
        </w:rPr>
      </w:pPr>
      <w:r>
        <w:rPr>
          <w:rFonts w:hint="eastAsia" w:ascii="宋体" w:hAnsi="宋体"/>
          <w:sz w:val="32"/>
          <w:szCs w:val="32"/>
        </w:rPr>
        <w:t>报价人单位（盖章）：</w:t>
      </w:r>
    </w:p>
    <w:p>
      <w:pPr>
        <w:spacing w:afterLines="50" w:line="400" w:lineRule="exact"/>
        <w:rPr>
          <w:rFonts w:hint="eastAsia" w:ascii="宋体" w:hAnsi="宋体"/>
          <w:sz w:val="32"/>
          <w:szCs w:val="32"/>
        </w:rPr>
      </w:pPr>
    </w:p>
    <w:p>
      <w:pPr>
        <w:spacing w:afterLines="50" w:line="400" w:lineRule="exact"/>
        <w:rPr>
          <w:rFonts w:hint="eastAsia" w:ascii="宋体" w:hAnsi="宋体"/>
          <w:sz w:val="32"/>
          <w:szCs w:val="32"/>
        </w:rPr>
      </w:pPr>
    </w:p>
    <w:p>
      <w:pPr>
        <w:spacing w:afterLines="50" w:line="400" w:lineRule="exact"/>
        <w:rPr>
          <w:rFonts w:hint="eastAsia" w:ascii="宋体" w:hAnsi="宋体"/>
          <w:sz w:val="32"/>
          <w:szCs w:val="32"/>
        </w:rPr>
      </w:pPr>
    </w:p>
    <w:p>
      <w:pPr>
        <w:spacing w:afterLines="50" w:line="400" w:lineRule="exact"/>
        <w:rPr>
          <w:rFonts w:hint="eastAsia" w:ascii="宋体" w:hAnsi="宋体"/>
          <w:sz w:val="32"/>
          <w:szCs w:val="32"/>
        </w:rPr>
      </w:pPr>
    </w:p>
    <w:p>
      <w:pPr>
        <w:spacing w:afterLines="50" w:line="400" w:lineRule="exact"/>
        <w:rPr>
          <w:rFonts w:hint="eastAsia" w:ascii="宋体" w:hAnsi="宋体"/>
          <w:sz w:val="32"/>
          <w:szCs w:val="32"/>
        </w:rPr>
      </w:pP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ascii="宋体" w:hAnsi="宋体"/>
          <w:sz w:val="32"/>
          <w:szCs w:val="32"/>
        </w:rPr>
      </w:pPr>
      <w:r>
        <w:rPr>
          <w:rFonts w:hint="eastAsia" w:ascii="宋体" w:hAnsi="宋体"/>
          <w:sz w:val="32"/>
          <w:szCs w:val="32"/>
        </w:rPr>
        <w:t>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FBF8D-F6D8-4F63-9506-4FFFD2AACD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100645-17AF-4503-9CDC-C6CA147C4213}"/>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231C9041-0069-4CA2-8B60-AE298562A0F1}"/>
  </w:font>
  <w:font w:name="楷体_GB2312">
    <w:panose1 w:val="02010609030101010101"/>
    <w:charset w:val="86"/>
    <w:family w:val="modern"/>
    <w:pitch w:val="default"/>
    <w:sig w:usb0="00000001" w:usb1="080E0000" w:usb2="00000000" w:usb3="00000000" w:csb0="00040000" w:csb1="00000000"/>
    <w:embedRegular r:id="rId4" w:fontKey="{0FE0548D-166A-4974-8D16-3AB0C89A258D}"/>
  </w:font>
  <w:font w:name="楷体">
    <w:panose1 w:val="02010609060101010101"/>
    <w:charset w:val="86"/>
    <w:family w:val="auto"/>
    <w:pitch w:val="default"/>
    <w:sig w:usb0="800002BF" w:usb1="38CF7CFA" w:usb2="00000016" w:usb3="00000000" w:csb0="00040001" w:csb1="00000000"/>
    <w:embedRegular r:id="rId5" w:fontKey="{442BFE80-9F94-4ADB-80D1-437640C574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C11214DE"/>
    <w:multiLevelType w:val="singleLevel"/>
    <w:tmpl w:val="C11214DE"/>
    <w:lvl w:ilvl="0" w:tentative="0">
      <w:start w:val="7"/>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ED11D999"/>
    <w:multiLevelType w:val="singleLevel"/>
    <w:tmpl w:val="ED11D999"/>
    <w:lvl w:ilvl="0" w:tentative="0">
      <w:start w:val="1"/>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4"/>
  </w:num>
  <w:num w:numId="3">
    <w:abstractNumId w:val="9"/>
  </w:num>
  <w:num w:numId="4">
    <w:abstractNumId w:val="3"/>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3NGY1ZDc1NGZlOTgzZWJmODdmYTU1YzlmNzQ3NWI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604E03"/>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994A9D"/>
    <w:rsid w:val="168532DC"/>
    <w:rsid w:val="173373DC"/>
    <w:rsid w:val="1753107A"/>
    <w:rsid w:val="178C24D6"/>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2FB7138C"/>
    <w:rsid w:val="305B2BFC"/>
    <w:rsid w:val="311763F2"/>
    <w:rsid w:val="3237724D"/>
    <w:rsid w:val="328567CC"/>
    <w:rsid w:val="32C61B83"/>
    <w:rsid w:val="344B05CF"/>
    <w:rsid w:val="34683033"/>
    <w:rsid w:val="35143366"/>
    <w:rsid w:val="35B77661"/>
    <w:rsid w:val="36583023"/>
    <w:rsid w:val="3713274F"/>
    <w:rsid w:val="39A6093D"/>
    <w:rsid w:val="3BF75747"/>
    <w:rsid w:val="3D832EB5"/>
    <w:rsid w:val="3E847A53"/>
    <w:rsid w:val="3EB43B95"/>
    <w:rsid w:val="3F0535D6"/>
    <w:rsid w:val="401A05CF"/>
    <w:rsid w:val="40652603"/>
    <w:rsid w:val="40B74A22"/>
    <w:rsid w:val="42532A81"/>
    <w:rsid w:val="442F0A64"/>
    <w:rsid w:val="44FE771E"/>
    <w:rsid w:val="453D2E2E"/>
    <w:rsid w:val="455B5F6E"/>
    <w:rsid w:val="456A5DDF"/>
    <w:rsid w:val="4678338B"/>
    <w:rsid w:val="476B2D91"/>
    <w:rsid w:val="48833F13"/>
    <w:rsid w:val="48BB0663"/>
    <w:rsid w:val="49F34A83"/>
    <w:rsid w:val="4ADD6003"/>
    <w:rsid w:val="4BEB2A35"/>
    <w:rsid w:val="4C9204F0"/>
    <w:rsid w:val="4DBA5FA6"/>
    <w:rsid w:val="4DD5065C"/>
    <w:rsid w:val="507A5425"/>
    <w:rsid w:val="50C30629"/>
    <w:rsid w:val="51577DD1"/>
    <w:rsid w:val="51AB09AF"/>
    <w:rsid w:val="51D56956"/>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0EC0987"/>
    <w:rsid w:val="719242C5"/>
    <w:rsid w:val="719263A0"/>
    <w:rsid w:val="72B62304"/>
    <w:rsid w:val="742D0AEA"/>
    <w:rsid w:val="750157C1"/>
    <w:rsid w:val="77F228DE"/>
    <w:rsid w:val="78851ED1"/>
    <w:rsid w:val="79185090"/>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8436</Words>
  <Characters>8821</Characters>
  <Lines>72</Lines>
  <Paragraphs>20</Paragraphs>
  <TotalTime>0</TotalTime>
  <ScaleCrop>false</ScaleCrop>
  <LinksUpToDate>false</LinksUpToDate>
  <CharactersWithSpaces>9410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雨飞^-^lf</cp:lastModifiedBy>
  <cp:lastPrinted>2022-01-21T10:35:00Z</cp:lastPrinted>
  <dcterms:modified xsi:type="dcterms:W3CDTF">2024-05-14T01:11:14Z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F90E824227D444BFA626A01BBCC08368</vt:lpwstr>
  </property>
</Properties>
</file>