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5B2D">
      <w:pPr>
        <w:jc w:val="center"/>
      </w:pPr>
    </w:p>
    <w:p w14:paraId="7385D00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F059BC5"/>
    <w:p w14:paraId="5935F8D8">
      <w:pPr>
        <w:ind w:left="5" w:hanging="5"/>
        <w:jc w:val="center"/>
        <w:rPr>
          <w:rFonts w:eastAsia="黑体"/>
          <w:b/>
          <w:sz w:val="72"/>
          <w:szCs w:val="56"/>
        </w:rPr>
      </w:pPr>
      <w:r>
        <w:rPr>
          <w:rFonts w:hint="eastAsia" w:eastAsia="黑体"/>
          <w:b/>
          <w:sz w:val="72"/>
          <w:szCs w:val="56"/>
        </w:rPr>
        <w:t>校内分散采购</w:t>
      </w:r>
    </w:p>
    <w:p w14:paraId="277CCEE8">
      <w:pPr>
        <w:ind w:left="425"/>
        <w:jc w:val="center"/>
        <w:rPr>
          <w:rFonts w:eastAsia="黑体"/>
          <w:b/>
          <w:sz w:val="72"/>
          <w:szCs w:val="56"/>
        </w:rPr>
      </w:pPr>
    </w:p>
    <w:p w14:paraId="559D8FE6">
      <w:pPr>
        <w:ind w:left="5" w:hanging="5"/>
        <w:jc w:val="center"/>
        <w:rPr>
          <w:rFonts w:eastAsia="黑体"/>
          <w:b/>
          <w:sz w:val="72"/>
          <w:szCs w:val="56"/>
        </w:rPr>
      </w:pPr>
      <w:r>
        <w:rPr>
          <w:rFonts w:hint="eastAsia" w:eastAsia="黑体"/>
          <w:b/>
          <w:sz w:val="72"/>
          <w:szCs w:val="56"/>
        </w:rPr>
        <w:t>采</w:t>
      </w:r>
    </w:p>
    <w:p w14:paraId="3C3FDAF1">
      <w:pPr>
        <w:ind w:left="5" w:hanging="5"/>
        <w:jc w:val="center"/>
        <w:rPr>
          <w:rFonts w:eastAsia="黑体"/>
          <w:b/>
          <w:sz w:val="72"/>
          <w:szCs w:val="56"/>
        </w:rPr>
      </w:pPr>
      <w:r>
        <w:rPr>
          <w:rFonts w:hint="eastAsia" w:eastAsia="黑体"/>
          <w:b/>
          <w:sz w:val="72"/>
          <w:szCs w:val="56"/>
        </w:rPr>
        <w:t>购</w:t>
      </w:r>
    </w:p>
    <w:p w14:paraId="132BEC81">
      <w:pPr>
        <w:ind w:left="5" w:hanging="5"/>
        <w:jc w:val="center"/>
        <w:rPr>
          <w:rFonts w:eastAsia="黑体"/>
          <w:b/>
          <w:sz w:val="72"/>
          <w:szCs w:val="56"/>
        </w:rPr>
      </w:pPr>
      <w:r>
        <w:rPr>
          <w:rFonts w:hint="eastAsia" w:eastAsia="黑体"/>
          <w:b/>
          <w:sz w:val="72"/>
          <w:szCs w:val="56"/>
        </w:rPr>
        <w:t>书</w:t>
      </w:r>
    </w:p>
    <w:p w14:paraId="319A4ACD">
      <w:pPr>
        <w:spacing w:line="760" w:lineRule="exact"/>
        <w:jc w:val="center"/>
        <w:rPr>
          <w:b/>
          <w:sz w:val="36"/>
        </w:rPr>
      </w:pPr>
      <w:r>
        <w:rPr>
          <w:rFonts w:hint="eastAsia"/>
          <w:b/>
          <w:sz w:val="36"/>
        </w:rPr>
        <w:t>（适用于公开采购方式）</w:t>
      </w:r>
    </w:p>
    <w:p w14:paraId="5FA1C9D3">
      <w:pPr>
        <w:spacing w:line="760" w:lineRule="exact"/>
        <w:ind w:firstLine="1084" w:firstLineChars="300"/>
        <w:rPr>
          <w:b/>
          <w:sz w:val="36"/>
        </w:rPr>
      </w:pPr>
    </w:p>
    <w:p w14:paraId="0612BC49">
      <w:pPr>
        <w:spacing w:line="760" w:lineRule="exact"/>
        <w:ind w:firstLine="1084" w:firstLineChars="3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广东财经大学佛山校区2026年小额工程监理服务项目 </w:t>
      </w:r>
    </w:p>
    <w:p w14:paraId="3BBBD34C">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佛山校区工作部</w:t>
      </w:r>
      <w:r>
        <w:rPr>
          <w:rFonts w:hint="eastAsia" w:ascii="宋体" w:hAnsi="宋体"/>
          <w:b/>
          <w:sz w:val="36"/>
          <w:u w:val="single"/>
        </w:rPr>
        <w:t xml:space="preserve">    </w:t>
      </w:r>
    </w:p>
    <w:p w14:paraId="41C40B6B">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2026年6月12日</w:t>
      </w:r>
      <w:r>
        <w:rPr>
          <w:rFonts w:hint="eastAsia" w:ascii="宋体" w:hAnsi="宋体"/>
          <w:b/>
          <w:sz w:val="36"/>
          <w:u w:val="single"/>
        </w:rPr>
        <w:t xml:space="preserve">    </w:t>
      </w:r>
    </w:p>
    <w:p w14:paraId="53DF9A24">
      <w:pPr>
        <w:spacing w:line="760" w:lineRule="exact"/>
        <w:ind w:firstLine="1084" w:firstLineChars="300"/>
        <w:rPr>
          <w:rFonts w:ascii="宋体" w:hAnsi="宋体"/>
          <w:b/>
          <w:sz w:val="36"/>
          <w:szCs w:val="36"/>
          <w:u w:val="single"/>
        </w:rPr>
      </w:pPr>
      <w:bookmarkStart w:id="32" w:name="_GoBack"/>
      <w:bookmarkEnd w:id="32"/>
    </w:p>
    <w:p w14:paraId="6F51EB41">
      <w:pPr>
        <w:jc w:val="center"/>
        <w:rPr>
          <w:b/>
          <w:sz w:val="52"/>
          <w:szCs w:val="52"/>
        </w:rPr>
      </w:pPr>
      <w:r>
        <w:rPr>
          <w:rFonts w:ascii="宋体" w:hAnsi="宋体"/>
          <w:sz w:val="32"/>
          <w:szCs w:val="32"/>
        </w:rPr>
        <w:br w:type="column"/>
      </w:r>
      <w:r>
        <w:rPr>
          <w:rFonts w:hint="eastAsia"/>
          <w:sz w:val="52"/>
          <w:szCs w:val="52"/>
        </w:rPr>
        <w:t>目录</w:t>
      </w:r>
    </w:p>
    <w:p w14:paraId="5A900DD6">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EBB9C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6AAC05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4110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02A1C3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B9703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48132AB">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CBD32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656577">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4F83B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30CB79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CAFF95">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AFBCE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1D2C9A34">
      <w:bookmarkStart w:id="0" w:name="_Toc60236697"/>
      <w:bookmarkStart w:id="1" w:name="_Toc508103135"/>
      <w:bookmarkStart w:id="2" w:name="_Toc508103350"/>
      <w:r>
        <w:br w:type="page"/>
      </w:r>
    </w:p>
    <w:p w14:paraId="39670781">
      <w:pPr>
        <w:pStyle w:val="2"/>
      </w:pPr>
      <w:bookmarkStart w:id="3" w:name="_Toc1048"/>
      <w:r>
        <w:t xml:space="preserve">第一部分   </w:t>
      </w:r>
      <w:r>
        <w:rPr>
          <w:rFonts w:hint="eastAsia"/>
        </w:rPr>
        <w:t>报价</w:t>
      </w:r>
      <w:r>
        <w:t>须知</w:t>
      </w:r>
      <w:bookmarkEnd w:id="0"/>
      <w:bookmarkEnd w:id="1"/>
      <w:bookmarkEnd w:id="2"/>
      <w:bookmarkEnd w:id="3"/>
    </w:p>
    <w:p w14:paraId="32325A34">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88D5C8F">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4322EF65">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一)为广东财经大学佛山校区2026年小额工程提供施工监理服务，小额工程累计总造价约300万元，全年约32个工程项目，包含单项1万元（不含1万元）以下零星维修项目（具体每年多少按实际情况定），每个月零星维修项目当一个工程项目来监理，一年12个月，按12个项目计。工程项目具体数量以实际为准。</w:t>
      </w:r>
    </w:p>
    <w:p w14:paraId="731528B9">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val="en-US" w:eastAsia="zh-CN"/>
        </w:rPr>
        <w:t>二</w:t>
      </w:r>
      <w:r>
        <w:rPr>
          <w:rFonts w:hint="eastAsia" w:ascii="宋体" w:hAnsi="宋体"/>
          <w:color w:val="auto"/>
          <w:sz w:val="28"/>
          <w:szCs w:val="28"/>
        </w:rPr>
        <w:t>)服务期限：1年，自合同签订之日起计算。</w:t>
      </w:r>
    </w:p>
    <w:p w14:paraId="6C9B838E">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为9.8</w:t>
      </w:r>
      <w:r>
        <w:rPr>
          <w:rFonts w:hint="eastAsia" w:ascii="宋体" w:hAnsi="宋体"/>
          <w:color w:val="auto"/>
          <w:sz w:val="28"/>
          <w:szCs w:val="28"/>
        </w:rPr>
        <w:t>万元，</w:t>
      </w:r>
      <w:r>
        <w:rPr>
          <w:rFonts w:ascii="宋体" w:hAnsi="宋体"/>
          <w:color w:val="auto"/>
          <w:sz w:val="28"/>
          <w:szCs w:val="28"/>
        </w:rPr>
        <w:t>资金已到位。</w:t>
      </w:r>
    </w:p>
    <w:p w14:paraId="2C4934A7">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14B53B4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5D349E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C571F3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报价的供应商</w:t>
      </w:r>
      <w:r>
        <w:rPr>
          <w:rFonts w:ascii="宋体" w:hAnsi="宋体"/>
          <w:sz w:val="28"/>
          <w:szCs w:val="28"/>
        </w:rPr>
        <w:t>自行承担因此所产生的全部费用。</w:t>
      </w:r>
    </w:p>
    <w:p w14:paraId="5C11F7B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7EC1A8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A903AC1">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44C3DC3">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3AA94609">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AAA31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w:t>
      </w:r>
      <w:r>
        <w:rPr>
          <w:rFonts w:hint="eastAsia" w:ascii="宋体" w:hAnsi="宋体"/>
          <w:sz w:val="28"/>
          <w:szCs w:val="28"/>
          <w:lang w:eastAsia="zh-CN"/>
        </w:rPr>
        <w:t>，</w:t>
      </w:r>
      <w:r>
        <w:rPr>
          <w:rFonts w:hint="eastAsia" w:asciiTheme="minorEastAsia" w:hAnsiTheme="minorEastAsia" w:eastAsiaTheme="minorEastAsia" w:cstheme="minorEastAsia"/>
          <w:bCs/>
          <w:sz w:val="28"/>
          <w:szCs w:val="28"/>
        </w:rPr>
        <w:t>且具备履行合同所必需的设备和专业技术能力</w:t>
      </w:r>
      <w:r>
        <w:rPr>
          <w:rFonts w:hint="eastAsia" w:ascii="宋体" w:hAnsi="宋体"/>
          <w:sz w:val="28"/>
          <w:szCs w:val="28"/>
        </w:rPr>
        <w:t>：在中华人民共和国境内注册的法人或其他组织，提交有效的营业执照（或事业法人登记证或身份证等相关证明）副本复印件。分支机构报价的，须提供总公司和分公司营业执照副本复印件。</w:t>
      </w:r>
    </w:p>
    <w:p w14:paraId="7946851E">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1C97A4BF">
      <w:pPr>
        <w:spacing w:line="560" w:lineRule="exact"/>
        <w:ind w:left="0" w:leftChars="0" w:firstLine="638" w:firstLineChars="228"/>
        <w:rPr>
          <w:rFonts w:hint="eastAsia" w:asciiTheme="minorEastAsia" w:hAnsiTheme="minorEastAsia" w:eastAsiaTheme="minorEastAsia" w:cstheme="minorEastAsia"/>
          <w:bCs/>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Theme="minorEastAsia" w:hAnsiTheme="minorEastAsia" w:eastAsiaTheme="minorEastAsia" w:cstheme="minorEastAsia"/>
          <w:bCs/>
          <w:sz w:val="28"/>
          <w:szCs w:val="28"/>
        </w:rPr>
        <w:t>具有工程监理综合资质或房屋建筑工程监理专业资质乙级（含乙级）或以上资质，并在有效期内。</w:t>
      </w:r>
    </w:p>
    <w:p w14:paraId="3E69D59D">
      <w:pPr>
        <w:spacing w:line="560" w:lineRule="exact"/>
        <w:ind w:left="0" w:leftChars="0" w:firstLine="638" w:firstLineChars="228"/>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lang w:val="en-US" w:eastAsia="zh-CN"/>
        </w:rPr>
        <w:t>四）委派项目现场监理工程师至少1人（确保1人常驻现场），需具备房屋建筑中级工程师职称或具备机电安装或建筑类中级工程师职称，具备3年以上相关经验（需提供职称证书复印件及工作简历文件）。</w:t>
      </w:r>
    </w:p>
    <w:p w14:paraId="2E608569">
      <w:pPr>
        <w:spacing w:line="560" w:lineRule="exact"/>
        <w:ind w:left="0" w:leftChars="0" w:firstLine="638" w:firstLineChars="228"/>
        <w:rPr>
          <w:rFonts w:hint="default" w:ascii="宋体" w:hAnsi="宋体" w:eastAsiaTheme="minorEastAsia"/>
          <w:sz w:val="28"/>
          <w:szCs w:val="28"/>
          <w:lang w:val="en-US" w:eastAsia="zh-CN"/>
        </w:rPr>
      </w:pPr>
      <w:r>
        <w:rPr>
          <w:rFonts w:hint="eastAsia" w:asciiTheme="minorEastAsia" w:hAnsiTheme="minorEastAsia" w:eastAsiaTheme="minorEastAsia" w:cstheme="minorEastAsia"/>
          <w:bCs/>
          <w:sz w:val="28"/>
          <w:szCs w:val="28"/>
          <w:lang w:val="en-US" w:eastAsia="zh-CN"/>
        </w:rPr>
        <w:t>（五）本项目不接受联合体投标。</w:t>
      </w:r>
    </w:p>
    <w:p w14:paraId="2335B18E">
      <w:pPr>
        <w:pStyle w:val="3"/>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7B8A564F">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1693B157">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6FBAB973">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160DF9A1">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B50805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83E56AC">
      <w:pPr>
        <w:spacing w:line="560" w:lineRule="exact"/>
        <w:ind w:firstLine="560" w:firstLineChars="200"/>
        <w:rPr>
          <w:rFonts w:ascii="宋体" w:hAnsi="宋体"/>
          <w:sz w:val="28"/>
          <w:szCs w:val="28"/>
        </w:rPr>
      </w:pPr>
      <w:r>
        <w:rPr>
          <w:rFonts w:hint="eastAsia" w:ascii="宋体" w:hAnsi="宋体"/>
          <w:sz w:val="28"/>
          <w:szCs w:val="28"/>
        </w:rPr>
        <w:t>1.报价文件封面；</w:t>
      </w:r>
    </w:p>
    <w:p w14:paraId="7EB91EA8">
      <w:pPr>
        <w:spacing w:line="560" w:lineRule="exact"/>
        <w:ind w:firstLine="560" w:firstLineChars="200"/>
        <w:rPr>
          <w:rFonts w:ascii="宋体" w:hAnsi="宋体"/>
          <w:sz w:val="28"/>
          <w:szCs w:val="28"/>
        </w:rPr>
      </w:pPr>
      <w:r>
        <w:rPr>
          <w:rFonts w:hint="eastAsia" w:ascii="宋体" w:hAnsi="宋体"/>
          <w:sz w:val="28"/>
          <w:szCs w:val="28"/>
        </w:rPr>
        <w:t>2.目录；</w:t>
      </w:r>
    </w:p>
    <w:p w14:paraId="64381E03">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E09DD2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9F8BD7">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DEF328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5A28FA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58586F37">
      <w:pPr>
        <w:spacing w:line="560" w:lineRule="exact"/>
        <w:ind w:firstLine="560" w:firstLineChars="200"/>
        <w:rPr>
          <w:rFonts w:ascii="宋体" w:hAnsi="宋体"/>
          <w:b/>
          <w:sz w:val="28"/>
          <w:szCs w:val="28"/>
        </w:rPr>
      </w:pPr>
      <w:r>
        <w:rPr>
          <w:rFonts w:hint="eastAsia" w:ascii="宋体" w:hAnsi="宋体"/>
          <w:sz w:val="28"/>
          <w:szCs w:val="28"/>
        </w:rPr>
        <w:t>（2）报价一览表；</w:t>
      </w:r>
    </w:p>
    <w:p w14:paraId="6687D970">
      <w:pPr>
        <w:spacing w:line="560" w:lineRule="exact"/>
        <w:ind w:firstLine="560" w:firstLineChars="200"/>
        <w:rPr>
          <w:rFonts w:ascii="宋体" w:hAnsi="宋体"/>
          <w:sz w:val="28"/>
          <w:szCs w:val="28"/>
        </w:rPr>
      </w:pPr>
      <w:r>
        <w:rPr>
          <w:rFonts w:hint="eastAsia" w:ascii="宋体" w:hAnsi="宋体"/>
          <w:sz w:val="28"/>
          <w:szCs w:val="28"/>
        </w:rPr>
        <w:t>（3）报价明细表；</w:t>
      </w:r>
    </w:p>
    <w:p w14:paraId="30B7B924">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83AA240">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480D9E9">
      <w:pPr>
        <w:spacing w:line="560" w:lineRule="exact"/>
        <w:ind w:firstLine="560" w:firstLineChars="200"/>
        <w:rPr>
          <w:rFonts w:ascii="宋体" w:hAnsi="宋体"/>
          <w:sz w:val="28"/>
          <w:szCs w:val="28"/>
        </w:rPr>
      </w:pPr>
      <w:r>
        <w:rPr>
          <w:rFonts w:hint="eastAsia" w:ascii="宋体" w:hAnsi="宋体"/>
          <w:sz w:val="28"/>
          <w:szCs w:val="28"/>
        </w:rPr>
        <w:t>5.证明材料等；</w:t>
      </w:r>
    </w:p>
    <w:p w14:paraId="053A0A3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4A3A36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3505DD1">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52FDCF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170DF5D">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715666E">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04A831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4D3D6D23">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2DE53F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8D394E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732836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1FFA770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3F9E0D6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FBF8DF2">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6321C001">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4398ABEB">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20E9840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97E9E9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5A3D6B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2173A4FD">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w:t>
      </w:r>
      <w:r>
        <w:rPr>
          <w:rFonts w:hint="eastAsia" w:ascii="宋体" w:hAnsi="宋体"/>
          <w:b/>
          <w:bCs/>
          <w:sz w:val="28"/>
          <w:szCs w:val="28"/>
        </w:rPr>
        <w:t>推荐为成交供应商。</w:t>
      </w:r>
    </w:p>
    <w:p w14:paraId="626D029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367731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E32601B">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1B6AB88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73857CC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3F13844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964DB23">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规定的要求，对报价文件中的资格性、符合性条件进行审核。未通过的报价人不能确定为成交人。</w:t>
      </w:r>
    </w:p>
    <w:p w14:paraId="3EAD3B47">
      <w:pPr>
        <w:spacing w:line="560" w:lineRule="exact"/>
        <w:ind w:firstLine="560" w:firstLineChars="200"/>
        <w:rPr>
          <w:rFonts w:ascii="宋体" w:hAnsi="宋体"/>
          <w:sz w:val="28"/>
          <w:szCs w:val="28"/>
        </w:rPr>
      </w:pPr>
      <w:r>
        <w:rPr>
          <w:rFonts w:hint="eastAsia" w:ascii="宋体" w:hAnsi="宋体"/>
          <w:sz w:val="28"/>
          <w:szCs w:val="28"/>
        </w:rPr>
        <w:t>2.谈判</w:t>
      </w:r>
    </w:p>
    <w:p w14:paraId="76C9AFA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551005B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4C3709AC">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39533F23">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3CF137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72A84209">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 定标。</w:t>
      </w:r>
    </w:p>
    <w:p w14:paraId="75A4C170">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89B4D69">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874566">
      <w:pPr>
        <w:pStyle w:val="3"/>
        <w:numPr>
          <w:ilvl w:val="0"/>
          <w:numId w:val="3"/>
        </w:numPr>
        <w:spacing w:line="560" w:lineRule="exact"/>
      </w:pPr>
      <w:bookmarkStart w:id="22" w:name="_Toc18663"/>
      <w:r>
        <w:rPr>
          <w:rFonts w:hint="eastAsia"/>
        </w:rPr>
        <w:t>成交供应商确定</w:t>
      </w:r>
      <w:bookmarkEnd w:id="22"/>
    </w:p>
    <w:p w14:paraId="1EE03056">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674D0DD">
      <w:pPr>
        <w:snapToGrid w:val="0"/>
        <w:rPr>
          <w:rFonts w:ascii="宋体" w:hAnsi="宋体"/>
          <w:b/>
          <w:sz w:val="28"/>
          <w:szCs w:val="28"/>
        </w:rPr>
      </w:pPr>
    </w:p>
    <w:p w14:paraId="48D52E3A">
      <w:pPr>
        <w:rPr>
          <w:rFonts w:ascii="宋体" w:hAnsi="宋体"/>
          <w:b/>
          <w:sz w:val="28"/>
          <w:szCs w:val="28"/>
        </w:rPr>
      </w:pPr>
      <w:r>
        <w:rPr>
          <w:rFonts w:hint="eastAsia" w:ascii="宋体" w:hAnsi="宋体"/>
          <w:b/>
          <w:sz w:val="28"/>
          <w:szCs w:val="28"/>
        </w:rPr>
        <w:br w:type="page"/>
      </w:r>
    </w:p>
    <w:p w14:paraId="169F79D6">
      <w:pPr>
        <w:snapToGrid w:val="0"/>
        <w:rPr>
          <w:rFonts w:ascii="宋体" w:hAnsi="宋体"/>
          <w:b/>
          <w:sz w:val="28"/>
          <w:szCs w:val="28"/>
        </w:rPr>
      </w:pPr>
      <w:r>
        <w:rPr>
          <w:rFonts w:hint="eastAsia" w:ascii="宋体" w:hAnsi="宋体"/>
          <w:b/>
          <w:sz w:val="28"/>
          <w:szCs w:val="28"/>
        </w:rPr>
        <w:t>附表1</w:t>
      </w:r>
    </w:p>
    <w:p w14:paraId="6E7CE6D9">
      <w:pPr>
        <w:snapToGrid w:val="0"/>
        <w:jc w:val="center"/>
        <w:rPr>
          <w:rFonts w:ascii="宋体" w:hAnsi="宋体"/>
          <w:b/>
          <w:sz w:val="28"/>
          <w:szCs w:val="28"/>
        </w:rPr>
      </w:pPr>
      <w:r>
        <w:rPr>
          <w:rFonts w:hint="eastAsia" w:ascii="宋体" w:hAnsi="宋体"/>
          <w:b/>
          <w:sz w:val="28"/>
          <w:szCs w:val="28"/>
        </w:rPr>
        <w:t>资格性与符合性审查表</w:t>
      </w:r>
    </w:p>
    <w:p w14:paraId="48A15A14">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48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B81C1E5">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4CAEDF4A">
            <w:pPr>
              <w:spacing w:line="400" w:lineRule="exact"/>
              <w:rPr>
                <w:rFonts w:ascii="宋体" w:hAnsi="宋体"/>
                <w:b/>
                <w:sz w:val="18"/>
                <w:szCs w:val="18"/>
              </w:rPr>
            </w:pPr>
            <w:r>
              <w:rPr>
                <w:rFonts w:hint="eastAsia" w:ascii="宋体" w:hAnsi="宋体"/>
                <w:b/>
                <w:sz w:val="24"/>
              </w:rPr>
              <w:t>审查内容及要求</w:t>
            </w:r>
          </w:p>
        </w:tc>
      </w:tr>
      <w:tr w14:paraId="461F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9A6E2A">
            <w:pPr>
              <w:spacing w:line="400" w:lineRule="exact"/>
              <w:rPr>
                <w:rFonts w:ascii="宋体" w:hAnsi="宋体"/>
                <w:b/>
                <w:sz w:val="24"/>
              </w:rPr>
            </w:pPr>
            <w:r>
              <w:rPr>
                <w:rFonts w:hint="eastAsia" w:ascii="宋体" w:hAnsi="宋体"/>
                <w:b/>
                <w:sz w:val="24"/>
              </w:rPr>
              <w:t>（一）资格性审查</w:t>
            </w:r>
          </w:p>
        </w:tc>
      </w:tr>
      <w:tr w14:paraId="50F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3814CC">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57C587CE">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6B58ADC">
            <w:pPr>
              <w:spacing w:line="400" w:lineRule="exact"/>
              <w:jc w:val="center"/>
              <w:rPr>
                <w:rFonts w:ascii="宋体" w:hAnsi="宋体"/>
                <w:b/>
                <w:sz w:val="24"/>
              </w:rPr>
            </w:pPr>
            <w:r>
              <w:rPr>
                <w:rFonts w:hint="eastAsia" w:ascii="宋体" w:hAnsi="宋体"/>
                <w:b/>
                <w:sz w:val="24"/>
              </w:rPr>
              <w:t>审查结果</w:t>
            </w:r>
          </w:p>
        </w:tc>
      </w:tr>
      <w:tr w14:paraId="2A0E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525F2F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08596A3">
            <w:pPr>
              <w:spacing w:line="400" w:lineRule="exact"/>
              <w:rPr>
                <w:rFonts w:ascii="宋体" w:hAnsi="宋体"/>
                <w:sz w:val="28"/>
                <w:szCs w:val="28"/>
              </w:rPr>
            </w:pPr>
            <w:r>
              <w:rPr>
                <w:rFonts w:hint="eastAsia" w:ascii="宋体" w:hAnsi="宋体"/>
                <w:sz w:val="28"/>
                <w:szCs w:val="28"/>
              </w:rPr>
              <w:t>具有独立承担民事责任的能力</w:t>
            </w:r>
            <w:r>
              <w:rPr>
                <w:rFonts w:hint="eastAsia" w:asciiTheme="minorEastAsia" w:hAnsiTheme="minorEastAsia" w:eastAsiaTheme="minorEastAsia" w:cstheme="minorEastAsia"/>
                <w:bCs/>
                <w:sz w:val="28"/>
                <w:szCs w:val="28"/>
              </w:rPr>
              <w:t>，且具备履行合同所必需的设备和专业技术能力</w:t>
            </w:r>
            <w:r>
              <w:rPr>
                <w:rFonts w:hint="eastAsia" w:ascii="宋体" w:hAnsi="宋体"/>
                <w:sz w:val="28"/>
                <w:szCs w:val="28"/>
              </w:rPr>
              <w:t>：在中华人民共和国境内注册的法人或其他组织，提交有效的营业执照（或事业法人登记证等相关证明）副本复印件。分支机构报价的，须提供总公司和分公司营业执照副本复印件。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AF735C1">
            <w:pPr>
              <w:spacing w:line="400" w:lineRule="exact"/>
              <w:rPr>
                <w:rFonts w:ascii="宋体" w:hAnsi="宋体"/>
                <w:b/>
                <w:sz w:val="28"/>
                <w:szCs w:val="28"/>
              </w:rPr>
            </w:pPr>
          </w:p>
        </w:tc>
      </w:tr>
      <w:tr w14:paraId="7380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089E56">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048555A">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B8CFCC1">
            <w:pPr>
              <w:spacing w:line="400" w:lineRule="exact"/>
              <w:rPr>
                <w:rFonts w:ascii="宋体" w:hAnsi="宋体"/>
                <w:b/>
                <w:sz w:val="28"/>
                <w:szCs w:val="28"/>
              </w:rPr>
            </w:pPr>
          </w:p>
        </w:tc>
      </w:tr>
      <w:tr w14:paraId="22B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CD1D48">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10556302">
            <w:pPr>
              <w:spacing w:line="400" w:lineRule="exact"/>
              <w:rPr>
                <w:rFonts w:ascii="宋体" w:hAnsi="宋体"/>
                <w:sz w:val="28"/>
                <w:szCs w:val="28"/>
              </w:rPr>
            </w:pPr>
            <w:r>
              <w:rPr>
                <w:rFonts w:hint="eastAsia" w:asciiTheme="minorEastAsia" w:hAnsiTheme="minorEastAsia" w:eastAsiaTheme="minorEastAsia" w:cstheme="minorEastAsia"/>
                <w:bCs/>
                <w:sz w:val="28"/>
                <w:szCs w:val="28"/>
              </w:rPr>
              <w:t>具有工程监理综合资质或房屋建筑工程监理专业资质乙级（含乙级）或以上资质，并在有效期内。</w:t>
            </w:r>
          </w:p>
        </w:tc>
        <w:tc>
          <w:tcPr>
            <w:tcW w:w="1465" w:type="dxa"/>
            <w:noWrap/>
            <w:vAlign w:val="center"/>
          </w:tcPr>
          <w:p w14:paraId="2AB4A1B9">
            <w:pPr>
              <w:spacing w:line="400" w:lineRule="exact"/>
              <w:rPr>
                <w:rFonts w:ascii="宋体" w:hAnsi="宋体"/>
                <w:b/>
                <w:sz w:val="28"/>
                <w:szCs w:val="28"/>
              </w:rPr>
            </w:pPr>
          </w:p>
        </w:tc>
      </w:tr>
      <w:tr w14:paraId="7C8F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C129C9E">
            <w:pPr>
              <w:spacing w:line="40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4</w:t>
            </w:r>
          </w:p>
        </w:tc>
        <w:tc>
          <w:tcPr>
            <w:tcW w:w="6557" w:type="dxa"/>
            <w:noWrap/>
            <w:vAlign w:val="center"/>
          </w:tcPr>
          <w:p w14:paraId="3C9DA543">
            <w:pPr>
              <w:spacing w:line="4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委派项目现场监理工程师至少1人（确保1人常驻现场），需具备房屋建筑中级工程师职称或具备机电安装或建筑类中级工程师职称，具备3年以上相关经验（需提供职称证书复印件及工作简历文件）。</w:t>
            </w:r>
          </w:p>
        </w:tc>
        <w:tc>
          <w:tcPr>
            <w:tcW w:w="1465" w:type="dxa"/>
            <w:noWrap/>
            <w:vAlign w:val="center"/>
          </w:tcPr>
          <w:p w14:paraId="13C0D323">
            <w:pPr>
              <w:spacing w:line="400" w:lineRule="exact"/>
              <w:rPr>
                <w:rFonts w:ascii="宋体" w:hAnsi="宋体"/>
                <w:b/>
                <w:sz w:val="28"/>
                <w:szCs w:val="28"/>
              </w:rPr>
            </w:pPr>
          </w:p>
        </w:tc>
      </w:tr>
      <w:tr w14:paraId="724C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F1E3EA">
            <w:pPr>
              <w:spacing w:line="400" w:lineRule="exact"/>
              <w:jc w:val="center"/>
              <w:rPr>
                <w:rFonts w:hint="default" w:ascii="宋体" w:hAnsi="宋体"/>
                <w:b/>
                <w:sz w:val="28"/>
                <w:szCs w:val="28"/>
                <w:lang w:val="en-US" w:eastAsia="zh-CN"/>
              </w:rPr>
            </w:pPr>
            <w:r>
              <w:rPr>
                <w:rFonts w:hint="eastAsia" w:ascii="宋体" w:hAnsi="宋体"/>
                <w:b/>
                <w:sz w:val="28"/>
                <w:szCs w:val="28"/>
                <w:lang w:val="en-US" w:eastAsia="zh-CN"/>
              </w:rPr>
              <w:t>5</w:t>
            </w:r>
          </w:p>
        </w:tc>
        <w:tc>
          <w:tcPr>
            <w:tcW w:w="6557" w:type="dxa"/>
            <w:noWrap/>
            <w:vAlign w:val="center"/>
          </w:tcPr>
          <w:p w14:paraId="3C1C0416">
            <w:pPr>
              <w:spacing w:line="40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本项目不接受联合体投标。</w:t>
            </w:r>
          </w:p>
        </w:tc>
        <w:tc>
          <w:tcPr>
            <w:tcW w:w="1465" w:type="dxa"/>
            <w:noWrap/>
            <w:vAlign w:val="center"/>
          </w:tcPr>
          <w:p w14:paraId="07C53899">
            <w:pPr>
              <w:spacing w:line="400" w:lineRule="exact"/>
              <w:rPr>
                <w:rFonts w:ascii="宋体" w:hAnsi="宋体"/>
                <w:b/>
                <w:sz w:val="28"/>
                <w:szCs w:val="28"/>
              </w:rPr>
            </w:pPr>
          </w:p>
        </w:tc>
      </w:tr>
      <w:tr w14:paraId="5C8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DF1EF54">
            <w:pPr>
              <w:spacing w:line="400" w:lineRule="exact"/>
              <w:rPr>
                <w:rFonts w:ascii="宋体" w:hAnsi="宋体"/>
                <w:b/>
                <w:sz w:val="28"/>
                <w:szCs w:val="28"/>
              </w:rPr>
            </w:pPr>
            <w:r>
              <w:rPr>
                <w:rFonts w:hint="eastAsia" w:ascii="宋体" w:hAnsi="宋体"/>
                <w:b/>
                <w:sz w:val="28"/>
                <w:szCs w:val="28"/>
              </w:rPr>
              <w:t>（二）符合性审查</w:t>
            </w:r>
          </w:p>
        </w:tc>
      </w:tr>
      <w:tr w14:paraId="299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6D45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E87E8EF">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EBC519">
            <w:pPr>
              <w:spacing w:line="400" w:lineRule="exact"/>
              <w:jc w:val="center"/>
              <w:rPr>
                <w:rFonts w:ascii="宋体" w:hAnsi="宋体"/>
                <w:b/>
                <w:sz w:val="28"/>
                <w:szCs w:val="28"/>
              </w:rPr>
            </w:pPr>
            <w:r>
              <w:rPr>
                <w:rFonts w:hint="eastAsia" w:ascii="宋体" w:hAnsi="宋体"/>
                <w:b/>
                <w:sz w:val="28"/>
                <w:szCs w:val="28"/>
              </w:rPr>
              <w:t>审查结果</w:t>
            </w:r>
          </w:p>
        </w:tc>
      </w:tr>
      <w:tr w14:paraId="48C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40BC97E">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52C2B5C3">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1C2EC43">
            <w:pPr>
              <w:spacing w:line="400" w:lineRule="exact"/>
              <w:jc w:val="center"/>
              <w:rPr>
                <w:rFonts w:ascii="宋体" w:hAnsi="宋体"/>
                <w:b/>
                <w:sz w:val="28"/>
                <w:szCs w:val="28"/>
              </w:rPr>
            </w:pPr>
          </w:p>
        </w:tc>
      </w:tr>
      <w:tr w14:paraId="1BAF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3B2A3A">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42FFE16">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3A8A1C67">
            <w:pPr>
              <w:spacing w:line="400" w:lineRule="exact"/>
              <w:rPr>
                <w:rFonts w:ascii="宋体" w:hAnsi="宋体"/>
                <w:sz w:val="28"/>
                <w:szCs w:val="28"/>
              </w:rPr>
            </w:pPr>
          </w:p>
        </w:tc>
      </w:tr>
      <w:tr w14:paraId="669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517A308">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F3059EA">
            <w:pPr>
              <w:spacing w:line="400" w:lineRule="exact"/>
              <w:rPr>
                <w:rFonts w:hint="default" w:ascii="宋体" w:hAnsi="宋体" w:eastAsia="宋体"/>
                <w:sz w:val="28"/>
                <w:szCs w:val="28"/>
                <w:lang w:val="en-US" w:eastAsia="zh-CN"/>
              </w:rPr>
            </w:pPr>
            <w:r>
              <w:rPr>
                <w:rFonts w:hint="eastAsia" w:ascii="宋体" w:hAnsi="宋体"/>
                <w:sz w:val="28"/>
                <w:szCs w:val="28"/>
                <w:lang w:val="en-US" w:eastAsia="zh-CN"/>
              </w:rPr>
              <w:t>承诺书</w:t>
            </w:r>
          </w:p>
        </w:tc>
        <w:tc>
          <w:tcPr>
            <w:tcW w:w="1465" w:type="dxa"/>
            <w:noWrap/>
            <w:vAlign w:val="center"/>
          </w:tcPr>
          <w:p w14:paraId="02BD71BC">
            <w:pPr>
              <w:spacing w:line="400" w:lineRule="exact"/>
              <w:rPr>
                <w:rFonts w:ascii="宋体" w:hAnsi="宋体"/>
                <w:sz w:val="28"/>
                <w:szCs w:val="28"/>
              </w:rPr>
            </w:pPr>
          </w:p>
        </w:tc>
      </w:tr>
      <w:tr w14:paraId="619A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90FD0">
            <w:pPr>
              <w:spacing w:beforeLines="25"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4</w:t>
            </w:r>
          </w:p>
        </w:tc>
        <w:tc>
          <w:tcPr>
            <w:tcW w:w="6557" w:type="dxa"/>
            <w:noWrap/>
            <w:vAlign w:val="center"/>
          </w:tcPr>
          <w:p w14:paraId="632AB58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218868DD">
            <w:pPr>
              <w:spacing w:line="400" w:lineRule="exact"/>
              <w:rPr>
                <w:rFonts w:ascii="宋体" w:hAnsi="宋体"/>
                <w:sz w:val="28"/>
                <w:szCs w:val="28"/>
              </w:rPr>
            </w:pPr>
          </w:p>
        </w:tc>
      </w:tr>
      <w:tr w14:paraId="398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B381CE6">
            <w:pPr>
              <w:spacing w:beforeLines="25" w:afterLines="25" w:line="400" w:lineRule="exact"/>
              <w:jc w:val="center"/>
              <w:rPr>
                <w:rFonts w:hint="eastAsia" w:ascii="宋体" w:hAnsi="宋体" w:eastAsia="宋体"/>
                <w:b/>
                <w:sz w:val="28"/>
                <w:szCs w:val="28"/>
                <w:lang w:eastAsia="zh-CN"/>
              </w:rPr>
            </w:pPr>
            <w:r>
              <w:rPr>
                <w:rFonts w:hint="eastAsia" w:ascii="宋体" w:hAnsi="宋体"/>
                <w:b/>
                <w:sz w:val="28"/>
                <w:szCs w:val="28"/>
                <w:lang w:val="en-US" w:eastAsia="zh-CN"/>
              </w:rPr>
              <w:t>5</w:t>
            </w:r>
          </w:p>
        </w:tc>
        <w:tc>
          <w:tcPr>
            <w:tcW w:w="6557" w:type="dxa"/>
            <w:noWrap/>
            <w:vAlign w:val="center"/>
          </w:tcPr>
          <w:p w14:paraId="74C957EA">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D602EDD">
            <w:pPr>
              <w:spacing w:line="400" w:lineRule="exact"/>
              <w:rPr>
                <w:rFonts w:ascii="宋体" w:hAnsi="宋体"/>
                <w:sz w:val="28"/>
                <w:szCs w:val="28"/>
              </w:rPr>
            </w:pPr>
          </w:p>
        </w:tc>
      </w:tr>
      <w:tr w14:paraId="6EE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699680B">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51098F3">
            <w:pPr>
              <w:spacing w:line="400" w:lineRule="exact"/>
              <w:rPr>
                <w:rFonts w:ascii="宋体" w:hAnsi="宋体"/>
                <w:sz w:val="28"/>
                <w:szCs w:val="28"/>
              </w:rPr>
            </w:pPr>
          </w:p>
        </w:tc>
      </w:tr>
    </w:tbl>
    <w:p w14:paraId="4E18120D">
      <w:pPr>
        <w:snapToGrid w:val="0"/>
        <w:rPr>
          <w:rFonts w:ascii="宋体" w:hAnsi="宋体"/>
          <w:b/>
          <w:szCs w:val="21"/>
        </w:rPr>
      </w:pPr>
      <w:r>
        <w:rPr>
          <w:rFonts w:hint="eastAsia" w:ascii="宋体" w:hAnsi="宋体"/>
          <w:b/>
          <w:szCs w:val="21"/>
        </w:rPr>
        <w:t>备注：</w:t>
      </w:r>
    </w:p>
    <w:p w14:paraId="4C85111E">
      <w:pPr>
        <w:snapToGrid w:val="0"/>
        <w:ind w:firstLine="411" w:firstLineChars="196"/>
        <w:rPr>
          <w:rFonts w:ascii="宋体" w:hAnsi="宋体"/>
          <w:szCs w:val="21"/>
        </w:rPr>
      </w:pPr>
      <w:r>
        <w:rPr>
          <w:rFonts w:hint="eastAsia" w:ascii="宋体" w:hAnsi="宋体"/>
          <w:szCs w:val="21"/>
        </w:rPr>
        <w:t>1.本表应与采购书中相关条款内容一致。</w:t>
      </w:r>
    </w:p>
    <w:p w14:paraId="6C7E045B">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F5D8349">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5EFDB0E">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44BE2CB3">
      <w:pPr>
        <w:rPr>
          <w:rFonts w:ascii="宋体" w:hAnsi="宋体"/>
          <w:b/>
          <w:bCs/>
          <w:sz w:val="28"/>
          <w:szCs w:val="28"/>
        </w:rPr>
      </w:pPr>
      <w:r>
        <w:rPr>
          <w:rFonts w:hint="eastAsia" w:ascii="宋体" w:hAnsi="宋体"/>
          <w:b/>
          <w:bCs/>
          <w:sz w:val="28"/>
          <w:szCs w:val="28"/>
        </w:rPr>
        <w:br w:type="page"/>
      </w:r>
    </w:p>
    <w:p w14:paraId="5BF69F5C">
      <w:pPr>
        <w:spacing w:line="560" w:lineRule="exact"/>
        <w:ind w:firstLine="562" w:firstLineChars="200"/>
        <w:rPr>
          <w:rFonts w:ascii="宋体" w:hAnsi="宋体"/>
          <w:b/>
          <w:sz w:val="28"/>
          <w:szCs w:val="28"/>
        </w:rPr>
      </w:pPr>
      <w:r>
        <w:rPr>
          <w:rFonts w:hint="eastAsia" w:ascii="宋体" w:hAnsi="宋体"/>
          <w:b/>
          <w:sz w:val="28"/>
          <w:szCs w:val="28"/>
        </w:rPr>
        <w:t>附表2：</w:t>
      </w:r>
    </w:p>
    <w:p w14:paraId="58AE1073">
      <w:pPr>
        <w:spacing w:line="560" w:lineRule="exact"/>
        <w:ind w:firstLine="562" w:firstLineChars="200"/>
        <w:jc w:val="center"/>
        <w:rPr>
          <w:rFonts w:hint="eastAsia" w:ascii="宋体" w:hAnsi="宋体"/>
          <w:b/>
          <w:bCs/>
          <w:sz w:val="28"/>
          <w:szCs w:val="28"/>
        </w:rPr>
      </w:pPr>
      <w:r>
        <w:rPr>
          <w:rFonts w:hint="eastAsia" w:ascii="宋体" w:hAnsi="宋体"/>
          <w:b/>
          <w:bCs/>
          <w:sz w:val="28"/>
          <w:szCs w:val="28"/>
        </w:rPr>
        <w:t>详细评审表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1"/>
        <w:gridCol w:w="6832"/>
        <w:gridCol w:w="618"/>
      </w:tblGrid>
      <w:tr w14:paraId="589F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67" w:type="pct"/>
            <w:vAlign w:val="center"/>
          </w:tcPr>
          <w:p w14:paraId="61E809A3">
            <w:pPr>
              <w:spacing w:line="320" w:lineRule="exact"/>
              <w:jc w:val="center"/>
              <w:rPr>
                <w:rFonts w:hint="eastAsia" w:ascii="仿宋" w:hAnsi="仿宋" w:eastAsia="仿宋" w:cs="仿宋"/>
                <w:b/>
                <w:bCs/>
              </w:rPr>
            </w:pPr>
            <w:r>
              <w:rPr>
                <w:rFonts w:hint="eastAsia" w:ascii="仿宋" w:hAnsi="仿宋" w:cs="仿宋"/>
                <w:b/>
                <w:bCs/>
                <w:color w:val="auto"/>
                <w:szCs w:val="21"/>
              </w:rPr>
              <w:t>项目</w:t>
            </w:r>
          </w:p>
        </w:tc>
        <w:tc>
          <w:tcPr>
            <w:tcW w:w="420" w:type="pct"/>
            <w:vAlign w:val="center"/>
          </w:tcPr>
          <w:p w14:paraId="1DC69F63">
            <w:pPr>
              <w:spacing w:line="320" w:lineRule="exact"/>
              <w:jc w:val="center"/>
              <w:rPr>
                <w:rFonts w:hint="eastAsia" w:ascii="仿宋" w:hAnsi="仿宋" w:cs="仿宋"/>
                <w:b/>
                <w:bCs/>
              </w:rPr>
            </w:pPr>
            <w:r>
              <w:rPr>
                <w:rFonts w:hint="eastAsia" w:ascii="仿宋" w:hAnsi="仿宋" w:cs="仿宋"/>
                <w:b/>
                <w:bCs/>
                <w:color w:val="auto"/>
                <w:szCs w:val="21"/>
              </w:rPr>
              <w:t>分项</w:t>
            </w:r>
          </w:p>
          <w:p w14:paraId="67DD6564">
            <w:pPr>
              <w:spacing w:line="320" w:lineRule="exact"/>
              <w:jc w:val="center"/>
              <w:rPr>
                <w:rFonts w:hint="eastAsia" w:ascii="仿宋" w:hAnsi="仿宋" w:eastAsia="仿宋" w:cs="仿宋"/>
                <w:b/>
                <w:bCs/>
              </w:rPr>
            </w:pPr>
            <w:r>
              <w:rPr>
                <w:rFonts w:hint="eastAsia" w:ascii="仿宋" w:hAnsi="仿宋" w:cs="仿宋"/>
                <w:b/>
                <w:bCs/>
                <w:color w:val="auto"/>
                <w:szCs w:val="21"/>
              </w:rPr>
              <w:t>名称</w:t>
            </w:r>
          </w:p>
        </w:tc>
        <w:tc>
          <w:tcPr>
            <w:tcW w:w="3771" w:type="pct"/>
            <w:vAlign w:val="center"/>
          </w:tcPr>
          <w:p w14:paraId="338791A8">
            <w:pPr>
              <w:spacing w:line="320" w:lineRule="exact"/>
              <w:jc w:val="center"/>
              <w:rPr>
                <w:rFonts w:hint="eastAsia" w:ascii="仿宋" w:hAnsi="仿宋" w:eastAsia="仿宋" w:cs="仿宋"/>
                <w:b/>
                <w:bCs/>
              </w:rPr>
            </w:pPr>
            <w:r>
              <w:rPr>
                <w:rFonts w:hint="eastAsia" w:ascii="仿宋" w:hAnsi="仿宋" w:cs="仿宋"/>
                <w:b/>
                <w:bCs/>
                <w:color w:val="auto"/>
                <w:szCs w:val="21"/>
              </w:rPr>
              <w:t>评分标准</w:t>
            </w:r>
          </w:p>
        </w:tc>
        <w:tc>
          <w:tcPr>
            <w:tcW w:w="341" w:type="pct"/>
            <w:vAlign w:val="center"/>
          </w:tcPr>
          <w:p w14:paraId="72EBBC2F">
            <w:pPr>
              <w:spacing w:line="320" w:lineRule="exact"/>
              <w:jc w:val="center"/>
              <w:rPr>
                <w:rFonts w:hint="eastAsia" w:ascii="仿宋" w:hAnsi="仿宋" w:eastAsia="仿宋" w:cs="仿宋"/>
                <w:b/>
                <w:bCs/>
              </w:rPr>
            </w:pPr>
            <w:r>
              <w:rPr>
                <w:rFonts w:hint="eastAsia" w:ascii="仿宋" w:hAnsi="仿宋" w:cs="仿宋"/>
                <w:b/>
                <w:bCs/>
                <w:color w:val="auto"/>
                <w:szCs w:val="21"/>
              </w:rPr>
              <w:t>满分</w:t>
            </w:r>
          </w:p>
        </w:tc>
      </w:tr>
      <w:tr w14:paraId="1FE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467" w:type="pct"/>
            <w:vAlign w:val="center"/>
          </w:tcPr>
          <w:p w14:paraId="739953E6">
            <w:pPr>
              <w:spacing w:line="320" w:lineRule="exact"/>
              <w:jc w:val="center"/>
              <w:rPr>
                <w:rFonts w:hint="eastAsia" w:ascii="仿宋" w:hAnsi="仿宋" w:cs="仿宋"/>
              </w:rPr>
            </w:pPr>
            <w:r>
              <w:rPr>
                <w:rFonts w:hint="eastAsia" w:ascii="仿宋" w:hAnsi="仿宋" w:cs="仿宋"/>
                <w:color w:val="auto"/>
                <w:szCs w:val="21"/>
              </w:rPr>
              <w:t>价格</w:t>
            </w:r>
          </w:p>
          <w:p w14:paraId="5C349D55">
            <w:pPr>
              <w:spacing w:line="320" w:lineRule="exact"/>
              <w:jc w:val="center"/>
              <w:rPr>
                <w:rFonts w:hint="eastAsia" w:ascii="仿宋" w:hAnsi="仿宋" w:eastAsia="仿宋" w:cs="仿宋"/>
              </w:rPr>
            </w:pPr>
            <w:r>
              <w:rPr>
                <w:rFonts w:hint="eastAsia" w:ascii="仿宋" w:hAnsi="仿宋" w:cs="仿宋"/>
                <w:color w:val="auto"/>
                <w:szCs w:val="21"/>
              </w:rPr>
              <w:t>部分（20分）</w:t>
            </w:r>
          </w:p>
        </w:tc>
        <w:tc>
          <w:tcPr>
            <w:tcW w:w="420" w:type="pct"/>
            <w:vAlign w:val="center"/>
          </w:tcPr>
          <w:p w14:paraId="6984AC9A">
            <w:pPr>
              <w:spacing w:line="320" w:lineRule="exact"/>
              <w:jc w:val="center"/>
              <w:rPr>
                <w:rFonts w:hint="eastAsia" w:ascii="仿宋" w:hAnsi="仿宋" w:cs="仿宋"/>
              </w:rPr>
            </w:pPr>
            <w:r>
              <w:rPr>
                <w:rFonts w:hint="eastAsia" w:ascii="仿宋" w:hAnsi="仿宋" w:cs="仿宋"/>
                <w:color w:val="auto"/>
                <w:szCs w:val="21"/>
              </w:rPr>
              <w:t>报价</w:t>
            </w:r>
          </w:p>
        </w:tc>
        <w:tc>
          <w:tcPr>
            <w:tcW w:w="3771" w:type="pct"/>
            <w:vAlign w:val="center"/>
          </w:tcPr>
          <w:p w14:paraId="21DE9146">
            <w:pPr>
              <w:numPr>
                <w:ilvl w:val="255"/>
                <w:numId w:val="0"/>
              </w:numPr>
              <w:spacing w:line="320" w:lineRule="exact"/>
              <w:rPr>
                <w:rFonts w:hint="eastAsia" w:ascii="仿宋" w:hAnsi="仿宋" w:cs="仿宋"/>
              </w:rPr>
            </w:pPr>
            <w:r>
              <w:rPr>
                <w:rFonts w:hint="eastAsia" w:ascii="仿宋" w:hAnsi="仿宋" w:eastAsia="仿宋" w:cs="仿宋"/>
                <w:color w:val="auto"/>
              </w:rPr>
              <w:t>采用</w:t>
            </w:r>
            <w:r>
              <w:rPr>
                <w:rFonts w:ascii="Arial" w:hAnsi="Arial" w:cs="Arial"/>
                <w:color w:val="333333"/>
                <w:sz w:val="19"/>
                <w:szCs w:val="19"/>
                <w:shd w:val="clear" w:color="auto" w:fill="FFFFFF"/>
              </w:rPr>
              <w:t>算术平均法</w:t>
            </w:r>
            <w:r>
              <w:rPr>
                <w:rFonts w:hint="eastAsia" w:ascii="Arial" w:hAnsi="Arial" w:cs="Arial"/>
                <w:color w:val="333333"/>
                <w:sz w:val="19"/>
                <w:szCs w:val="19"/>
                <w:shd w:val="clear" w:color="auto" w:fill="FFFFFF"/>
              </w:rPr>
              <w:t>：</w:t>
            </w:r>
          </w:p>
          <w:p w14:paraId="7277F189">
            <w:pPr>
              <w:widowControl w:val="0"/>
              <w:numPr>
                <w:ilvl w:val="0"/>
                <w:numId w:val="4"/>
              </w:numPr>
              <w:spacing w:line="320" w:lineRule="exact"/>
              <w:textAlignment w:val="auto"/>
              <w:rPr>
                <w:rFonts w:hint="eastAsia" w:ascii="仿宋" w:hAnsi="仿宋" w:eastAsia="仿宋" w:cs="仿宋"/>
              </w:rPr>
            </w:pPr>
            <w:r>
              <w:rPr>
                <w:rFonts w:hint="eastAsia" w:ascii="仿宋" w:hAnsi="仿宋" w:eastAsia="仿宋" w:cs="仿宋"/>
                <w:color w:val="auto"/>
              </w:rPr>
              <w:t>基准价格（用A表示）的确定：若有效供应商不少于5家（含5家）取所有通过初步审查供应商的算术平均值，去掉一个最高价和一个最低价后，剩余投标的算术平均值。即A=（N家供应商的投标价总额－最高价－最低价）/（N-2）；若有效供应商为3家或4家，价格基数则为所有有效供应商的投标价总额的算术平均值；即A=N家供应商的投标价总额/N。</w:t>
            </w:r>
          </w:p>
          <w:p w14:paraId="7E79FD11">
            <w:pPr>
              <w:widowControl w:val="0"/>
              <w:numPr>
                <w:ilvl w:val="0"/>
                <w:numId w:val="4"/>
              </w:numPr>
              <w:spacing w:line="320" w:lineRule="exact"/>
              <w:textAlignment w:val="auto"/>
              <w:rPr>
                <w:rFonts w:hint="eastAsia" w:ascii="仿宋" w:hAnsi="仿宋" w:eastAsia="仿宋" w:cs="仿宋"/>
              </w:rPr>
            </w:pPr>
            <w:r>
              <w:rPr>
                <w:rFonts w:hint="eastAsia" w:ascii="仿宋" w:hAnsi="仿宋" w:eastAsia="仿宋" w:cs="仿宋"/>
                <w:color w:val="auto"/>
              </w:rPr>
              <w:t>基准价格为：基准价格=A。</w:t>
            </w:r>
          </w:p>
          <w:p w14:paraId="28EE6F63">
            <w:pPr>
              <w:widowControl w:val="0"/>
              <w:numPr>
                <w:ilvl w:val="0"/>
                <w:numId w:val="4"/>
              </w:numPr>
              <w:spacing w:line="320" w:lineRule="exact"/>
              <w:textAlignment w:val="auto"/>
              <w:rPr>
                <w:rFonts w:eastAsia="仿宋"/>
                <w:szCs w:val="24"/>
              </w:rPr>
            </w:pPr>
            <w:r>
              <w:rPr>
                <w:rFonts w:hint="eastAsia" w:ascii="仿宋" w:hAnsi="仿宋" w:eastAsia="仿宋" w:cs="仿宋"/>
                <w:color w:val="auto"/>
              </w:rPr>
              <w:t>供应商报价等于基准价的为20分，每高于基准价1%的扣1分，每低于基准价1%的扣0.5分。最低分为O分。</w:t>
            </w:r>
          </w:p>
          <w:p w14:paraId="5E33E654">
            <w:pPr>
              <w:widowControl w:val="0"/>
              <w:numPr>
                <w:ilvl w:val="0"/>
                <w:numId w:val="4"/>
              </w:numPr>
              <w:spacing w:line="320" w:lineRule="exact"/>
              <w:textAlignment w:val="auto"/>
              <w:rPr>
                <w:rFonts w:eastAsia="仿宋"/>
                <w:szCs w:val="24"/>
              </w:rPr>
            </w:pPr>
            <w:r>
              <w:rPr>
                <w:rFonts w:hint="eastAsia" w:ascii="仿宋" w:hAnsi="仿宋" w:eastAsia="仿宋" w:cs="仿宋"/>
                <w:color w:val="auto"/>
              </w:rPr>
              <w:t>报价得分保留两位小数，四舍五入。</w:t>
            </w:r>
          </w:p>
        </w:tc>
        <w:tc>
          <w:tcPr>
            <w:tcW w:w="341" w:type="pct"/>
            <w:vAlign w:val="center"/>
          </w:tcPr>
          <w:p w14:paraId="08181BA8">
            <w:pPr>
              <w:spacing w:line="320" w:lineRule="exact"/>
              <w:jc w:val="center"/>
              <w:rPr>
                <w:rFonts w:hint="eastAsia" w:ascii="仿宋" w:hAnsi="仿宋" w:eastAsia="仿宋" w:cs="仿宋"/>
              </w:rPr>
            </w:pPr>
            <w:r>
              <w:rPr>
                <w:rFonts w:hint="eastAsia" w:ascii="仿宋" w:hAnsi="仿宋" w:cs="仿宋"/>
                <w:color w:val="auto"/>
                <w:kern w:val="2"/>
                <w:szCs w:val="21"/>
              </w:rPr>
              <w:t>20</w:t>
            </w:r>
          </w:p>
        </w:tc>
      </w:tr>
      <w:tr w14:paraId="0F28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7" w:type="pct"/>
            <w:vMerge w:val="restart"/>
            <w:vAlign w:val="center"/>
          </w:tcPr>
          <w:p w14:paraId="61E52C92">
            <w:pPr>
              <w:jc w:val="center"/>
              <w:rPr>
                <w:rFonts w:hint="eastAsia" w:ascii="仿宋" w:hAnsi="仿宋" w:cs="仿宋"/>
              </w:rPr>
            </w:pPr>
            <w:r>
              <w:rPr>
                <w:rFonts w:hint="eastAsia" w:ascii="仿宋" w:hAnsi="仿宋" w:cs="仿宋_GB2312"/>
                <w:color w:val="auto"/>
              </w:rPr>
              <w:t>技术部分（50）</w:t>
            </w:r>
          </w:p>
        </w:tc>
        <w:tc>
          <w:tcPr>
            <w:tcW w:w="420" w:type="pct"/>
            <w:vAlign w:val="center"/>
          </w:tcPr>
          <w:p w14:paraId="2FEBCAA9">
            <w:pPr>
              <w:jc w:val="center"/>
              <w:rPr>
                <w:rFonts w:hint="eastAsia" w:ascii="仿宋" w:hAnsi="仿宋" w:eastAsia="仿宋" w:cs="仿宋_GB2312"/>
                <w:szCs w:val="24"/>
              </w:rPr>
            </w:pPr>
            <w:r>
              <w:rPr>
                <w:rFonts w:hint="eastAsia" w:ascii="仿宋" w:hAnsi="仿宋" w:eastAsia="仿宋" w:cs="仿宋"/>
                <w:color w:val="auto"/>
                <w:kern w:val="2"/>
                <w:szCs w:val="21"/>
              </w:rPr>
              <w:t>实施方案</w:t>
            </w:r>
          </w:p>
        </w:tc>
        <w:tc>
          <w:tcPr>
            <w:tcW w:w="3771" w:type="pct"/>
            <w:vAlign w:val="center"/>
          </w:tcPr>
          <w:p w14:paraId="03CA8546">
            <w:pPr>
              <w:spacing w:line="320" w:lineRule="atLeast"/>
              <w:jc w:val="left"/>
              <w:textAlignment w:val="center"/>
              <w:rPr>
                <w:rFonts w:hint="eastAsia" w:ascii="仿宋" w:hAnsi="仿宋" w:eastAsia="仿宋" w:cs="仿宋"/>
              </w:rPr>
            </w:pPr>
            <w:r>
              <w:rPr>
                <w:rFonts w:hint="eastAsia" w:ascii="仿宋" w:hAnsi="仿宋" w:eastAsia="仿宋" w:cs="仿宋"/>
                <w:color w:val="auto"/>
                <w:szCs w:val="21"/>
              </w:rPr>
              <w:t>报价</w:t>
            </w:r>
            <w:r>
              <w:rPr>
                <w:rFonts w:hint="eastAsia" w:ascii="仿宋" w:hAnsi="仿宋" w:eastAsia="仿宋" w:cs="仿宋"/>
                <w:color w:val="auto"/>
                <w:szCs w:val="21"/>
                <w:lang w:val="zh-CN"/>
              </w:rPr>
              <w:t>人提供的</w:t>
            </w:r>
            <w:r>
              <w:rPr>
                <w:rFonts w:hint="eastAsia" w:ascii="仿宋" w:hAnsi="仿宋" w:eastAsia="仿宋" w:cs="仿宋"/>
                <w:color w:val="auto"/>
                <w:kern w:val="2"/>
                <w:szCs w:val="21"/>
              </w:rPr>
              <w:t>实施方案</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1）工程特点</w:t>
            </w:r>
            <w:r>
              <w:rPr>
                <w:rFonts w:hint="eastAsia" w:ascii="仿宋" w:hAnsi="仿宋" w:cs="仿宋"/>
                <w:color w:val="auto"/>
                <w:szCs w:val="21"/>
              </w:rPr>
              <w:t>（2</w:t>
            </w:r>
            <w:r>
              <w:rPr>
                <w:rFonts w:hint="eastAsia" w:ascii="仿宋" w:hAnsi="仿宋" w:eastAsia="仿宋" w:cs="仿宋"/>
                <w:color w:val="auto"/>
                <w:szCs w:val="21"/>
              </w:rPr>
              <w:t>）实施难点</w:t>
            </w:r>
            <w:r>
              <w:rPr>
                <w:rFonts w:hint="eastAsia" w:ascii="仿宋" w:hAnsi="仿宋" w:cs="仿宋"/>
                <w:color w:val="auto"/>
                <w:szCs w:val="21"/>
              </w:rPr>
              <w:t>（3</w:t>
            </w:r>
            <w:r>
              <w:rPr>
                <w:rFonts w:hint="eastAsia" w:ascii="仿宋" w:hAnsi="仿宋" w:eastAsia="仿宋" w:cs="仿宋"/>
                <w:color w:val="auto"/>
                <w:szCs w:val="21"/>
              </w:rPr>
              <w:t>）监理工作重点等</w:t>
            </w:r>
            <w:r>
              <w:rPr>
                <w:rFonts w:hint="eastAsia" w:ascii="仿宋" w:hAnsi="仿宋" w:cs="仿宋"/>
                <w:color w:val="auto"/>
                <w:szCs w:val="21"/>
              </w:rPr>
              <w:t>:</w:t>
            </w:r>
          </w:p>
          <w:p w14:paraId="0B6773AC">
            <w:pPr>
              <w:spacing w:line="320" w:lineRule="atLeas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8</w:t>
            </w:r>
            <w:r>
              <w:rPr>
                <w:rFonts w:hint="eastAsia" w:ascii="仿宋" w:hAnsi="仿宋" w:eastAsia="仿宋" w:cs="仿宋"/>
                <w:color w:val="auto"/>
                <w:szCs w:val="21"/>
              </w:rPr>
              <w:t>分；</w:t>
            </w:r>
          </w:p>
          <w:p w14:paraId="1ACD4B87">
            <w:pPr>
              <w:spacing w:line="320" w:lineRule="atLeas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5</w:t>
            </w:r>
            <w:r>
              <w:rPr>
                <w:rFonts w:hint="eastAsia" w:ascii="仿宋" w:hAnsi="仿宋" w:eastAsia="仿宋" w:cs="仿宋"/>
                <w:color w:val="auto"/>
                <w:szCs w:val="21"/>
              </w:rPr>
              <w:t>分；</w:t>
            </w:r>
          </w:p>
          <w:p w14:paraId="50D73CCE">
            <w:pPr>
              <w:spacing w:line="320" w:lineRule="atLeas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C447E9A">
            <w:pPr>
              <w:spacing w:line="320" w:lineRule="atLeas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1AB9DCFF">
            <w:pPr>
              <w:spacing w:line="320" w:lineRule="atLeas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675FF0A3">
            <w:pPr>
              <w:spacing w:line="320" w:lineRule="atLeast"/>
              <w:ind w:right="-2"/>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669F7A6C">
            <w:pPr>
              <w:jc w:val="center"/>
              <w:rPr>
                <w:rFonts w:hint="eastAsia" w:ascii="仿宋" w:hAnsi="仿宋" w:eastAsia="仿宋" w:cs="仿宋_GB2312"/>
                <w:szCs w:val="24"/>
              </w:rPr>
            </w:pPr>
            <w:r>
              <w:rPr>
                <w:rFonts w:hint="eastAsia" w:ascii="仿宋" w:hAnsi="仿宋" w:cs="仿宋_GB2312"/>
                <w:color w:val="auto"/>
              </w:rPr>
              <w:t>8</w:t>
            </w:r>
          </w:p>
        </w:tc>
      </w:tr>
      <w:tr w14:paraId="4A2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7" w:type="pct"/>
            <w:vMerge w:val="continue"/>
            <w:vAlign w:val="center"/>
          </w:tcPr>
          <w:p w14:paraId="1FC0F9F3">
            <w:pPr>
              <w:spacing w:line="320" w:lineRule="exact"/>
              <w:rPr>
                <w:rFonts w:hint="eastAsia" w:ascii="仿宋" w:hAnsi="仿宋" w:cs="仿宋"/>
              </w:rPr>
            </w:pPr>
          </w:p>
        </w:tc>
        <w:tc>
          <w:tcPr>
            <w:tcW w:w="420" w:type="pct"/>
            <w:vAlign w:val="center"/>
          </w:tcPr>
          <w:p w14:paraId="494197FF">
            <w:pPr>
              <w:jc w:val="center"/>
              <w:rPr>
                <w:rFonts w:hint="eastAsia" w:ascii="仿宋" w:hAnsi="仿宋" w:eastAsia="仿宋" w:cs="仿宋_GB2312"/>
                <w:szCs w:val="24"/>
              </w:rPr>
            </w:pPr>
            <w:r>
              <w:rPr>
                <w:rFonts w:hint="eastAsia" w:ascii="仿宋" w:hAnsi="仿宋" w:eastAsia="仿宋" w:cs="仿宋"/>
                <w:color w:val="auto"/>
                <w:spacing w:val="3"/>
                <w:szCs w:val="21"/>
              </w:rPr>
              <w:t>质量控制</w:t>
            </w:r>
            <w:r>
              <w:rPr>
                <w:rFonts w:hint="eastAsia" w:ascii="仿宋" w:hAnsi="仿宋" w:eastAsia="仿宋" w:cs="仿宋"/>
                <w:color w:val="auto"/>
                <w:spacing w:val="-2"/>
                <w:szCs w:val="21"/>
              </w:rPr>
              <w:t>措施</w:t>
            </w:r>
          </w:p>
        </w:tc>
        <w:tc>
          <w:tcPr>
            <w:tcW w:w="3771" w:type="pct"/>
            <w:vAlign w:val="center"/>
          </w:tcPr>
          <w:p w14:paraId="7470FEBB">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spacing w:val="3"/>
                <w:szCs w:val="21"/>
              </w:rPr>
              <w:t>质量控制</w:t>
            </w:r>
            <w:r>
              <w:rPr>
                <w:rFonts w:hint="eastAsia" w:ascii="仿宋" w:hAnsi="仿宋" w:eastAsia="仿宋" w:cs="仿宋"/>
                <w:color w:val="auto"/>
                <w:spacing w:val="-2"/>
                <w:szCs w:val="21"/>
              </w:rPr>
              <w:t>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1）质量控制总目标</w:t>
            </w:r>
          </w:p>
          <w:p w14:paraId="2DE937C2">
            <w:pPr>
              <w:spacing w:line="320" w:lineRule="exact"/>
              <w:jc w:val="left"/>
              <w:textAlignment w:val="center"/>
              <w:rPr>
                <w:rFonts w:hint="eastAsia" w:ascii="仿宋" w:hAnsi="仿宋" w:eastAsia="仿宋" w:cs="仿宋"/>
              </w:rPr>
            </w:pPr>
            <w:r>
              <w:rPr>
                <w:rFonts w:hint="eastAsia" w:ascii="仿宋" w:hAnsi="仿宋" w:cs="仿宋"/>
                <w:color w:val="auto"/>
                <w:szCs w:val="21"/>
              </w:rPr>
              <w:t>（</w:t>
            </w:r>
            <w:r>
              <w:rPr>
                <w:rFonts w:hint="eastAsia" w:ascii="仿宋" w:hAnsi="仿宋" w:eastAsia="仿宋" w:cs="仿宋"/>
                <w:color w:val="auto"/>
                <w:szCs w:val="21"/>
              </w:rPr>
              <w:t>2）质量控制的基本程序(包括质量事故处理程序)</w:t>
            </w:r>
            <w:r>
              <w:rPr>
                <w:rFonts w:hint="eastAsia" w:ascii="仿宋" w:hAnsi="仿宋" w:cs="仿宋"/>
                <w:color w:val="auto"/>
                <w:szCs w:val="21"/>
              </w:rPr>
              <w:t>（3</w:t>
            </w:r>
            <w:r>
              <w:rPr>
                <w:rFonts w:hint="eastAsia" w:ascii="仿宋" w:hAnsi="仿宋" w:eastAsia="仿宋" w:cs="仿宋"/>
                <w:color w:val="auto"/>
                <w:szCs w:val="21"/>
              </w:rPr>
              <w:t>）预控措施(质量通病预防等)等</w:t>
            </w:r>
            <w:r>
              <w:rPr>
                <w:rFonts w:hint="eastAsia" w:ascii="仿宋" w:hAnsi="仿宋" w:cs="仿宋"/>
                <w:color w:val="auto"/>
                <w:szCs w:val="21"/>
              </w:rPr>
              <w:t>:</w:t>
            </w:r>
          </w:p>
          <w:p w14:paraId="670CCFA3">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718688F6">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1414305">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4FB5082F">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6F07C618">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18476A73">
            <w:pPr>
              <w:spacing w:line="320" w:lineRule="exact"/>
              <w:jc w:val="left"/>
              <w:textAlignment w:val="center"/>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6CB8EA1">
            <w:pPr>
              <w:jc w:val="center"/>
              <w:rPr>
                <w:rFonts w:hint="eastAsia" w:ascii="仿宋" w:hAnsi="仿宋" w:eastAsia="仿宋" w:cs="仿宋_GB2312"/>
                <w:szCs w:val="24"/>
              </w:rPr>
            </w:pPr>
            <w:r>
              <w:rPr>
                <w:rFonts w:hint="eastAsia" w:ascii="仿宋" w:hAnsi="仿宋" w:cs="仿宋_GB2312"/>
                <w:color w:val="auto"/>
              </w:rPr>
              <w:t>7</w:t>
            </w:r>
          </w:p>
        </w:tc>
      </w:tr>
      <w:tr w14:paraId="016C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67" w:type="pct"/>
            <w:vMerge w:val="continue"/>
            <w:vAlign w:val="center"/>
          </w:tcPr>
          <w:p w14:paraId="7E7E9B0C">
            <w:pPr>
              <w:spacing w:line="320" w:lineRule="exact"/>
              <w:rPr>
                <w:rFonts w:hint="eastAsia" w:ascii="仿宋" w:hAnsi="仿宋" w:cs="仿宋"/>
              </w:rPr>
            </w:pPr>
          </w:p>
        </w:tc>
        <w:tc>
          <w:tcPr>
            <w:tcW w:w="420" w:type="pct"/>
            <w:vAlign w:val="center"/>
          </w:tcPr>
          <w:p w14:paraId="5A0F095A">
            <w:pPr>
              <w:jc w:val="center"/>
              <w:rPr>
                <w:rFonts w:hint="eastAsia" w:ascii="仿宋" w:hAnsi="仿宋" w:eastAsia="仿宋" w:cs="仿宋_GB2312"/>
                <w:szCs w:val="24"/>
              </w:rPr>
            </w:pPr>
            <w:r>
              <w:rPr>
                <w:rFonts w:hint="eastAsia" w:ascii="仿宋" w:hAnsi="仿宋" w:eastAsia="仿宋" w:cs="仿宋"/>
                <w:color w:val="auto"/>
                <w:spacing w:val="-2"/>
                <w:szCs w:val="21"/>
              </w:rPr>
              <w:t>进度控制措施</w:t>
            </w:r>
          </w:p>
        </w:tc>
        <w:tc>
          <w:tcPr>
            <w:tcW w:w="3771" w:type="pct"/>
            <w:vAlign w:val="center"/>
          </w:tcPr>
          <w:p w14:paraId="0DE6B46A">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w:t>
            </w:r>
            <w:r>
              <w:rPr>
                <w:rFonts w:hint="eastAsia" w:ascii="仿宋" w:hAnsi="仿宋" w:eastAsia="仿宋" w:cs="仿宋"/>
                <w:color w:val="auto"/>
                <w:szCs w:val="21"/>
              </w:rPr>
              <w:t>提供的</w:t>
            </w:r>
            <w:r>
              <w:rPr>
                <w:rFonts w:hint="eastAsia" w:ascii="仿宋" w:hAnsi="仿宋" w:eastAsia="仿宋" w:cs="仿宋"/>
                <w:color w:val="auto"/>
                <w:spacing w:val="-2"/>
                <w:szCs w:val="21"/>
              </w:rPr>
              <w:t>进度控制措施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1）进度控制总目标</w:t>
            </w:r>
            <w:r>
              <w:rPr>
                <w:rFonts w:hint="eastAsia" w:ascii="仿宋" w:hAnsi="仿宋" w:cs="仿宋"/>
                <w:color w:val="auto"/>
                <w:szCs w:val="21"/>
              </w:rPr>
              <w:t>（2）</w:t>
            </w:r>
            <w:r>
              <w:rPr>
                <w:rFonts w:hint="eastAsia" w:ascii="仿宋" w:hAnsi="仿宋" w:eastAsia="仿宋" w:cs="仿宋"/>
                <w:color w:val="auto"/>
                <w:szCs w:val="21"/>
              </w:rPr>
              <w:t>进度控制的工作制度</w:t>
            </w:r>
            <w:r>
              <w:rPr>
                <w:rFonts w:hint="eastAsia" w:ascii="仿宋" w:hAnsi="仿宋" w:cs="仿宋"/>
                <w:color w:val="auto"/>
                <w:szCs w:val="21"/>
              </w:rPr>
              <w:t>（3）</w:t>
            </w:r>
            <w:r>
              <w:rPr>
                <w:rFonts w:hint="eastAsia" w:ascii="仿宋" w:hAnsi="仿宋" w:eastAsia="仿宋" w:cs="仿宋"/>
                <w:color w:val="auto"/>
                <w:szCs w:val="21"/>
              </w:rPr>
              <w:t>控制工期的具体措施等</w:t>
            </w:r>
            <w:r>
              <w:rPr>
                <w:rFonts w:hint="eastAsia" w:ascii="仿宋" w:hAnsi="仿宋" w:cs="仿宋"/>
                <w:color w:val="auto"/>
                <w:szCs w:val="21"/>
              </w:rPr>
              <w:t>:</w:t>
            </w:r>
          </w:p>
          <w:p w14:paraId="66A3FD81">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3C412424">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2A145099">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864B70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7ACF53C6">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7ECDBBE7">
            <w:pPr>
              <w:spacing w:line="320" w:lineRule="exact"/>
              <w:jc w:val="left"/>
              <w:textAlignment w:val="center"/>
              <w:rPr>
                <w:rFonts w:hint="eastAsia" w:ascii="仿宋" w:hAnsi="仿宋" w:eastAsia="仿宋" w:cs="仿宋"/>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35AE7931">
            <w:pPr>
              <w:jc w:val="center"/>
              <w:rPr>
                <w:rFonts w:hint="eastAsia" w:ascii="仿宋" w:hAnsi="仿宋" w:eastAsia="仿宋" w:cs="仿宋_GB2312"/>
                <w:szCs w:val="24"/>
              </w:rPr>
            </w:pPr>
            <w:r>
              <w:rPr>
                <w:rFonts w:hint="eastAsia" w:ascii="仿宋" w:hAnsi="仿宋" w:cs="仿宋_GB2312"/>
                <w:color w:val="auto"/>
              </w:rPr>
              <w:t>7</w:t>
            </w:r>
          </w:p>
        </w:tc>
      </w:tr>
      <w:tr w14:paraId="046D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467" w:type="pct"/>
            <w:vMerge w:val="continue"/>
            <w:vAlign w:val="center"/>
          </w:tcPr>
          <w:p w14:paraId="2A0B162B">
            <w:pPr>
              <w:spacing w:line="320" w:lineRule="exact"/>
              <w:rPr>
                <w:rFonts w:hint="eastAsia" w:ascii="仿宋" w:hAnsi="仿宋" w:cs="仿宋"/>
              </w:rPr>
            </w:pPr>
          </w:p>
        </w:tc>
        <w:tc>
          <w:tcPr>
            <w:tcW w:w="420" w:type="pct"/>
            <w:vAlign w:val="center"/>
          </w:tcPr>
          <w:p w14:paraId="065E492A">
            <w:pPr>
              <w:jc w:val="center"/>
              <w:rPr>
                <w:rFonts w:hint="eastAsia" w:ascii="仿宋" w:hAnsi="仿宋" w:eastAsia="仿宋" w:cs="仿宋_GB2312"/>
                <w:szCs w:val="24"/>
              </w:rPr>
            </w:pPr>
            <w:r>
              <w:rPr>
                <w:rFonts w:hint="eastAsia" w:ascii="仿宋" w:hAnsi="仿宋" w:eastAsia="仿宋" w:cs="仿宋"/>
                <w:color w:val="auto"/>
                <w:kern w:val="2"/>
                <w:szCs w:val="21"/>
              </w:rPr>
              <w:t>安全生产控制措施</w:t>
            </w:r>
          </w:p>
        </w:tc>
        <w:tc>
          <w:tcPr>
            <w:tcW w:w="3771" w:type="pct"/>
            <w:vAlign w:val="center"/>
          </w:tcPr>
          <w:p w14:paraId="6A29918E">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kern w:val="2"/>
                <w:szCs w:val="21"/>
              </w:rPr>
              <w:t>安全生产控制措施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1）安全生产关键点论述</w:t>
            </w:r>
            <w:r>
              <w:rPr>
                <w:rFonts w:hint="eastAsia" w:ascii="仿宋" w:hAnsi="仿宋" w:cs="仿宋"/>
                <w:color w:val="auto"/>
                <w:szCs w:val="21"/>
              </w:rPr>
              <w:t>（2</w:t>
            </w:r>
            <w:r>
              <w:rPr>
                <w:rFonts w:hint="eastAsia" w:ascii="仿宋" w:hAnsi="仿宋" w:eastAsia="仿宋" w:cs="仿宋"/>
                <w:color w:val="auto"/>
                <w:szCs w:val="21"/>
              </w:rPr>
              <w:t>）安全生产控制程序</w:t>
            </w:r>
            <w:r>
              <w:rPr>
                <w:rFonts w:hint="eastAsia" w:ascii="仿宋" w:hAnsi="仿宋" w:cs="仿宋"/>
                <w:color w:val="auto"/>
                <w:szCs w:val="21"/>
              </w:rPr>
              <w:t>（3</w:t>
            </w:r>
            <w:r>
              <w:rPr>
                <w:rFonts w:hint="eastAsia" w:ascii="仿宋" w:hAnsi="仿宋" w:eastAsia="仿宋" w:cs="仿宋"/>
                <w:color w:val="auto"/>
                <w:szCs w:val="21"/>
              </w:rPr>
              <w:t>）安全管理组织机构等</w:t>
            </w:r>
            <w:r>
              <w:rPr>
                <w:rFonts w:hint="eastAsia" w:ascii="仿宋" w:hAnsi="仿宋" w:cs="仿宋"/>
                <w:color w:val="auto"/>
                <w:szCs w:val="21"/>
              </w:rPr>
              <w:t>:</w:t>
            </w:r>
          </w:p>
          <w:p w14:paraId="57C1ED1B">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45B21859">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C5CEB9E">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73C7EBB4">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57AA5A64">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3D5A8DDD">
            <w:pPr>
              <w:pStyle w:val="6"/>
              <w:spacing w:line="320" w:lineRule="exact"/>
              <w:ind w:firstLine="0" w:firstLineChars="0"/>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56012177">
            <w:pPr>
              <w:jc w:val="center"/>
              <w:rPr>
                <w:rFonts w:hint="eastAsia" w:ascii="仿宋" w:hAnsi="仿宋" w:eastAsia="仿宋" w:cs="仿宋_GB2312"/>
                <w:szCs w:val="24"/>
              </w:rPr>
            </w:pPr>
            <w:r>
              <w:rPr>
                <w:rFonts w:hint="eastAsia" w:ascii="仿宋" w:hAnsi="仿宋" w:cs="仿宋_GB2312"/>
                <w:color w:val="auto"/>
              </w:rPr>
              <w:t>7</w:t>
            </w:r>
          </w:p>
        </w:tc>
      </w:tr>
      <w:tr w14:paraId="23D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467" w:type="pct"/>
            <w:vMerge w:val="continue"/>
            <w:vAlign w:val="center"/>
          </w:tcPr>
          <w:p w14:paraId="7D6C4BD9">
            <w:pPr>
              <w:spacing w:line="320" w:lineRule="exact"/>
              <w:rPr>
                <w:rFonts w:hint="eastAsia" w:ascii="仿宋" w:hAnsi="仿宋" w:cs="仿宋"/>
              </w:rPr>
            </w:pPr>
          </w:p>
        </w:tc>
        <w:tc>
          <w:tcPr>
            <w:tcW w:w="420" w:type="pct"/>
            <w:vAlign w:val="center"/>
          </w:tcPr>
          <w:p w14:paraId="3EA6B6D9">
            <w:pPr>
              <w:jc w:val="center"/>
              <w:rPr>
                <w:rFonts w:hint="eastAsia" w:ascii="仿宋" w:hAnsi="仿宋" w:eastAsia="仿宋" w:cs="仿宋_GB2312"/>
                <w:szCs w:val="24"/>
              </w:rPr>
            </w:pPr>
            <w:r>
              <w:rPr>
                <w:rFonts w:hint="eastAsia" w:ascii="仿宋" w:hAnsi="仿宋" w:eastAsia="仿宋" w:cs="仿宋"/>
                <w:color w:val="auto"/>
                <w:spacing w:val="-2"/>
                <w:szCs w:val="21"/>
              </w:rPr>
              <w:t>造价控制措施</w:t>
            </w:r>
          </w:p>
        </w:tc>
        <w:tc>
          <w:tcPr>
            <w:tcW w:w="3771" w:type="pct"/>
            <w:vAlign w:val="center"/>
          </w:tcPr>
          <w:p w14:paraId="1CC175C8">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eastAsia="仿宋" w:cs="仿宋"/>
                <w:color w:val="auto"/>
                <w:spacing w:val="-2"/>
                <w:szCs w:val="21"/>
              </w:rPr>
              <w:t>造价控制措施</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1）工程总造价控制措施</w:t>
            </w:r>
            <w:r>
              <w:rPr>
                <w:rFonts w:hint="eastAsia" w:ascii="仿宋" w:hAnsi="仿宋" w:cs="仿宋"/>
                <w:color w:val="auto"/>
                <w:szCs w:val="21"/>
              </w:rPr>
              <w:t>（2）</w:t>
            </w:r>
            <w:r>
              <w:rPr>
                <w:rFonts w:hint="eastAsia" w:ascii="仿宋" w:hAnsi="仿宋" w:eastAsia="仿宋" w:cs="仿宋"/>
                <w:color w:val="auto"/>
                <w:szCs w:val="21"/>
              </w:rPr>
              <w:t>工程计量、计价的控制方法</w:t>
            </w:r>
            <w:r>
              <w:rPr>
                <w:rFonts w:hint="eastAsia" w:ascii="仿宋" w:hAnsi="仿宋" w:cs="仿宋"/>
                <w:color w:val="auto"/>
                <w:szCs w:val="21"/>
              </w:rPr>
              <w:t>（3）</w:t>
            </w:r>
            <w:r>
              <w:rPr>
                <w:rFonts w:hint="eastAsia" w:ascii="仿宋" w:hAnsi="仿宋" w:eastAsia="仿宋" w:cs="仿宋"/>
                <w:color w:val="auto"/>
                <w:szCs w:val="21"/>
              </w:rPr>
              <w:t>工程变更的处理措施等</w:t>
            </w:r>
            <w:r>
              <w:rPr>
                <w:rFonts w:hint="eastAsia" w:ascii="仿宋" w:hAnsi="仿宋" w:cs="仿宋"/>
                <w:color w:val="auto"/>
                <w:szCs w:val="21"/>
              </w:rPr>
              <w:t>:</w:t>
            </w:r>
          </w:p>
          <w:p w14:paraId="44D0300E">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01D05DFC">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31B2384E">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1D26E52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7832BBD9">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4D5D5F21">
            <w:pPr>
              <w:spacing w:line="320" w:lineRule="exact"/>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12175307">
            <w:pPr>
              <w:jc w:val="center"/>
              <w:rPr>
                <w:rFonts w:hint="eastAsia" w:ascii="仿宋" w:hAnsi="仿宋" w:eastAsia="仿宋" w:cs="仿宋_GB2312"/>
                <w:szCs w:val="24"/>
              </w:rPr>
            </w:pPr>
            <w:r>
              <w:rPr>
                <w:rFonts w:hint="eastAsia" w:ascii="仿宋" w:hAnsi="仿宋" w:cs="仿宋_GB2312"/>
                <w:color w:val="auto"/>
              </w:rPr>
              <w:t>7</w:t>
            </w:r>
          </w:p>
        </w:tc>
      </w:tr>
      <w:tr w14:paraId="023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7" w:type="pct"/>
            <w:vMerge w:val="continue"/>
            <w:vAlign w:val="center"/>
          </w:tcPr>
          <w:p w14:paraId="52E71F34">
            <w:pPr>
              <w:spacing w:line="320" w:lineRule="exact"/>
              <w:rPr>
                <w:rFonts w:hint="eastAsia" w:ascii="仿宋" w:hAnsi="仿宋" w:cs="仿宋"/>
              </w:rPr>
            </w:pPr>
          </w:p>
        </w:tc>
        <w:tc>
          <w:tcPr>
            <w:tcW w:w="420" w:type="pct"/>
            <w:vAlign w:val="center"/>
          </w:tcPr>
          <w:p w14:paraId="07A4F119">
            <w:pPr>
              <w:jc w:val="center"/>
              <w:rPr>
                <w:rFonts w:hint="eastAsia" w:ascii="仿宋" w:hAnsi="仿宋" w:eastAsia="仿宋" w:cs="仿宋_GB2312"/>
                <w:szCs w:val="24"/>
              </w:rPr>
            </w:pPr>
            <w:r>
              <w:rPr>
                <w:rFonts w:hint="eastAsia" w:ascii="仿宋" w:hAnsi="仿宋" w:eastAsia="仿宋" w:cs="仿宋"/>
                <w:color w:val="auto"/>
                <w:kern w:val="2"/>
                <w:szCs w:val="21"/>
              </w:rPr>
              <w:t>组织协调及合理化建议</w:t>
            </w:r>
          </w:p>
        </w:tc>
        <w:tc>
          <w:tcPr>
            <w:tcW w:w="3771" w:type="pct"/>
            <w:vAlign w:val="center"/>
          </w:tcPr>
          <w:p w14:paraId="5DC21270">
            <w:pPr>
              <w:spacing w:line="320" w:lineRule="exact"/>
              <w:jc w:val="left"/>
              <w:textAlignment w:val="center"/>
              <w:rPr>
                <w:rFonts w:hint="eastAsia" w:ascii="仿宋" w:hAnsi="仿宋" w:eastAsia="仿宋" w:cs="仿宋"/>
              </w:rPr>
            </w:pPr>
            <w:r>
              <w:rPr>
                <w:rFonts w:hint="eastAsia" w:ascii="仿宋" w:hAnsi="仿宋" w:eastAsia="仿宋" w:cs="仿宋"/>
                <w:color w:val="auto"/>
                <w:szCs w:val="21"/>
                <w:lang w:val="zh-CN"/>
              </w:rPr>
              <w:t>报价人提供的</w:t>
            </w:r>
            <w:r>
              <w:rPr>
                <w:rFonts w:hint="eastAsia" w:ascii="仿宋" w:hAnsi="仿宋" w:cs="仿宋"/>
                <w:color w:val="auto"/>
                <w:szCs w:val="21"/>
              </w:rPr>
              <w:t>应急预案</w:t>
            </w:r>
            <w:r>
              <w:rPr>
                <w:rFonts w:hint="eastAsia" w:ascii="仿宋" w:hAnsi="仿宋" w:eastAsia="仿宋" w:cs="仿宋"/>
                <w:color w:val="auto"/>
                <w:szCs w:val="21"/>
              </w:rPr>
              <w:t>包含但不限于：</w:t>
            </w:r>
            <w:r>
              <w:rPr>
                <w:rFonts w:hint="eastAsia" w:ascii="仿宋" w:hAnsi="仿宋" w:cs="仿宋"/>
                <w:color w:val="auto"/>
                <w:szCs w:val="21"/>
              </w:rPr>
              <w:t>（</w:t>
            </w:r>
            <w:r>
              <w:rPr>
                <w:rFonts w:hint="eastAsia" w:ascii="仿宋" w:hAnsi="仿宋" w:eastAsia="仿宋" w:cs="仿宋"/>
                <w:color w:val="auto"/>
                <w:szCs w:val="21"/>
              </w:rPr>
              <w:t>1）</w:t>
            </w:r>
            <w:r>
              <w:rPr>
                <w:rFonts w:hint="eastAsia" w:ascii="仿宋" w:hAnsi="仿宋" w:eastAsia="仿宋" w:cs="仿宋"/>
                <w:color w:val="auto"/>
                <w:kern w:val="2"/>
                <w:szCs w:val="21"/>
              </w:rPr>
              <w:t>与采购人组织协调方案</w:t>
            </w:r>
            <w:r>
              <w:rPr>
                <w:rFonts w:hint="eastAsia" w:ascii="仿宋" w:hAnsi="仿宋" w:cs="仿宋"/>
                <w:color w:val="auto"/>
                <w:kern w:val="2"/>
                <w:szCs w:val="21"/>
              </w:rPr>
              <w:t>（2）</w:t>
            </w:r>
            <w:r>
              <w:rPr>
                <w:rFonts w:hint="eastAsia" w:ascii="仿宋" w:hAnsi="仿宋" w:eastAsia="仿宋" w:cs="仿宋"/>
                <w:color w:val="auto"/>
                <w:kern w:val="2"/>
                <w:szCs w:val="21"/>
              </w:rPr>
              <w:t>与施工单位组织协调方案</w:t>
            </w:r>
            <w:r>
              <w:rPr>
                <w:rFonts w:hint="eastAsia" w:ascii="仿宋" w:hAnsi="仿宋" w:cs="仿宋"/>
                <w:color w:val="auto"/>
                <w:kern w:val="2"/>
                <w:szCs w:val="21"/>
              </w:rPr>
              <w:t>（3）</w:t>
            </w:r>
            <w:r>
              <w:rPr>
                <w:rFonts w:hint="eastAsia" w:ascii="仿宋" w:hAnsi="仿宋" w:eastAsia="仿宋" w:cs="仿宋"/>
                <w:color w:val="auto"/>
                <w:kern w:val="2"/>
                <w:szCs w:val="21"/>
              </w:rPr>
              <w:t>合理化建议(能解决工程实际问题或有利于进度控制或造价控制等)</w:t>
            </w:r>
            <w:r>
              <w:rPr>
                <w:rFonts w:hint="eastAsia" w:ascii="仿宋" w:hAnsi="仿宋" w:eastAsia="仿宋" w:cs="仿宋"/>
                <w:color w:val="auto"/>
                <w:szCs w:val="21"/>
              </w:rPr>
              <w:t>等</w:t>
            </w:r>
            <w:r>
              <w:rPr>
                <w:rFonts w:hint="eastAsia" w:ascii="仿宋" w:hAnsi="仿宋" w:cs="仿宋"/>
                <w:color w:val="auto"/>
                <w:szCs w:val="21"/>
              </w:rPr>
              <w:t>:</w:t>
            </w:r>
          </w:p>
          <w:p w14:paraId="794A4207">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30D40399">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509AE491">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13F5C4D">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56C4D6B4">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586DA456">
            <w:pPr>
              <w:spacing w:line="320" w:lineRule="exact"/>
              <w:rPr>
                <w:rFonts w:hint="eastAsia" w:ascii="仿宋" w:hAnsi="仿宋" w:eastAsia="仿宋" w:cs="仿宋"/>
                <w:lang w:val="zh-CN"/>
              </w:rPr>
            </w:pPr>
            <w:r>
              <w:rPr>
                <w:rFonts w:hint="eastAsia" w:ascii="仿宋" w:hAnsi="仿宋" w:eastAsia="仿宋" w:cs="仿宋"/>
                <w:color w:val="auto"/>
                <w:szCs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1465522">
            <w:pPr>
              <w:jc w:val="center"/>
              <w:rPr>
                <w:rFonts w:hint="eastAsia" w:ascii="仿宋" w:hAnsi="仿宋" w:eastAsia="仿宋" w:cs="仿宋_GB2312"/>
                <w:szCs w:val="24"/>
              </w:rPr>
            </w:pPr>
            <w:r>
              <w:rPr>
                <w:rFonts w:hint="eastAsia" w:ascii="仿宋" w:hAnsi="仿宋" w:cs="仿宋_GB2312"/>
                <w:color w:val="auto"/>
              </w:rPr>
              <w:t>7</w:t>
            </w:r>
          </w:p>
        </w:tc>
      </w:tr>
      <w:tr w14:paraId="2AF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67" w:type="pct"/>
            <w:vMerge w:val="continue"/>
            <w:vAlign w:val="center"/>
          </w:tcPr>
          <w:p w14:paraId="6A6C0D75">
            <w:pPr>
              <w:spacing w:line="320" w:lineRule="exact"/>
              <w:rPr>
                <w:rFonts w:hint="eastAsia" w:ascii="仿宋" w:hAnsi="仿宋" w:cs="仿宋"/>
              </w:rPr>
            </w:pPr>
          </w:p>
        </w:tc>
        <w:tc>
          <w:tcPr>
            <w:tcW w:w="420" w:type="pct"/>
            <w:vAlign w:val="center"/>
          </w:tcPr>
          <w:p w14:paraId="4E4D2F75">
            <w:pPr>
              <w:jc w:val="center"/>
              <w:rPr>
                <w:rFonts w:hint="eastAsia" w:ascii="仿宋" w:hAnsi="仿宋" w:eastAsia="仿宋" w:cs="仿宋"/>
              </w:rPr>
            </w:pPr>
            <w:r>
              <w:rPr>
                <w:rFonts w:hint="eastAsia" w:ascii="仿宋" w:hAnsi="仿宋" w:eastAsia="仿宋" w:cs="仿宋"/>
                <w:color w:val="auto"/>
                <w:spacing w:val="-6"/>
                <w:szCs w:val="21"/>
              </w:rPr>
              <w:t>检测设备</w:t>
            </w:r>
          </w:p>
        </w:tc>
        <w:tc>
          <w:tcPr>
            <w:tcW w:w="3771" w:type="pct"/>
            <w:vAlign w:val="center"/>
          </w:tcPr>
          <w:p w14:paraId="022286F5">
            <w:pPr>
              <w:pStyle w:val="26"/>
              <w:spacing w:before="0" w:beforeAutospacing="0" w:after="0" w:afterAutospacing="0" w:line="320" w:lineRule="exact"/>
              <w:rPr>
                <w:rFonts w:hint="eastAsia" w:ascii="仿宋" w:hAnsi="仿宋" w:eastAsia="仿宋" w:cs="仿宋"/>
                <w:kern w:val="2"/>
                <w:sz w:val="21"/>
              </w:rPr>
            </w:pPr>
            <w:r>
              <w:rPr>
                <w:rFonts w:hint="eastAsia" w:ascii="仿宋" w:hAnsi="仿宋" w:eastAsia="仿宋" w:cs="仿宋"/>
                <w:sz w:val="21"/>
                <w:lang w:val="zh-CN"/>
              </w:rPr>
              <w:t>报价人提供的</w:t>
            </w:r>
            <w:r>
              <w:rPr>
                <w:rFonts w:hint="eastAsia" w:ascii="仿宋" w:hAnsi="仿宋" w:eastAsia="仿宋" w:cs="仿宋"/>
                <w:sz w:val="21"/>
              </w:rPr>
              <w:t>包含但不限于：</w:t>
            </w:r>
            <w:r>
              <w:rPr>
                <w:rFonts w:hint="eastAsia" w:ascii="仿宋" w:hAnsi="仿宋" w:eastAsia="仿宋" w:cs="仿宋"/>
                <w:kern w:val="2"/>
                <w:sz w:val="21"/>
              </w:rPr>
              <w:t>（1）质量检测设备（2）检测仪器</w:t>
            </w:r>
          </w:p>
          <w:p w14:paraId="01A00441">
            <w:pPr>
              <w:spacing w:line="320" w:lineRule="exact"/>
              <w:ind w:right="-2"/>
              <w:rPr>
                <w:rFonts w:hint="eastAsia" w:ascii="仿宋" w:hAnsi="仿宋" w:eastAsia="仿宋" w:cs="仿宋"/>
              </w:rPr>
            </w:pPr>
            <w:r>
              <w:rPr>
                <w:rFonts w:hint="eastAsia" w:ascii="仿宋" w:hAnsi="仿宋" w:eastAsia="仿宋" w:cs="仿宋"/>
                <w:color w:val="auto"/>
                <w:szCs w:val="21"/>
              </w:rPr>
              <w:t>1、符合项目需求，无缺陷得</w:t>
            </w:r>
            <w:r>
              <w:rPr>
                <w:rFonts w:hint="eastAsia" w:ascii="仿宋" w:hAnsi="仿宋" w:cs="仿宋"/>
                <w:color w:val="auto"/>
                <w:szCs w:val="21"/>
              </w:rPr>
              <w:t>7</w:t>
            </w:r>
            <w:r>
              <w:rPr>
                <w:rFonts w:hint="eastAsia" w:ascii="仿宋" w:hAnsi="仿宋" w:eastAsia="仿宋" w:cs="仿宋"/>
                <w:color w:val="auto"/>
                <w:szCs w:val="21"/>
              </w:rPr>
              <w:t>分；</w:t>
            </w:r>
          </w:p>
          <w:p w14:paraId="72CFDB46">
            <w:pPr>
              <w:spacing w:line="320" w:lineRule="exact"/>
              <w:ind w:right="-2"/>
              <w:rPr>
                <w:rFonts w:hint="eastAsia" w:ascii="仿宋" w:hAnsi="仿宋" w:eastAsia="仿宋" w:cs="仿宋"/>
              </w:rPr>
            </w:pPr>
            <w:r>
              <w:rPr>
                <w:rFonts w:hint="eastAsia" w:ascii="仿宋" w:hAnsi="仿宋" w:eastAsia="仿宋" w:cs="仿宋"/>
                <w:color w:val="auto"/>
                <w:szCs w:val="21"/>
              </w:rPr>
              <w:t>2、内容存在缺陷的，得</w:t>
            </w:r>
            <w:r>
              <w:rPr>
                <w:rFonts w:hint="eastAsia" w:ascii="仿宋" w:hAnsi="仿宋" w:cs="仿宋"/>
                <w:color w:val="auto"/>
                <w:szCs w:val="21"/>
              </w:rPr>
              <w:t>4</w:t>
            </w:r>
            <w:r>
              <w:rPr>
                <w:rFonts w:hint="eastAsia" w:ascii="仿宋" w:hAnsi="仿宋" w:eastAsia="仿宋" w:cs="仿宋"/>
                <w:color w:val="auto"/>
                <w:szCs w:val="21"/>
              </w:rPr>
              <w:t>分；</w:t>
            </w:r>
          </w:p>
          <w:p w14:paraId="2B1BFCF8">
            <w:pPr>
              <w:spacing w:line="320" w:lineRule="exact"/>
              <w:ind w:right="-2"/>
              <w:rPr>
                <w:rFonts w:hint="eastAsia" w:ascii="仿宋" w:hAnsi="仿宋" w:eastAsia="仿宋" w:cs="仿宋"/>
              </w:rPr>
            </w:pPr>
            <w:r>
              <w:rPr>
                <w:rFonts w:hint="eastAsia" w:ascii="仿宋" w:hAnsi="仿宋" w:eastAsia="仿宋" w:cs="仿宋"/>
                <w:color w:val="auto"/>
                <w:szCs w:val="21"/>
              </w:rPr>
              <w:t>3、内容存在不符合项目需求的或应包括的内容有一项未提供的，得</w:t>
            </w:r>
            <w:r>
              <w:rPr>
                <w:rFonts w:hint="eastAsia" w:ascii="仿宋" w:hAnsi="仿宋" w:cs="仿宋"/>
                <w:color w:val="auto"/>
                <w:szCs w:val="21"/>
              </w:rPr>
              <w:t>2</w:t>
            </w:r>
            <w:r>
              <w:rPr>
                <w:rFonts w:hint="eastAsia" w:ascii="仿宋" w:hAnsi="仿宋" w:eastAsia="仿宋" w:cs="仿宋"/>
                <w:color w:val="auto"/>
                <w:szCs w:val="21"/>
              </w:rPr>
              <w:t>分；</w:t>
            </w:r>
          </w:p>
          <w:p w14:paraId="6BC47628">
            <w:pPr>
              <w:spacing w:line="320" w:lineRule="exact"/>
              <w:ind w:right="-2"/>
              <w:rPr>
                <w:rFonts w:hint="eastAsia" w:ascii="仿宋" w:hAnsi="仿宋" w:eastAsia="仿宋" w:cs="仿宋"/>
              </w:rPr>
            </w:pPr>
            <w:r>
              <w:rPr>
                <w:rFonts w:hint="eastAsia" w:ascii="仿宋" w:hAnsi="仿宋" w:eastAsia="仿宋" w:cs="仿宋"/>
                <w:color w:val="auto"/>
                <w:szCs w:val="21"/>
              </w:rPr>
              <w:t>4、应包括的内容有二项及以上未提供或整体未提供，得0分。</w:t>
            </w:r>
          </w:p>
          <w:p w14:paraId="6AF5C1FB">
            <w:pPr>
              <w:pStyle w:val="8"/>
              <w:spacing w:line="320" w:lineRule="exact"/>
              <w:ind w:right="10"/>
            </w:pPr>
            <w:r>
              <w:rPr>
                <w:rFonts w:hint="eastAsia"/>
              </w:rPr>
              <w:t>提供相关证明文件，包括但不限于（1）检测设备的清单，清单内容包括设备名称，所购年限（2）购置凭证</w:t>
            </w:r>
          </w:p>
          <w:p w14:paraId="711FB849">
            <w:pPr>
              <w:spacing w:line="320" w:lineRule="exact"/>
              <w:ind w:right="-2"/>
              <w:rPr>
                <w:rFonts w:hint="eastAsia" w:ascii="仿宋" w:hAnsi="仿宋" w:eastAsia="仿宋" w:cs="仿宋"/>
              </w:rPr>
            </w:pPr>
            <w:r>
              <w:rPr>
                <w:rFonts w:hint="eastAsia" w:ascii="仿宋" w:hAnsi="仿宋" w:eastAsia="仿宋" w:cs="仿宋"/>
                <w:color w:val="auto"/>
                <w:szCs w:val="21"/>
              </w:rPr>
              <w:t>注：缺陷指对项目需求理解存在偏差、存在相互矛盾内容、未针对本项目编写等任意一种情形。</w:t>
            </w:r>
          </w:p>
          <w:p w14:paraId="68EDBD55">
            <w:pPr>
              <w:pStyle w:val="26"/>
              <w:spacing w:before="0" w:beforeAutospacing="0" w:after="0" w:afterAutospacing="0" w:line="320" w:lineRule="exact"/>
              <w:rPr>
                <w:rFonts w:hint="eastAsia" w:ascii="仿宋" w:hAnsi="仿宋" w:eastAsia="仿宋" w:cs="仿宋"/>
                <w:sz w:val="21"/>
              </w:rPr>
            </w:pPr>
            <w:r>
              <w:rPr>
                <w:rFonts w:hint="eastAsia" w:ascii="仿宋" w:hAnsi="仿宋" w:eastAsia="仿宋" w:cs="仿宋"/>
                <w:sz w:val="21"/>
              </w:rPr>
              <w:t>不符合项目需求是指存在与本项目执行无关的内容、存在相关内容在实际操作中不能运用、使用的工作方法、标准、依据、流程等有错误影响方案有效性等任意一种情形。</w:t>
            </w:r>
          </w:p>
        </w:tc>
        <w:tc>
          <w:tcPr>
            <w:tcW w:w="341" w:type="pct"/>
            <w:vAlign w:val="center"/>
          </w:tcPr>
          <w:p w14:paraId="0385469E">
            <w:pPr>
              <w:jc w:val="center"/>
              <w:rPr>
                <w:rFonts w:hint="eastAsia" w:ascii="仿宋" w:hAnsi="仿宋" w:cs="仿宋_GB2312"/>
              </w:rPr>
            </w:pPr>
            <w:r>
              <w:rPr>
                <w:rFonts w:hint="eastAsia" w:ascii="仿宋" w:hAnsi="仿宋" w:cs="仿宋_GB2312"/>
                <w:color w:val="auto"/>
              </w:rPr>
              <w:t>7</w:t>
            </w:r>
          </w:p>
        </w:tc>
      </w:tr>
      <w:tr w14:paraId="102A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67" w:type="pct"/>
            <w:vMerge w:val="restart"/>
            <w:vAlign w:val="center"/>
          </w:tcPr>
          <w:p w14:paraId="3D147A49">
            <w:pPr>
              <w:pStyle w:val="25"/>
              <w:jc w:val="center"/>
              <w:rPr>
                <w:rFonts w:hint="eastAsia" w:ascii="仿宋" w:hAnsi="仿宋" w:eastAsia="仿宋" w:cs="仿宋"/>
              </w:rPr>
            </w:pPr>
            <w:r>
              <w:rPr>
                <w:rFonts w:hint="eastAsia" w:ascii="仿宋" w:hAnsi="仿宋" w:eastAsia="仿宋" w:cs="仿宋_GB2312"/>
                <w:color w:val="auto"/>
                <w:kern w:val="2"/>
                <w:sz w:val="21"/>
                <w:szCs w:val="24"/>
                <w:highlight w:val="none"/>
                <w:lang w:val="en-US" w:eastAsia="zh-CN" w:bidi="ar-SA"/>
              </w:rPr>
              <w:t>商务部分（30分）</w:t>
            </w:r>
          </w:p>
        </w:tc>
        <w:tc>
          <w:tcPr>
            <w:tcW w:w="420" w:type="pct"/>
            <w:vMerge w:val="restart"/>
            <w:vAlign w:val="center"/>
          </w:tcPr>
          <w:p w14:paraId="55A40CD9">
            <w:pPr>
              <w:jc w:val="center"/>
              <w:rPr>
                <w:rFonts w:hint="eastAsia" w:ascii="仿宋" w:hAnsi="仿宋" w:cs="仿宋"/>
              </w:rPr>
            </w:pPr>
            <w:r>
              <w:rPr>
                <w:rFonts w:hint="eastAsia" w:ascii="仿宋" w:hAnsi="仿宋" w:cs="仿宋_GB2312"/>
                <w:color w:val="auto"/>
              </w:rPr>
              <w:t>企业业绩</w:t>
            </w:r>
          </w:p>
        </w:tc>
        <w:tc>
          <w:tcPr>
            <w:tcW w:w="3771" w:type="pct"/>
            <w:vAlign w:val="center"/>
          </w:tcPr>
          <w:p w14:paraId="118DC1DE">
            <w:pPr>
              <w:spacing w:line="320" w:lineRule="exact"/>
              <w:ind w:right="-2"/>
              <w:rPr>
                <w:rFonts w:hint="eastAsia" w:ascii="仿宋" w:hAnsi="仿宋" w:cs="仿宋"/>
              </w:rPr>
            </w:pPr>
            <w:r>
              <w:rPr>
                <w:rFonts w:hint="eastAsia" w:ascii="仿宋" w:hAnsi="仿宋" w:cs="仿宋"/>
                <w:color w:val="auto"/>
                <w:szCs w:val="21"/>
              </w:rPr>
              <w:t>自202</w:t>
            </w:r>
            <w:r>
              <w:rPr>
                <w:rFonts w:hint="eastAsia" w:ascii="仿宋" w:hAnsi="仿宋" w:cs="仿宋"/>
                <w:color w:val="auto"/>
                <w:szCs w:val="21"/>
                <w:lang w:val="en-US" w:eastAsia="zh-CN"/>
              </w:rPr>
              <w:t>3</w:t>
            </w:r>
            <w:r>
              <w:rPr>
                <w:rFonts w:hint="eastAsia" w:ascii="仿宋" w:hAnsi="仿宋" w:cs="仿宋"/>
                <w:color w:val="auto"/>
                <w:szCs w:val="21"/>
              </w:rPr>
              <w:t>年1月1日至今，报价人提供同类项目业绩，每提供一份得2分，最多得10分。</w:t>
            </w:r>
          </w:p>
          <w:p w14:paraId="06531DBF">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须提供合同关键页（首页、主要内容页、签字盖章页），须提供复印件并加盖报价单位公章。</w:t>
            </w:r>
          </w:p>
        </w:tc>
        <w:tc>
          <w:tcPr>
            <w:tcW w:w="341" w:type="pct"/>
            <w:vAlign w:val="center"/>
          </w:tcPr>
          <w:p w14:paraId="3DA8CF6D">
            <w:pPr>
              <w:jc w:val="center"/>
              <w:rPr>
                <w:rFonts w:hint="eastAsia" w:ascii="仿宋" w:hAnsi="仿宋" w:eastAsia="仿宋" w:cs="仿宋"/>
              </w:rPr>
            </w:pPr>
            <w:r>
              <w:rPr>
                <w:rFonts w:hint="eastAsia" w:ascii="仿宋" w:hAnsi="仿宋" w:cs="仿宋_GB2312"/>
                <w:color w:val="auto"/>
              </w:rPr>
              <w:t>10</w:t>
            </w:r>
          </w:p>
        </w:tc>
      </w:tr>
      <w:tr w14:paraId="2BF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467" w:type="pct"/>
            <w:vMerge w:val="continue"/>
            <w:vAlign w:val="center"/>
          </w:tcPr>
          <w:p w14:paraId="42F5AC8B">
            <w:pPr>
              <w:pStyle w:val="25"/>
              <w:jc w:val="center"/>
              <w:rPr>
                <w:rFonts w:hint="eastAsia" w:ascii="仿宋" w:hAnsi="仿宋" w:eastAsia="仿宋" w:cs="仿宋_GB2312"/>
                <w:kern w:val="2"/>
                <w:sz w:val="21"/>
                <w:szCs w:val="24"/>
              </w:rPr>
            </w:pPr>
          </w:p>
        </w:tc>
        <w:tc>
          <w:tcPr>
            <w:tcW w:w="420" w:type="pct"/>
            <w:vMerge w:val="continue"/>
            <w:vAlign w:val="center"/>
          </w:tcPr>
          <w:p w14:paraId="65E92D41">
            <w:pPr>
              <w:jc w:val="center"/>
              <w:rPr>
                <w:rFonts w:hint="eastAsia" w:ascii="仿宋" w:hAnsi="仿宋" w:cs="仿宋_GB2312"/>
              </w:rPr>
            </w:pPr>
          </w:p>
        </w:tc>
        <w:tc>
          <w:tcPr>
            <w:tcW w:w="3771" w:type="pct"/>
            <w:vAlign w:val="center"/>
          </w:tcPr>
          <w:p w14:paraId="3D7A11DF">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自202</w:t>
            </w:r>
            <w:r>
              <w:rPr>
                <w:rFonts w:hint="eastAsia" w:ascii="仿宋" w:hAnsi="仿宋" w:eastAsia="仿宋" w:cs="仿宋"/>
                <w:color w:val="auto"/>
                <w:szCs w:val="21"/>
                <w:lang w:val="en-US" w:eastAsia="zh-CN" w:bidi="ar"/>
              </w:rPr>
              <w:t>3</w:t>
            </w:r>
            <w:r>
              <w:rPr>
                <w:rFonts w:hint="eastAsia" w:ascii="仿宋" w:hAnsi="仿宋" w:eastAsia="仿宋" w:cs="仿宋"/>
                <w:color w:val="auto"/>
                <w:szCs w:val="21"/>
                <w:lang w:bidi="ar"/>
              </w:rPr>
              <w:t>年1月1日至今完成过的工程获得国家级质量奖项一项得</w:t>
            </w:r>
            <w:r>
              <w:rPr>
                <w:rFonts w:hint="eastAsia" w:ascii="仿宋" w:hAnsi="仿宋" w:eastAsia="仿宋" w:cs="仿宋"/>
                <w:color w:val="auto"/>
                <w:szCs w:val="21"/>
                <w:lang w:val="en-US" w:eastAsia="zh-CN" w:bidi="ar"/>
              </w:rPr>
              <w:t>1.5</w:t>
            </w:r>
            <w:r>
              <w:rPr>
                <w:rFonts w:hint="eastAsia" w:ascii="仿宋" w:hAnsi="仿宋" w:eastAsia="仿宋" w:cs="仿宋"/>
                <w:color w:val="auto"/>
                <w:szCs w:val="21"/>
                <w:lang w:bidi="ar"/>
              </w:rPr>
              <w:t>分，获得过省级质量奖项一项得1分，获得市级质量奖项一项得0.5分，本项最高不超过</w:t>
            </w:r>
            <w:r>
              <w:rPr>
                <w:rFonts w:hint="eastAsia" w:ascii="仿宋" w:hAnsi="仿宋" w:eastAsia="仿宋" w:cs="仿宋"/>
                <w:color w:val="auto"/>
                <w:szCs w:val="21"/>
                <w:lang w:val="en-US" w:eastAsia="zh-CN" w:bidi="ar"/>
              </w:rPr>
              <w:t>3</w:t>
            </w:r>
            <w:r>
              <w:rPr>
                <w:rFonts w:hint="eastAsia" w:ascii="仿宋" w:hAnsi="仿宋" w:eastAsia="仿宋" w:cs="仿宋"/>
                <w:color w:val="auto"/>
                <w:szCs w:val="21"/>
                <w:lang w:bidi="ar"/>
              </w:rPr>
              <w:t>分。同一工程项目按最高奖项计分，不重复计分。</w:t>
            </w:r>
          </w:p>
          <w:p w14:paraId="0F0C6A23">
            <w:pPr>
              <w:spacing w:line="320" w:lineRule="exact"/>
              <w:ind w:right="-2"/>
              <w:rPr>
                <w:rFonts w:hint="eastAsia" w:ascii="仿宋" w:hAnsi="仿宋" w:eastAsia="仿宋" w:cs="仿宋"/>
                <w:lang w:bidi="ar"/>
              </w:rPr>
            </w:pPr>
            <w:r>
              <w:rPr>
                <w:rFonts w:hint="eastAsia" w:ascii="仿宋" w:hAnsi="仿宋" w:eastAsia="仿宋" w:cs="仿宋"/>
                <w:color w:val="auto"/>
                <w:szCs w:val="21"/>
                <w:lang w:bidi="ar"/>
              </w:rPr>
              <w:t>须提供奖项复印件并加盖报价单位公章。</w:t>
            </w:r>
          </w:p>
        </w:tc>
        <w:tc>
          <w:tcPr>
            <w:tcW w:w="341" w:type="pct"/>
            <w:vAlign w:val="center"/>
          </w:tcPr>
          <w:p w14:paraId="6A50772F">
            <w:pPr>
              <w:jc w:val="center"/>
              <w:rPr>
                <w:rFonts w:hint="eastAsia" w:ascii="仿宋" w:hAnsi="仿宋" w:eastAsia="宋体" w:cs="仿宋_GB2312"/>
                <w:lang w:eastAsia="zh-CN"/>
              </w:rPr>
            </w:pPr>
            <w:r>
              <w:rPr>
                <w:rFonts w:hint="eastAsia" w:ascii="仿宋" w:hAnsi="仿宋" w:cs="仿宋_GB2312"/>
                <w:color w:val="auto"/>
                <w:lang w:val="en-US" w:eastAsia="zh-CN"/>
              </w:rPr>
              <w:t>5</w:t>
            </w:r>
          </w:p>
        </w:tc>
      </w:tr>
      <w:tr w14:paraId="790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67" w:type="pct"/>
            <w:vMerge w:val="continue"/>
            <w:vAlign w:val="center"/>
          </w:tcPr>
          <w:p w14:paraId="15577FFA">
            <w:pPr>
              <w:spacing w:line="320" w:lineRule="exact"/>
              <w:jc w:val="center"/>
              <w:rPr>
                <w:rFonts w:hint="eastAsia" w:ascii="仿宋" w:hAnsi="仿宋" w:cs="仿宋"/>
              </w:rPr>
            </w:pPr>
          </w:p>
        </w:tc>
        <w:tc>
          <w:tcPr>
            <w:tcW w:w="420" w:type="pct"/>
            <w:vAlign w:val="center"/>
          </w:tcPr>
          <w:p w14:paraId="6237763C">
            <w:pPr>
              <w:jc w:val="center"/>
              <w:rPr>
                <w:rFonts w:hint="default" w:ascii="仿宋" w:hAnsi="仿宋" w:eastAsia="宋体" w:cs="仿宋_GB2312"/>
                <w:color w:val="auto"/>
                <w:lang w:val="en-US" w:eastAsia="zh-CN"/>
              </w:rPr>
            </w:pPr>
            <w:r>
              <w:rPr>
                <w:rFonts w:hint="eastAsia" w:ascii="仿宋" w:hAnsi="仿宋" w:cs="仿宋_GB2312"/>
                <w:color w:val="auto"/>
                <w:lang w:val="en-US" w:eastAsia="zh-CN"/>
              </w:rPr>
              <w:t>拟派驻的现场监理工程师情况</w:t>
            </w:r>
          </w:p>
        </w:tc>
        <w:tc>
          <w:tcPr>
            <w:tcW w:w="3771" w:type="pct"/>
            <w:vAlign w:val="center"/>
          </w:tcPr>
          <w:p w14:paraId="637E1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1.</w:t>
            </w:r>
            <w:r>
              <w:rPr>
                <w:rFonts w:hint="eastAsia" w:ascii="仿宋" w:hAnsi="仿宋" w:eastAsia="仿宋" w:cs="仿宋"/>
                <w:color w:val="auto"/>
                <w:sz w:val="21"/>
                <w:szCs w:val="21"/>
                <w:lang w:bidi="ar"/>
              </w:rPr>
              <w:t>取得房屋建筑、机电安装、建筑工程相关专业</w:t>
            </w:r>
            <w:r>
              <w:rPr>
                <w:rFonts w:hint="eastAsia" w:ascii="仿宋" w:hAnsi="仿宋" w:eastAsia="仿宋" w:cs="仿宋"/>
                <w:color w:val="auto"/>
                <w:sz w:val="21"/>
                <w:szCs w:val="21"/>
                <w:lang w:val="en-US" w:eastAsia="zh-CN" w:bidi="ar"/>
              </w:rPr>
              <w:t>高级</w:t>
            </w:r>
            <w:r>
              <w:rPr>
                <w:rFonts w:hint="eastAsia" w:ascii="仿宋" w:hAnsi="仿宋" w:eastAsia="仿宋" w:cs="仿宋"/>
                <w:color w:val="auto"/>
                <w:sz w:val="21"/>
                <w:szCs w:val="21"/>
                <w:lang w:bidi="ar"/>
              </w:rPr>
              <w:t>工程师及以上职称，且具备 3年及以上工程监理相关工作经历，</w:t>
            </w:r>
            <w:r>
              <w:rPr>
                <w:rFonts w:hint="eastAsia" w:ascii="仿宋" w:hAnsi="仿宋" w:eastAsia="仿宋" w:cs="仿宋"/>
                <w:color w:val="auto"/>
                <w:sz w:val="21"/>
                <w:szCs w:val="21"/>
                <w:lang w:val="en-US" w:eastAsia="zh-CN" w:bidi="ar"/>
              </w:rPr>
              <w:t>得2</w:t>
            </w:r>
            <w:r>
              <w:rPr>
                <w:rFonts w:hint="eastAsia" w:ascii="仿宋" w:hAnsi="仿宋" w:eastAsia="仿宋" w:cs="仿宋"/>
                <w:color w:val="auto"/>
                <w:sz w:val="21"/>
                <w:szCs w:val="21"/>
                <w:lang w:bidi="ar"/>
              </w:rPr>
              <w:t>分；</w:t>
            </w:r>
          </w:p>
          <w:p w14:paraId="4B12A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2.</w:t>
            </w:r>
            <w:r>
              <w:rPr>
                <w:rFonts w:hint="eastAsia" w:ascii="仿宋" w:hAnsi="仿宋" w:eastAsia="仿宋" w:cs="仿宋"/>
                <w:color w:val="auto"/>
                <w:sz w:val="21"/>
                <w:szCs w:val="21"/>
                <w:lang w:bidi="ar"/>
              </w:rPr>
              <w:t>取得上述相关专业</w:t>
            </w:r>
            <w:r>
              <w:rPr>
                <w:rFonts w:hint="eastAsia" w:ascii="仿宋" w:hAnsi="仿宋" w:eastAsia="仿宋" w:cs="仿宋"/>
                <w:color w:val="auto"/>
                <w:sz w:val="21"/>
                <w:szCs w:val="21"/>
                <w:lang w:val="en-US" w:eastAsia="zh-CN" w:bidi="ar"/>
              </w:rPr>
              <w:t>中</w:t>
            </w:r>
            <w:r>
              <w:rPr>
                <w:rFonts w:hint="eastAsia" w:ascii="仿宋" w:hAnsi="仿宋" w:eastAsia="仿宋" w:cs="仿宋"/>
                <w:color w:val="auto"/>
                <w:sz w:val="21"/>
                <w:szCs w:val="21"/>
                <w:lang w:bidi="ar"/>
              </w:rPr>
              <w:t>级工程师，且具备 3年及以上工程监理相关工作经历，</w:t>
            </w:r>
            <w:r>
              <w:rPr>
                <w:rFonts w:hint="eastAsia" w:ascii="仿宋" w:hAnsi="仿宋" w:eastAsia="仿宋" w:cs="仿宋"/>
                <w:color w:val="auto"/>
                <w:sz w:val="21"/>
                <w:szCs w:val="21"/>
                <w:lang w:val="en-US" w:eastAsia="zh-CN" w:bidi="ar"/>
              </w:rPr>
              <w:t>得1</w:t>
            </w:r>
            <w:r>
              <w:rPr>
                <w:rFonts w:hint="eastAsia" w:ascii="仿宋" w:hAnsi="仿宋" w:eastAsia="仿宋" w:cs="仿宋"/>
                <w:color w:val="auto"/>
                <w:sz w:val="21"/>
                <w:szCs w:val="21"/>
                <w:lang w:bidi="ar"/>
              </w:rPr>
              <w:t>分；</w:t>
            </w:r>
          </w:p>
          <w:p w14:paraId="1C1D2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2"/>
              <w:jc w:val="left"/>
              <w:rPr>
                <w:rFonts w:hint="eastAsia" w:ascii="仿宋" w:hAnsi="仿宋" w:eastAsia="仿宋" w:cs="仿宋"/>
                <w:color w:val="auto"/>
                <w:sz w:val="21"/>
                <w:szCs w:val="21"/>
                <w:lang w:bidi="ar"/>
              </w:rPr>
            </w:pPr>
            <w:r>
              <w:rPr>
                <w:rFonts w:hint="eastAsia" w:ascii="仿宋" w:hAnsi="仿宋" w:eastAsia="仿宋" w:cs="仿宋"/>
                <w:color w:val="auto"/>
                <w:sz w:val="21"/>
                <w:szCs w:val="21"/>
                <w:lang w:val="en-US" w:eastAsia="zh-CN" w:bidi="ar"/>
              </w:rPr>
              <w:t>3.</w:t>
            </w:r>
            <w:r>
              <w:rPr>
                <w:rFonts w:hint="eastAsia" w:ascii="仿宋" w:hAnsi="仿宋" w:eastAsia="仿宋" w:cs="仿宋"/>
                <w:color w:val="auto"/>
                <w:sz w:val="21"/>
                <w:szCs w:val="21"/>
                <w:lang w:bidi="ar"/>
              </w:rPr>
              <w:t>无对应专业中级及以上职称，本项不得分。</w:t>
            </w:r>
          </w:p>
          <w:p w14:paraId="6F2CA198">
            <w:pPr>
              <w:widowControl/>
              <w:pBdr>
                <w:top w:val="none" w:color="auto" w:sz="0" w:space="0"/>
                <w:left w:val="none" w:color="auto" w:sz="0" w:space="0"/>
                <w:bottom w:val="none" w:color="auto" w:sz="0" w:space="0"/>
                <w:right w:val="none" w:color="auto" w:sz="0" w:space="0"/>
              </w:pBdr>
              <w:spacing w:line="320" w:lineRule="exact"/>
              <w:ind w:right="-2"/>
              <w:jc w:val="left"/>
              <w:rPr>
                <w:rFonts w:hint="eastAsia" w:ascii="仿宋" w:hAnsi="仿宋" w:eastAsia="仿宋" w:cs="仿宋"/>
                <w:color w:val="auto"/>
                <w:szCs w:val="21"/>
              </w:rPr>
            </w:pPr>
            <w:r>
              <w:rPr>
                <w:rFonts w:hint="eastAsia" w:ascii="仿宋" w:hAnsi="仿宋" w:eastAsia="仿宋" w:cs="仿宋"/>
                <w:color w:val="auto"/>
                <w:sz w:val="21"/>
                <w:szCs w:val="21"/>
                <w:lang w:val="en-US" w:eastAsia="zh-CN" w:bidi="ar"/>
              </w:rPr>
              <w:t>注：提供</w:t>
            </w:r>
            <w:r>
              <w:rPr>
                <w:rFonts w:hint="eastAsia" w:ascii="仿宋" w:hAnsi="仿宋" w:eastAsia="仿宋" w:cs="仿宋"/>
                <w:color w:val="auto"/>
                <w:szCs w:val="21"/>
                <w:lang w:val="en-US" w:eastAsia="zh-CN" w:bidi="ar"/>
              </w:rPr>
              <w:t>拟派驻的现场监理工程师的</w:t>
            </w:r>
            <w:r>
              <w:rPr>
                <w:rFonts w:hint="eastAsia" w:ascii="仿宋" w:hAnsi="仿宋" w:eastAsia="仿宋" w:cs="仿宋"/>
                <w:color w:val="auto"/>
                <w:sz w:val="21"/>
                <w:szCs w:val="21"/>
                <w:lang w:bidi="ar"/>
              </w:rPr>
              <w:t>职称证书复印件、个人工作履历</w:t>
            </w:r>
            <w:r>
              <w:rPr>
                <w:rFonts w:hint="eastAsia" w:ascii="仿宋" w:hAnsi="仿宋" w:eastAsia="仿宋" w:cs="仿宋"/>
                <w:color w:val="auto"/>
                <w:sz w:val="21"/>
                <w:szCs w:val="21"/>
                <w:lang w:val="en-US" w:eastAsia="zh-CN" w:bidi="ar"/>
              </w:rPr>
              <w:t>等</w:t>
            </w:r>
            <w:r>
              <w:rPr>
                <w:rFonts w:hint="eastAsia" w:ascii="仿宋" w:hAnsi="仿宋" w:eastAsia="仿宋" w:cs="仿宋"/>
                <w:color w:val="auto"/>
                <w:sz w:val="21"/>
                <w:szCs w:val="21"/>
                <w:lang w:bidi="ar"/>
              </w:rPr>
              <w:t>佐证材料</w:t>
            </w:r>
            <w:r>
              <w:rPr>
                <w:rFonts w:hint="eastAsia" w:ascii="仿宋" w:hAnsi="仿宋" w:eastAsia="仿宋" w:cs="仿宋"/>
                <w:color w:val="auto"/>
                <w:sz w:val="21"/>
                <w:szCs w:val="21"/>
                <w:lang w:eastAsia="zh-CN" w:bidi="ar"/>
              </w:rPr>
              <w:t>；</w:t>
            </w:r>
            <w:r>
              <w:rPr>
                <w:rFonts w:hint="eastAsia" w:ascii="仿宋" w:hAnsi="仿宋" w:eastAsia="仿宋" w:cs="仿宋"/>
                <w:color w:val="auto"/>
                <w:sz w:val="21"/>
                <w:szCs w:val="21"/>
                <w:lang w:val="en-US" w:eastAsia="zh-CN" w:bidi="ar"/>
              </w:rPr>
              <w:t>不提供不得分。</w:t>
            </w:r>
          </w:p>
        </w:tc>
        <w:tc>
          <w:tcPr>
            <w:tcW w:w="341" w:type="pct"/>
            <w:vAlign w:val="center"/>
          </w:tcPr>
          <w:p w14:paraId="4A1D7ACC">
            <w:pPr>
              <w:jc w:val="center"/>
              <w:rPr>
                <w:rFonts w:hint="eastAsia" w:ascii="仿宋" w:hAnsi="仿宋" w:eastAsia="宋体" w:cs="仿宋_GB2312"/>
                <w:color w:val="auto"/>
                <w:lang w:val="en-US" w:eastAsia="zh-CN"/>
              </w:rPr>
            </w:pPr>
            <w:r>
              <w:rPr>
                <w:rFonts w:hint="eastAsia" w:ascii="仿宋" w:hAnsi="仿宋" w:cs="仿宋_GB2312"/>
                <w:color w:val="auto"/>
                <w:lang w:val="en-US" w:eastAsia="zh-CN"/>
              </w:rPr>
              <w:t>4</w:t>
            </w:r>
          </w:p>
        </w:tc>
      </w:tr>
      <w:tr w14:paraId="125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67" w:type="pct"/>
            <w:vMerge w:val="continue"/>
            <w:vAlign w:val="center"/>
          </w:tcPr>
          <w:p w14:paraId="4CA3FF4C">
            <w:pPr>
              <w:spacing w:line="320" w:lineRule="exact"/>
              <w:jc w:val="center"/>
              <w:rPr>
                <w:rFonts w:hint="eastAsia" w:ascii="仿宋" w:hAnsi="仿宋" w:cs="仿宋"/>
              </w:rPr>
            </w:pPr>
          </w:p>
        </w:tc>
        <w:tc>
          <w:tcPr>
            <w:tcW w:w="420" w:type="pct"/>
            <w:vAlign w:val="center"/>
          </w:tcPr>
          <w:p w14:paraId="58D550AB">
            <w:pPr>
              <w:jc w:val="center"/>
              <w:rPr>
                <w:rFonts w:hint="eastAsia" w:ascii="仿宋" w:hAnsi="仿宋" w:cs="仿宋"/>
              </w:rPr>
            </w:pPr>
            <w:r>
              <w:rPr>
                <w:rFonts w:hint="eastAsia" w:ascii="仿宋" w:hAnsi="仿宋" w:cs="仿宋_GB2312"/>
                <w:color w:val="auto"/>
              </w:rPr>
              <w:t>诚信状况</w:t>
            </w:r>
          </w:p>
        </w:tc>
        <w:tc>
          <w:tcPr>
            <w:tcW w:w="3771" w:type="pct"/>
            <w:vAlign w:val="center"/>
          </w:tcPr>
          <w:p w14:paraId="5DE3E085">
            <w:pPr>
              <w:spacing w:line="320" w:lineRule="exact"/>
              <w:ind w:right="-2"/>
              <w:rPr>
                <w:rFonts w:hint="eastAsia" w:ascii="仿宋" w:hAnsi="仿宋" w:eastAsia="仿宋" w:cs="仿宋"/>
                <w:color w:val="auto"/>
                <w:szCs w:val="21"/>
                <w:lang w:eastAsia="zh-CN"/>
              </w:rPr>
            </w:pPr>
            <w:r>
              <w:rPr>
                <w:rFonts w:hint="eastAsia" w:ascii="仿宋" w:hAnsi="仿宋" w:eastAsia="仿宋" w:cs="仿宋"/>
                <w:color w:val="auto"/>
                <w:szCs w:val="21"/>
              </w:rPr>
              <w:t>在佛山市建筑诚信评价体系管理平台公布的</w:t>
            </w:r>
            <w:r>
              <w:rPr>
                <w:rFonts w:hint="eastAsia" w:ascii="仿宋" w:hAnsi="仿宋" w:eastAsia="仿宋" w:cs="仿宋"/>
                <w:color w:val="auto"/>
                <w:szCs w:val="21"/>
                <w:lang w:val="en-US" w:eastAsia="zh-CN"/>
              </w:rPr>
              <w:t>监理工程类</w:t>
            </w:r>
            <w:r>
              <w:rPr>
                <w:rFonts w:hint="eastAsia" w:ascii="仿宋" w:hAnsi="仿宋" w:eastAsia="仿宋" w:cs="仿宋"/>
                <w:color w:val="auto"/>
                <w:szCs w:val="21"/>
              </w:rPr>
              <w:t>企业诚信得分为准</w:t>
            </w:r>
            <w:r>
              <w:rPr>
                <w:rFonts w:hint="eastAsia" w:ascii="仿宋" w:hAnsi="仿宋" w:eastAsia="仿宋" w:cs="仿宋"/>
                <w:color w:val="auto"/>
                <w:szCs w:val="21"/>
                <w:lang w:eastAsia="zh-CN"/>
              </w:rPr>
              <w:t>（https://jzcx.fszj.foshan.gov.cn/cxpt/website/creditList.jsp）</w:t>
            </w:r>
          </w:p>
          <w:p w14:paraId="1973F6A1">
            <w:pPr>
              <w:spacing w:line="320" w:lineRule="exact"/>
              <w:ind w:right="-2"/>
              <w:rPr>
                <w:rFonts w:hint="eastAsia" w:ascii="仿宋" w:hAnsi="仿宋" w:eastAsia="仿宋" w:cs="仿宋"/>
              </w:rPr>
            </w:pPr>
            <w:r>
              <w:rPr>
                <w:rFonts w:hint="eastAsia" w:ascii="仿宋" w:hAnsi="仿宋" w:eastAsia="仿宋" w:cs="仿宋"/>
                <w:color w:val="auto"/>
                <w:szCs w:val="21"/>
              </w:rPr>
              <w:t>诚信</w:t>
            </w:r>
            <w:r>
              <w:rPr>
                <w:rFonts w:hint="eastAsia" w:ascii="仿宋" w:hAnsi="仿宋" w:eastAsia="仿宋" w:cs="仿宋"/>
                <w:color w:val="auto"/>
                <w:szCs w:val="21"/>
                <w:lang w:val="en-US" w:eastAsia="zh-CN"/>
              </w:rPr>
              <w:t>等级A级</w:t>
            </w:r>
            <w:r>
              <w:rPr>
                <w:rFonts w:hint="eastAsia" w:ascii="仿宋" w:hAnsi="仿宋" w:eastAsia="仿宋" w:cs="仿宋"/>
                <w:color w:val="auto"/>
                <w:szCs w:val="21"/>
              </w:rPr>
              <w:t>得 5 分；</w:t>
            </w:r>
            <w:r>
              <w:rPr>
                <w:rFonts w:hint="eastAsia" w:ascii="仿宋" w:hAnsi="仿宋" w:eastAsia="仿宋" w:cs="仿宋"/>
                <w:color w:val="auto"/>
                <w:szCs w:val="21"/>
                <w:lang w:val="en-US" w:eastAsia="zh-CN"/>
              </w:rPr>
              <w:t>B级</w:t>
            </w:r>
            <w:r>
              <w:rPr>
                <w:rFonts w:hint="eastAsia" w:ascii="仿宋" w:hAnsi="仿宋" w:eastAsia="仿宋" w:cs="仿宋"/>
                <w:color w:val="auto"/>
                <w:szCs w:val="21"/>
              </w:rPr>
              <w:t>得 3 分；</w:t>
            </w:r>
            <w:r>
              <w:rPr>
                <w:rFonts w:hint="eastAsia" w:ascii="仿宋" w:hAnsi="仿宋" w:eastAsia="仿宋" w:cs="仿宋"/>
                <w:color w:val="auto"/>
                <w:szCs w:val="21"/>
                <w:lang w:val="en-US" w:eastAsia="zh-CN"/>
              </w:rPr>
              <w:t>C级</w:t>
            </w:r>
            <w:r>
              <w:rPr>
                <w:rFonts w:hint="eastAsia" w:ascii="仿宋" w:hAnsi="仿宋" w:eastAsia="仿宋" w:cs="仿宋"/>
                <w:color w:val="auto"/>
                <w:szCs w:val="21"/>
              </w:rPr>
              <w:t>得1分；</w:t>
            </w:r>
            <w:r>
              <w:rPr>
                <w:rFonts w:hint="eastAsia" w:ascii="仿宋" w:hAnsi="仿宋" w:eastAsia="仿宋" w:cs="仿宋"/>
                <w:color w:val="auto"/>
                <w:szCs w:val="21"/>
                <w:lang w:val="en-US" w:eastAsia="zh-CN"/>
              </w:rPr>
              <w:t>D级及以下或</w:t>
            </w:r>
            <w:r>
              <w:rPr>
                <w:rFonts w:hint="eastAsia" w:ascii="仿宋" w:hAnsi="仿宋" w:eastAsia="仿宋" w:cs="仿宋"/>
                <w:color w:val="auto"/>
                <w:szCs w:val="21"/>
              </w:rPr>
              <w:t>未入库不得分。诚信得分以平台公开截图加盖公章为准。</w:t>
            </w:r>
          </w:p>
        </w:tc>
        <w:tc>
          <w:tcPr>
            <w:tcW w:w="341" w:type="pct"/>
            <w:vAlign w:val="center"/>
          </w:tcPr>
          <w:p w14:paraId="10C93736">
            <w:pPr>
              <w:jc w:val="center"/>
              <w:rPr>
                <w:rFonts w:hint="eastAsia" w:ascii="仿宋" w:hAnsi="仿宋" w:eastAsia="仿宋" w:cs="仿宋"/>
              </w:rPr>
            </w:pPr>
            <w:r>
              <w:rPr>
                <w:rFonts w:hint="eastAsia" w:ascii="仿宋" w:hAnsi="仿宋" w:cs="仿宋_GB2312"/>
                <w:color w:val="auto"/>
              </w:rPr>
              <w:t>5</w:t>
            </w:r>
          </w:p>
        </w:tc>
      </w:tr>
      <w:tr w14:paraId="6D5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467" w:type="pct"/>
            <w:vMerge w:val="continue"/>
            <w:vAlign w:val="center"/>
          </w:tcPr>
          <w:p w14:paraId="5CC67C21">
            <w:pPr>
              <w:spacing w:line="320" w:lineRule="exact"/>
              <w:jc w:val="center"/>
              <w:rPr>
                <w:rFonts w:hint="eastAsia" w:ascii="仿宋" w:hAnsi="仿宋" w:cs="仿宋"/>
              </w:rPr>
            </w:pPr>
          </w:p>
        </w:tc>
        <w:tc>
          <w:tcPr>
            <w:tcW w:w="420" w:type="pct"/>
            <w:shd w:val="clear" w:color="auto" w:fill="auto"/>
            <w:vAlign w:val="center"/>
          </w:tcPr>
          <w:p w14:paraId="00B4CADF">
            <w:pPr>
              <w:jc w:val="center"/>
              <w:rPr>
                <w:rFonts w:hint="eastAsia" w:ascii="仿宋" w:hAnsi="仿宋" w:eastAsia="宋体" w:cs="仿宋"/>
                <w:color w:val="auto"/>
                <w:kern w:val="2"/>
                <w:sz w:val="21"/>
                <w:szCs w:val="21"/>
                <w:highlight w:val="none"/>
                <w:lang w:val="en-US" w:eastAsia="zh-CN" w:bidi="ar-SA"/>
              </w:rPr>
            </w:pPr>
            <w:r>
              <w:rPr>
                <w:rFonts w:hint="eastAsia" w:ascii="仿宋" w:hAnsi="仿宋" w:cs="仿宋_GB2312"/>
                <w:color w:val="auto"/>
                <w:highlight w:val="none"/>
                <w:lang w:val="en-US" w:eastAsia="zh-CN"/>
              </w:rPr>
              <w:t>体系认证</w:t>
            </w:r>
          </w:p>
        </w:tc>
        <w:tc>
          <w:tcPr>
            <w:tcW w:w="3771" w:type="pct"/>
            <w:shd w:val="clear" w:color="auto" w:fill="auto"/>
            <w:vAlign w:val="center"/>
          </w:tcPr>
          <w:p w14:paraId="05564638">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提供有效期内的质量管理体系认证证书得2分；</w:t>
            </w:r>
          </w:p>
          <w:p w14:paraId="0211705B">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提供有效期内的环境管理体系认证证书得2分；</w:t>
            </w:r>
          </w:p>
          <w:p w14:paraId="0770A42A">
            <w:pPr>
              <w:keepNext w:val="0"/>
              <w:keepLines w:val="0"/>
              <w:pageBreakBefore w:val="0"/>
              <w:kinsoku/>
              <w:wordWrap/>
              <w:overflowPunct/>
              <w:topLinePunct w:val="0"/>
              <w:autoSpaceDE/>
              <w:autoSpaceDN/>
              <w:bidi w:val="0"/>
              <w:spacing w:line="240" w:lineRule="auto"/>
              <w:ind w:right="-2"/>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提供有效期内的职业健康安全管理体系认证证书得2分。</w:t>
            </w:r>
          </w:p>
          <w:p w14:paraId="282863B0">
            <w:pPr>
              <w:keepNext w:val="0"/>
              <w:keepLines w:val="0"/>
              <w:pageBreakBefore w:val="0"/>
              <w:kinsoku/>
              <w:wordWrap/>
              <w:overflowPunct/>
              <w:topLinePunct w:val="0"/>
              <w:autoSpaceDE/>
              <w:autoSpaceDN/>
              <w:bidi w:val="0"/>
              <w:spacing w:line="240" w:lineRule="auto"/>
              <w:ind w:right="-2"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须提供证书复印件并加盖报价单位公章。</w:t>
            </w:r>
          </w:p>
        </w:tc>
        <w:tc>
          <w:tcPr>
            <w:tcW w:w="341" w:type="pct"/>
            <w:shd w:val="clear" w:color="auto" w:fill="auto"/>
            <w:vAlign w:val="center"/>
          </w:tcPr>
          <w:p w14:paraId="11A526E1">
            <w:pPr>
              <w:jc w:val="center"/>
              <w:rPr>
                <w:rFonts w:hint="eastAsia" w:ascii="仿宋" w:hAnsi="仿宋" w:eastAsia="宋体" w:cs="仿宋"/>
                <w:color w:val="auto"/>
                <w:kern w:val="2"/>
                <w:sz w:val="21"/>
                <w:szCs w:val="21"/>
                <w:highlight w:val="none"/>
                <w:lang w:val="en-US" w:eastAsia="zh-CN" w:bidi="ar-SA"/>
              </w:rPr>
            </w:pPr>
            <w:r>
              <w:rPr>
                <w:rFonts w:hint="eastAsia" w:ascii="仿宋" w:hAnsi="仿宋" w:cs="仿宋"/>
                <w:i w:val="0"/>
                <w:color w:val="auto"/>
                <w:kern w:val="2"/>
                <w:sz w:val="21"/>
                <w:szCs w:val="21"/>
                <w:highlight w:val="none"/>
                <w:u w:val="none"/>
                <w:lang w:val="en-US" w:eastAsia="zh-CN" w:bidi="ar-SA"/>
              </w:rPr>
              <w:t>6</w:t>
            </w:r>
          </w:p>
        </w:tc>
      </w:tr>
      <w:tr w14:paraId="1FC0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7" w:type="pct"/>
            <w:vAlign w:val="center"/>
          </w:tcPr>
          <w:p w14:paraId="2ED8D748">
            <w:pPr>
              <w:spacing w:line="320" w:lineRule="exact"/>
              <w:jc w:val="center"/>
              <w:rPr>
                <w:rFonts w:hint="eastAsia" w:ascii="仿宋" w:hAnsi="仿宋" w:eastAsia="宋体" w:cs="仿宋"/>
                <w:lang w:val="en-US" w:eastAsia="zh-CN"/>
              </w:rPr>
            </w:pPr>
            <w:r>
              <w:rPr>
                <w:rFonts w:hint="eastAsia" w:ascii="仿宋" w:hAnsi="仿宋" w:cs="仿宋"/>
                <w:lang w:val="en-US" w:eastAsia="zh-CN"/>
              </w:rPr>
              <w:t>总计</w:t>
            </w:r>
          </w:p>
        </w:tc>
        <w:tc>
          <w:tcPr>
            <w:tcW w:w="420" w:type="pct"/>
            <w:shd w:val="clear" w:color="auto" w:fill="auto"/>
            <w:vAlign w:val="center"/>
          </w:tcPr>
          <w:p w14:paraId="0370F4B5">
            <w:pPr>
              <w:jc w:val="center"/>
              <w:rPr>
                <w:rFonts w:hint="eastAsia" w:ascii="仿宋" w:hAnsi="仿宋" w:cs="仿宋_GB2312"/>
                <w:color w:val="auto"/>
                <w:highlight w:val="none"/>
                <w:lang w:val="en-US" w:eastAsia="zh-CN"/>
              </w:rPr>
            </w:pPr>
          </w:p>
        </w:tc>
        <w:tc>
          <w:tcPr>
            <w:tcW w:w="3771" w:type="pct"/>
            <w:shd w:val="clear" w:color="auto" w:fill="auto"/>
            <w:vAlign w:val="center"/>
          </w:tcPr>
          <w:p w14:paraId="1F4639C0">
            <w:pPr>
              <w:keepNext w:val="0"/>
              <w:keepLines w:val="0"/>
              <w:pageBreakBefore w:val="0"/>
              <w:kinsoku/>
              <w:wordWrap/>
              <w:overflowPunct/>
              <w:topLinePunct w:val="0"/>
              <w:autoSpaceDE/>
              <w:autoSpaceDN/>
              <w:bidi w:val="0"/>
              <w:spacing w:line="240" w:lineRule="auto"/>
              <w:ind w:right="-2" w:rightChars="0"/>
              <w:textAlignment w:val="auto"/>
              <w:rPr>
                <w:rFonts w:hint="eastAsia" w:ascii="仿宋" w:hAnsi="仿宋" w:eastAsia="仿宋" w:cs="仿宋"/>
                <w:i w:val="0"/>
                <w:color w:val="auto"/>
                <w:kern w:val="0"/>
                <w:sz w:val="21"/>
                <w:szCs w:val="21"/>
                <w:highlight w:val="none"/>
                <w:u w:val="none"/>
                <w:lang w:val="en-US" w:eastAsia="zh-CN" w:bidi="ar"/>
              </w:rPr>
            </w:pPr>
          </w:p>
        </w:tc>
        <w:tc>
          <w:tcPr>
            <w:tcW w:w="341" w:type="pct"/>
            <w:shd w:val="clear" w:color="auto" w:fill="auto"/>
            <w:vAlign w:val="center"/>
          </w:tcPr>
          <w:p w14:paraId="401409B5">
            <w:pPr>
              <w:jc w:val="center"/>
              <w:rPr>
                <w:rFonts w:hint="default" w:ascii="仿宋" w:hAnsi="仿宋" w:cs="仿宋"/>
                <w:i w:val="0"/>
                <w:color w:val="auto"/>
                <w:kern w:val="2"/>
                <w:sz w:val="21"/>
                <w:szCs w:val="21"/>
                <w:highlight w:val="none"/>
                <w:u w:val="none"/>
                <w:lang w:val="en-US" w:eastAsia="zh-CN" w:bidi="ar-SA"/>
              </w:rPr>
            </w:pPr>
            <w:r>
              <w:rPr>
                <w:rFonts w:hint="eastAsia" w:ascii="仿宋" w:hAnsi="仿宋" w:cs="仿宋"/>
                <w:i w:val="0"/>
                <w:color w:val="auto"/>
                <w:kern w:val="2"/>
                <w:sz w:val="21"/>
                <w:szCs w:val="21"/>
                <w:highlight w:val="none"/>
                <w:u w:val="none"/>
                <w:lang w:val="en-US" w:eastAsia="zh-CN" w:bidi="ar-SA"/>
              </w:rPr>
              <w:t>100</w:t>
            </w:r>
          </w:p>
        </w:tc>
      </w:tr>
    </w:tbl>
    <w:p w14:paraId="28CB7534">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02E8AF9">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2064DAB5">
      <w:pPr>
        <w:pStyle w:val="3"/>
        <w:spacing w:line="560" w:lineRule="exact"/>
      </w:pPr>
      <w:bookmarkStart w:id="25" w:name="_Toc179"/>
      <w:r>
        <w:rPr>
          <w:rFonts w:hint="eastAsia"/>
        </w:rPr>
        <w:t>一、</w:t>
      </w:r>
      <w:bookmarkEnd w:id="25"/>
      <w:r>
        <w:rPr>
          <w:rFonts w:hint="eastAsia"/>
        </w:rPr>
        <w:t>服务内容、范围及要求</w:t>
      </w:r>
    </w:p>
    <w:p w14:paraId="1D046D9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（一）服务内容：</w:t>
      </w:r>
    </w:p>
    <w:p w14:paraId="09635499">
      <w:pPr>
        <w:ind w:firstLine="560" w:firstLineChars="200"/>
        <w:jc w:val="lef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1.为广东财经大学佛山校区2026年小额工程提供施工监理服务，</w:t>
      </w:r>
      <w:bookmarkStart w:id="26" w:name="_Hlk229054716"/>
      <w:r>
        <w:rPr>
          <w:rFonts w:hint="eastAsia" w:asciiTheme="minorEastAsia" w:hAnsiTheme="minorEastAsia" w:eastAsiaTheme="minorEastAsia" w:cstheme="minorEastAsia"/>
          <w:sz w:val="28"/>
          <w:szCs w:val="28"/>
        </w:rPr>
        <w:t>小额工程累计总造价约</w:t>
      </w:r>
      <w:r>
        <w:rPr>
          <w:rFonts w:hint="eastAsia" w:asciiTheme="minorEastAsia" w:hAnsiTheme="minorEastAsia" w:eastAsiaTheme="minorEastAsia" w:cstheme="minorEastAsia"/>
          <w:sz w:val="28"/>
          <w:szCs w:val="28"/>
          <w:lang w:val="en-US" w:eastAsia="zh-CN"/>
        </w:rPr>
        <w:t>300</w:t>
      </w:r>
      <w:r>
        <w:rPr>
          <w:rFonts w:hint="eastAsia" w:asciiTheme="minorEastAsia" w:hAnsiTheme="minorEastAsia" w:eastAsiaTheme="minorEastAsia" w:cstheme="minorEastAsia"/>
          <w:sz w:val="28"/>
          <w:szCs w:val="28"/>
        </w:rPr>
        <w:t>万元，全年约</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个工程项目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包含单项1万元（不含1万元）以下零星维修项目</w:t>
      </w:r>
      <w:r>
        <w:rPr>
          <w:rFonts w:hint="eastAsia"/>
          <w:sz w:val="28"/>
          <w:szCs w:val="28"/>
        </w:rPr>
        <w:t>（具体每年多少按实际情况定）</w:t>
      </w:r>
      <w:r>
        <w:rPr>
          <w:rFonts w:hint="eastAsia" w:asciiTheme="minorEastAsia" w:hAnsiTheme="minorEastAsia" w:eastAsiaTheme="minorEastAsia" w:cstheme="minorEastAsia"/>
          <w:sz w:val="28"/>
          <w:szCs w:val="28"/>
        </w:rPr>
        <w:t>，每个月零星维修项目当一个工程项目来监理，一年12个月，按12个项目计</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工程项目具体数量以实际为准。</w:t>
      </w:r>
    </w:p>
    <w:bookmarkEnd w:id="26"/>
    <w:p w14:paraId="42B1292E">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2.单项1万元（不含1万元）以下零星维修项目，主要解决师生报修，确保校区教学、学习、生活的正常运转，即报即修，做好后勤维修服务保障，具体维修内容含：</w:t>
      </w:r>
    </w:p>
    <w:p w14:paraId="21859B03">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土木维修类：门窗更换，墙、楼地面铲、刮腻子及油漆，天棚、刮腻子及油漆，天棚吊顶（石膏板、铝扣板等），洗手台维修，屋面防水，厕所补漏，墙、楼地面块料修复，木地板（静电地板）维修，校园道路，围墙，设施设备基础等维修（以采购人派单内容为准）；</w:t>
      </w:r>
    </w:p>
    <w:p w14:paraId="1D9878A4">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（2）水电维修类：各种水电设施设备的维修，如供水管网，供电线路，排水排污管道，设施设备等维修（以采购人派单内容为准）；</w:t>
      </w:r>
    </w:p>
    <w:p w14:paraId="7D58E80B">
      <w:pPr>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（3）新增或加装的零星项目。</w:t>
      </w:r>
    </w:p>
    <w:p w14:paraId="3E5244FA">
      <w:pPr>
        <w:pStyle w:val="6"/>
        <w:ind w:firstLine="560"/>
      </w:pPr>
      <w:r>
        <w:rPr>
          <w:rFonts w:hint="eastAsia" w:asciiTheme="minorEastAsia" w:hAnsiTheme="minorEastAsia" w:eastAsiaTheme="minorEastAsia" w:cstheme="minorEastAsia"/>
          <w:sz w:val="28"/>
          <w:szCs w:val="28"/>
        </w:rPr>
        <w:t>3.单项在1万元以上（含1万元）50万元（不含50万元）以下的项目，主要为解决佛山校区基础设施改善、学生宿舍修缮、行政办公用房修缮装修等项目，年均约</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个，具体以每年立项实施情况为准。</w:t>
      </w:r>
    </w:p>
    <w:p w14:paraId="02152396">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具体要求如下：</w:t>
      </w:r>
    </w:p>
    <w:p w14:paraId="716EEA6E">
      <w:pPr>
        <w:spacing w:line="560" w:lineRule="exact"/>
        <w:ind w:firstLine="560" w:firstLineChars="200"/>
        <w:rPr>
          <w:rFonts w:hint="eastAsia" w:ascii="宋体" w:hAnsi="宋体"/>
          <w:kern w:val="0"/>
          <w:sz w:val="28"/>
          <w:szCs w:val="28"/>
        </w:rPr>
      </w:pPr>
      <w:r>
        <w:rPr>
          <w:rFonts w:hint="eastAsia" w:ascii="宋体" w:hAnsi="宋体"/>
          <w:kern w:val="0"/>
          <w:sz w:val="28"/>
          <w:szCs w:val="28"/>
        </w:rPr>
        <w:t>1.按照采购人要求，承担项目组织现场勘察事宜、施工过程的监理以及完工验收等整个过程的工作任务。同时，联系预算咨询公司、设计单位、施工单位以及相关部门，做好沟通和协调工作。</w:t>
      </w:r>
    </w:p>
    <w:p w14:paraId="10041351">
      <w:pPr>
        <w:spacing w:line="560" w:lineRule="exact"/>
        <w:ind w:firstLine="560" w:firstLineChars="200"/>
        <w:rPr>
          <w:rFonts w:hint="eastAsia" w:ascii="宋体" w:hAnsi="宋体"/>
          <w:kern w:val="0"/>
          <w:sz w:val="28"/>
          <w:szCs w:val="28"/>
        </w:rPr>
      </w:pPr>
      <w:r>
        <w:rPr>
          <w:rFonts w:hint="eastAsia" w:ascii="宋体" w:hAnsi="宋体"/>
          <w:kern w:val="0"/>
          <w:sz w:val="28"/>
          <w:szCs w:val="28"/>
        </w:rPr>
        <w:t>2.按照采购人提供的施工图（如有）、招标文件、投标文件（中标单位）、合同等资料要求对整个工程施工全过程的质量、进度、费用控制，安全生产监督管理、合同、信息等方面的协调管理工作。</w:t>
      </w:r>
    </w:p>
    <w:p w14:paraId="3EDEAE75">
      <w:pPr>
        <w:spacing w:line="560" w:lineRule="exact"/>
        <w:ind w:firstLine="560" w:firstLineChars="200"/>
        <w:rPr>
          <w:rFonts w:hint="eastAsia" w:ascii="宋体" w:hAnsi="宋体"/>
          <w:kern w:val="0"/>
          <w:sz w:val="28"/>
          <w:szCs w:val="28"/>
        </w:rPr>
      </w:pPr>
      <w:r>
        <w:rPr>
          <w:rFonts w:hint="eastAsia" w:ascii="宋体" w:hAnsi="宋体"/>
          <w:kern w:val="0"/>
          <w:sz w:val="28"/>
          <w:szCs w:val="28"/>
        </w:rPr>
        <w:t>3.监理人按采购人具体要求的日期进场，并立即开始履行本合同约定的服务。协助委托人按施工合同的规定，落实必须提供的施工条件，检查工程施工单位的开工准备工作，并在检查与审核合格后签发《工程开工令》。</w:t>
      </w:r>
    </w:p>
    <w:p w14:paraId="799F7320">
      <w:pPr>
        <w:spacing w:line="560" w:lineRule="exact"/>
        <w:ind w:firstLine="560" w:firstLineChars="200"/>
        <w:rPr>
          <w:rFonts w:hint="eastAsia" w:ascii="宋体" w:hAnsi="宋体"/>
          <w:kern w:val="0"/>
          <w:sz w:val="28"/>
          <w:szCs w:val="28"/>
        </w:rPr>
      </w:pPr>
      <w:r>
        <w:rPr>
          <w:rFonts w:hint="eastAsia" w:ascii="宋体" w:hAnsi="宋体"/>
          <w:kern w:val="0"/>
          <w:sz w:val="28"/>
          <w:szCs w:val="28"/>
        </w:rPr>
        <w:t>4.根据工程需要对施工单位完成的工程量进行准确的计量，并报委托人作为工程进度款支付依据。</w:t>
      </w:r>
    </w:p>
    <w:p w14:paraId="190907DD">
      <w:pPr>
        <w:spacing w:line="560" w:lineRule="exact"/>
        <w:ind w:firstLine="560" w:firstLineChars="200"/>
        <w:rPr>
          <w:rFonts w:hint="eastAsia" w:ascii="宋体" w:hAnsi="宋体"/>
          <w:kern w:val="0"/>
          <w:sz w:val="28"/>
          <w:szCs w:val="28"/>
        </w:rPr>
      </w:pPr>
      <w:r>
        <w:rPr>
          <w:rFonts w:hint="eastAsia" w:ascii="宋体" w:hAnsi="宋体"/>
          <w:kern w:val="0"/>
          <w:sz w:val="28"/>
          <w:szCs w:val="28"/>
        </w:rPr>
        <w:t>5.审批承包人编制的施工进度计划、施工组织设计方案、以及使用的原材料等，提出改进意见，并检查督促实施。</w:t>
      </w:r>
    </w:p>
    <w:p w14:paraId="50D8211D">
      <w:pPr>
        <w:spacing w:line="560" w:lineRule="exact"/>
        <w:ind w:firstLine="560" w:firstLineChars="200"/>
        <w:rPr>
          <w:rFonts w:hint="eastAsia" w:ascii="宋体" w:hAnsi="宋体"/>
          <w:kern w:val="0"/>
          <w:sz w:val="28"/>
          <w:szCs w:val="28"/>
        </w:rPr>
      </w:pPr>
      <w:r>
        <w:rPr>
          <w:rFonts w:hint="eastAsia" w:ascii="宋体" w:hAnsi="宋体"/>
          <w:kern w:val="0"/>
          <w:sz w:val="28"/>
          <w:szCs w:val="28"/>
        </w:rPr>
        <w:t>6.要求和督促承包人建立健全质量保证体系，督促承包人严格按设计文件、规范标准和程序施工。</w:t>
      </w:r>
    </w:p>
    <w:p w14:paraId="66346A7A">
      <w:pPr>
        <w:spacing w:line="560" w:lineRule="exact"/>
        <w:ind w:firstLine="560" w:firstLineChars="200"/>
        <w:rPr>
          <w:rFonts w:hint="eastAsia" w:ascii="宋体" w:hAnsi="宋体"/>
          <w:kern w:val="0"/>
          <w:sz w:val="28"/>
          <w:szCs w:val="28"/>
        </w:rPr>
      </w:pPr>
      <w:r>
        <w:rPr>
          <w:rFonts w:hint="eastAsia" w:ascii="宋体" w:hAnsi="宋体"/>
          <w:kern w:val="0"/>
          <w:sz w:val="28"/>
          <w:szCs w:val="28"/>
        </w:rPr>
        <w:t>7.监理工程师必须经常巡视工地各个部位，发现问题，立即督促承包人整改，并跟踪、检查其整改情况；每道工序完毕，监理工程师必须及时检查验收，并做好隐蔽工程的验收签证，重要工程的施工(有可能危及周围或本身结构安全的施工等)必须进行旁站监理，控制工程质量。</w:t>
      </w:r>
    </w:p>
    <w:p w14:paraId="643E063A">
      <w:pPr>
        <w:spacing w:line="560" w:lineRule="exact"/>
        <w:ind w:firstLine="560" w:firstLineChars="200"/>
        <w:rPr>
          <w:rFonts w:hint="eastAsia" w:ascii="宋体" w:hAnsi="宋体"/>
          <w:kern w:val="0"/>
          <w:sz w:val="28"/>
          <w:szCs w:val="28"/>
        </w:rPr>
      </w:pPr>
      <w:r>
        <w:rPr>
          <w:rFonts w:hint="eastAsia" w:ascii="宋体" w:hAnsi="宋体"/>
          <w:kern w:val="0"/>
          <w:sz w:val="28"/>
          <w:szCs w:val="28"/>
        </w:rPr>
        <w:t>8.严格审查用于本工程的材料和设备是否符合设计或是采购人要求，检查工程使用的材料、构件、设备的规格和质量，对用于工程的材料、构件、设备的出厂合格证、化验（试验）报告等进行审查并存档。在施工过程严格控制用于工程的材料品牌，未经委托人同意不能更改。</w:t>
      </w:r>
    </w:p>
    <w:p w14:paraId="45D411A8">
      <w:pPr>
        <w:spacing w:line="560" w:lineRule="exact"/>
        <w:ind w:firstLine="560" w:firstLineChars="200"/>
        <w:rPr>
          <w:rFonts w:hint="eastAsia" w:ascii="宋体" w:hAnsi="宋体"/>
          <w:kern w:val="0"/>
          <w:sz w:val="28"/>
          <w:szCs w:val="28"/>
        </w:rPr>
      </w:pPr>
      <w:r>
        <w:rPr>
          <w:rFonts w:hint="eastAsia" w:ascii="宋体" w:hAnsi="宋体"/>
          <w:kern w:val="0"/>
          <w:sz w:val="28"/>
          <w:szCs w:val="28"/>
        </w:rPr>
        <w:t>9.审查施工图设计变更，对设计变更和技术洽商，严格按有关各方约定的程序进行并提出监理意见报委托人。组织有关各方协商委托人、设计人、承包人、监理人本身提出的设计变更。</w:t>
      </w:r>
    </w:p>
    <w:p w14:paraId="3D01F926">
      <w:pPr>
        <w:spacing w:line="560" w:lineRule="exact"/>
        <w:ind w:firstLine="560" w:firstLineChars="200"/>
        <w:rPr>
          <w:rFonts w:hint="eastAsia" w:ascii="宋体" w:hAnsi="宋体"/>
          <w:kern w:val="0"/>
          <w:sz w:val="28"/>
          <w:szCs w:val="28"/>
        </w:rPr>
      </w:pPr>
      <w:r>
        <w:rPr>
          <w:rFonts w:hint="eastAsia" w:ascii="宋体" w:hAnsi="宋体"/>
          <w:kern w:val="0"/>
          <w:sz w:val="28"/>
          <w:szCs w:val="28"/>
        </w:rPr>
        <w:t>10.检查施工安全措施、劳动防护和环境措施，督促承包人做好文明施工、安全生产防护措施，并提出建议，防止环境污染；发现不安全施工情况时，可发布停工令，并在24小时内书面知会委托人；参加重大的安全事故调查。</w:t>
      </w:r>
    </w:p>
    <w:p w14:paraId="7ED0854B">
      <w:pPr>
        <w:spacing w:line="560" w:lineRule="exact"/>
        <w:ind w:firstLine="560" w:firstLineChars="200"/>
        <w:rPr>
          <w:rFonts w:hint="eastAsia" w:ascii="宋体" w:hAnsi="宋体"/>
          <w:kern w:val="0"/>
          <w:sz w:val="28"/>
          <w:szCs w:val="28"/>
        </w:rPr>
      </w:pPr>
      <w:r>
        <w:rPr>
          <w:rFonts w:hint="eastAsia" w:ascii="宋体" w:hAnsi="宋体"/>
          <w:kern w:val="0"/>
          <w:sz w:val="28"/>
          <w:szCs w:val="28"/>
        </w:rPr>
        <w:t>11.做好巡查拍照记录，编写监理日志，及时做好施工过程各相关技术、质量检验（验收）、计量、支付等相关工程记录工作，确保工程全过程可控可追溯。</w:t>
      </w:r>
    </w:p>
    <w:p w14:paraId="25525EEA">
      <w:pPr>
        <w:spacing w:line="560" w:lineRule="exact"/>
        <w:ind w:firstLine="560" w:firstLineChars="200"/>
        <w:rPr>
          <w:rFonts w:hint="eastAsia" w:ascii="宋体" w:hAnsi="宋体"/>
          <w:kern w:val="0"/>
          <w:sz w:val="28"/>
          <w:szCs w:val="28"/>
        </w:rPr>
      </w:pPr>
      <w:r>
        <w:rPr>
          <w:rFonts w:hint="eastAsia" w:ascii="宋体" w:hAnsi="宋体"/>
          <w:kern w:val="0"/>
          <w:sz w:val="28"/>
          <w:szCs w:val="28"/>
        </w:rPr>
        <w:t>12.工程进度控制：督促承包人采取确实措施，实现合同的工期目标要求，当实施进度发生较大偏差时，及时向委托人提出调整控制性进度计划的建议意见，经委托人批准后，完成进度计划的调整。</w:t>
      </w:r>
    </w:p>
    <w:p w14:paraId="4237C541">
      <w:pPr>
        <w:spacing w:line="560" w:lineRule="exact"/>
        <w:ind w:firstLine="560" w:firstLineChars="200"/>
        <w:rPr>
          <w:rFonts w:hint="eastAsia" w:ascii="宋体" w:hAnsi="宋体"/>
          <w:kern w:val="0"/>
          <w:sz w:val="28"/>
          <w:szCs w:val="28"/>
        </w:rPr>
      </w:pPr>
      <w:r>
        <w:rPr>
          <w:rFonts w:hint="eastAsia" w:ascii="宋体" w:hAnsi="宋体"/>
          <w:kern w:val="0"/>
          <w:sz w:val="28"/>
          <w:szCs w:val="28"/>
        </w:rPr>
        <w:t>13.施工质量控制：审查承包人的质量保证体系和措施，核实质量文件；依据施工合同文件、设计文件、技术标准，对施工的全过程进行检查，对重要工程部位和主要工序进行跟踪监督。对承包人评定的工程质量等级进行复核。</w:t>
      </w:r>
    </w:p>
    <w:p w14:paraId="16D781CA">
      <w:pPr>
        <w:spacing w:line="560" w:lineRule="exact"/>
        <w:ind w:firstLine="560" w:firstLineChars="200"/>
        <w:rPr>
          <w:rFonts w:hint="eastAsia" w:ascii="宋体" w:hAnsi="宋体"/>
          <w:kern w:val="0"/>
          <w:sz w:val="28"/>
          <w:szCs w:val="28"/>
        </w:rPr>
      </w:pPr>
      <w:r>
        <w:rPr>
          <w:rFonts w:hint="eastAsia" w:ascii="宋体" w:hAnsi="宋体"/>
          <w:kern w:val="0"/>
          <w:sz w:val="28"/>
          <w:szCs w:val="28"/>
        </w:rPr>
        <w:t>14.负责施工过程签证的办理、工程量核定等工作内容，涉及到变更或新增项目，工程现场签证单必须在2个工作日内核实确认报采购人，超过时间，将不受理任何签证变更文件。</w:t>
      </w:r>
    </w:p>
    <w:p w14:paraId="26C8AC27">
      <w:pPr>
        <w:spacing w:line="560" w:lineRule="exact"/>
        <w:ind w:firstLine="560" w:firstLineChars="200"/>
        <w:rPr>
          <w:rFonts w:hint="eastAsia" w:ascii="宋体" w:hAnsi="宋体"/>
          <w:kern w:val="0"/>
          <w:sz w:val="28"/>
          <w:szCs w:val="28"/>
        </w:rPr>
      </w:pPr>
      <w:r>
        <w:rPr>
          <w:rFonts w:hint="eastAsia" w:ascii="宋体" w:hAnsi="宋体"/>
          <w:kern w:val="0"/>
          <w:sz w:val="28"/>
          <w:szCs w:val="28"/>
        </w:rPr>
        <w:t>15.自工程开工之日起，驻场监理工程师对本项目须进行全过程监理，向采购人汇报项目实施过程中质量、进度、监理情况等，如有变更等情况，有义务向采购人提出合理、经济的具体方案和建议。</w:t>
      </w:r>
    </w:p>
    <w:p w14:paraId="04F96DBB">
      <w:pPr>
        <w:spacing w:line="560" w:lineRule="exact"/>
        <w:ind w:firstLine="560" w:firstLineChars="200"/>
        <w:rPr>
          <w:rFonts w:hint="eastAsia" w:ascii="宋体" w:hAnsi="宋体"/>
          <w:kern w:val="0"/>
          <w:sz w:val="28"/>
          <w:szCs w:val="28"/>
        </w:rPr>
      </w:pPr>
      <w:r>
        <w:rPr>
          <w:rFonts w:hint="eastAsia" w:ascii="宋体" w:hAnsi="宋体"/>
          <w:kern w:val="0"/>
          <w:sz w:val="28"/>
          <w:szCs w:val="28"/>
        </w:rPr>
        <w:t>16.严格按工期进度安排，督促施工单位自项目竣工之日起10天内提交竣工验收资料，并组织验收。</w:t>
      </w:r>
    </w:p>
    <w:p w14:paraId="195AC8DD">
      <w:pPr>
        <w:spacing w:line="560" w:lineRule="exact"/>
        <w:ind w:firstLine="560" w:firstLineChars="200"/>
        <w:rPr>
          <w:rFonts w:hint="eastAsia" w:ascii="宋体" w:hAnsi="宋体"/>
          <w:kern w:val="0"/>
          <w:sz w:val="28"/>
          <w:szCs w:val="28"/>
        </w:rPr>
      </w:pPr>
      <w:r>
        <w:rPr>
          <w:rFonts w:hint="eastAsia" w:ascii="宋体" w:hAnsi="宋体"/>
          <w:kern w:val="0"/>
          <w:sz w:val="28"/>
          <w:szCs w:val="28"/>
        </w:rPr>
        <w:t>17.保修阶段：工程竣工验收合格交付使用后，定期对其使用质量进行检查，发现质量问题进行分析，调查其原因并确定相应责任后进行处理，必要时组织有关单位开会研究，提出维修意见，督促承包人维修整改。</w:t>
      </w:r>
    </w:p>
    <w:p w14:paraId="1FE7F536">
      <w:pPr>
        <w:numPr>
          <w:ilvl w:val="0"/>
          <w:numId w:val="0"/>
        </w:numPr>
        <w:adjustRightInd w:val="0"/>
        <w:snapToGrid w:val="0"/>
        <w:spacing w:line="360" w:lineRule="auto"/>
        <w:ind w:firstLine="560" w:firstLineChars="200"/>
        <w:rPr>
          <w:rFonts w:hint="eastAsia" w:ascii="宋体" w:hAnsi="宋体"/>
          <w:kern w:val="0"/>
          <w:sz w:val="28"/>
          <w:szCs w:val="28"/>
        </w:rPr>
      </w:pPr>
      <w:r>
        <w:rPr>
          <w:rFonts w:hint="eastAsia" w:ascii="宋体" w:hAnsi="宋体"/>
          <w:kern w:val="0"/>
          <w:sz w:val="28"/>
          <w:szCs w:val="28"/>
        </w:rPr>
        <w:t>18.按照《建设工程安全生产管理条例》的规定，监理人承担相应的安全生产监理责任；派驻1名监理</w:t>
      </w:r>
      <w:r>
        <w:rPr>
          <w:rFonts w:hint="eastAsia" w:ascii="宋体" w:hAnsi="宋体"/>
          <w:kern w:val="0"/>
          <w:sz w:val="28"/>
          <w:szCs w:val="28"/>
          <w:lang w:val="en-US" w:eastAsia="zh-CN"/>
        </w:rPr>
        <w:t>工程师</w:t>
      </w:r>
      <w:r>
        <w:rPr>
          <w:rFonts w:hint="eastAsia" w:ascii="宋体" w:hAnsi="宋体"/>
          <w:kern w:val="0"/>
          <w:sz w:val="28"/>
          <w:szCs w:val="28"/>
        </w:rPr>
        <w:t>常驻佛山校区，校区在房源许可的情况下，可免费提供1间住房，水电费按学校规定由中标人支付。现场监理</w:t>
      </w:r>
      <w:r>
        <w:rPr>
          <w:rFonts w:hint="eastAsia" w:ascii="宋体" w:hAnsi="宋体"/>
          <w:kern w:val="0"/>
          <w:sz w:val="28"/>
          <w:szCs w:val="28"/>
          <w:lang w:val="en-US" w:eastAsia="zh-CN"/>
        </w:rPr>
        <w:t>工程师</w:t>
      </w:r>
      <w:r>
        <w:rPr>
          <w:rFonts w:hint="eastAsia" w:ascii="宋体" w:hAnsi="宋体"/>
          <w:kern w:val="0"/>
          <w:sz w:val="28"/>
          <w:szCs w:val="28"/>
        </w:rPr>
        <w:t>实行驻场坐班制，正常工作日须与广东财经大学佛山校区上班时间一致在岗；遇周末、节假日、寒暑假等非工作日施工项目，须按采购人要求随时到岗监理，确保工作联系畅通、应急事项及时处置。</w:t>
      </w:r>
      <w:r>
        <w:rPr>
          <w:rFonts w:hint="eastAsia" w:ascii="宋体" w:hAnsi="宋体" w:eastAsia="宋体" w:cs="Times New Roman"/>
          <w:spacing w:val="0"/>
          <w:kern w:val="0"/>
          <w:position w:val="0"/>
          <w:sz w:val="28"/>
          <w:szCs w:val="28"/>
          <w:lang w:val="en-US" w:eastAsia="zh-CN"/>
        </w:rPr>
        <w:t>合同期内本项目拟</w:t>
      </w:r>
      <w:r>
        <w:rPr>
          <w:rFonts w:hint="eastAsia" w:ascii="宋体" w:hAnsi="宋体" w:cs="Times New Roman"/>
          <w:spacing w:val="0"/>
          <w:kern w:val="0"/>
          <w:position w:val="0"/>
          <w:sz w:val="28"/>
          <w:szCs w:val="28"/>
          <w:lang w:val="en-US" w:eastAsia="zh-CN"/>
        </w:rPr>
        <w:t>派驻的监理工程师</w:t>
      </w:r>
      <w:r>
        <w:rPr>
          <w:rFonts w:hint="eastAsia" w:ascii="宋体" w:hAnsi="宋体" w:eastAsia="宋体" w:cs="Times New Roman"/>
          <w:spacing w:val="0"/>
          <w:kern w:val="0"/>
          <w:position w:val="0"/>
          <w:sz w:val="28"/>
          <w:szCs w:val="28"/>
          <w:lang w:val="en-US" w:eastAsia="zh-CN"/>
        </w:rPr>
        <w:t>保持在职在岗，非不可抗力原因更换，须经</w:t>
      </w:r>
      <w:r>
        <w:rPr>
          <w:rFonts w:hint="eastAsia" w:ascii="宋体" w:hAnsi="宋体" w:cs="Times New Roman"/>
          <w:spacing w:val="0"/>
          <w:kern w:val="0"/>
          <w:position w:val="0"/>
          <w:sz w:val="28"/>
          <w:szCs w:val="28"/>
          <w:lang w:val="en-US" w:eastAsia="zh-CN"/>
        </w:rPr>
        <w:t>采购</w:t>
      </w:r>
      <w:r>
        <w:rPr>
          <w:rFonts w:hint="eastAsia" w:ascii="宋体" w:hAnsi="宋体" w:eastAsia="宋体" w:cs="Times New Roman"/>
          <w:spacing w:val="0"/>
          <w:kern w:val="0"/>
          <w:position w:val="0"/>
          <w:sz w:val="28"/>
          <w:szCs w:val="28"/>
          <w:lang w:val="en-US" w:eastAsia="zh-CN"/>
        </w:rPr>
        <w:t>人同意方可变更且所更换人员需达到或超过投标文件拟</w:t>
      </w:r>
      <w:r>
        <w:rPr>
          <w:rFonts w:hint="eastAsia" w:ascii="宋体" w:hAnsi="宋体" w:cs="Times New Roman"/>
          <w:spacing w:val="0"/>
          <w:kern w:val="0"/>
          <w:position w:val="0"/>
          <w:sz w:val="28"/>
          <w:szCs w:val="28"/>
          <w:lang w:val="en-US" w:eastAsia="zh-CN"/>
        </w:rPr>
        <w:t>派驻</w:t>
      </w:r>
      <w:r>
        <w:rPr>
          <w:rFonts w:hint="eastAsia" w:ascii="宋体" w:hAnsi="宋体" w:eastAsia="宋体" w:cs="Times New Roman"/>
          <w:spacing w:val="0"/>
          <w:kern w:val="0"/>
          <w:position w:val="0"/>
          <w:sz w:val="28"/>
          <w:szCs w:val="28"/>
          <w:lang w:val="en-US" w:eastAsia="zh-CN"/>
        </w:rPr>
        <w:t>人员的资质条件。</w:t>
      </w:r>
      <w:r>
        <w:rPr>
          <w:rFonts w:hint="eastAsia" w:ascii="宋体" w:hAnsi="宋体"/>
          <w:kern w:val="0"/>
          <w:sz w:val="28"/>
          <w:szCs w:val="28"/>
          <w:lang w:val="en-US" w:eastAsia="zh-CN"/>
        </w:rPr>
        <w:t>监理工程师</w:t>
      </w:r>
      <w:r>
        <w:rPr>
          <w:rFonts w:hint="eastAsia" w:ascii="宋体" w:hAnsi="宋体" w:eastAsia="宋体" w:cs="Times New Roman"/>
          <w:i w:val="0"/>
          <w:iCs w:val="0"/>
          <w:kern w:val="0"/>
          <w:sz w:val="28"/>
          <w:szCs w:val="28"/>
        </w:rPr>
        <w:t>不符合条件或表现不合格时，</w:t>
      </w:r>
      <w:r>
        <w:rPr>
          <w:rFonts w:hint="eastAsia" w:ascii="宋体" w:hAnsi="宋体" w:cs="Times New Roman"/>
          <w:i w:val="0"/>
          <w:iCs w:val="0"/>
          <w:kern w:val="0"/>
          <w:sz w:val="28"/>
          <w:szCs w:val="28"/>
          <w:lang w:val="en-US" w:eastAsia="zh-CN"/>
        </w:rPr>
        <w:t>采购</w:t>
      </w:r>
      <w:r>
        <w:rPr>
          <w:rFonts w:hint="eastAsia" w:ascii="宋体" w:hAnsi="宋体" w:eastAsia="宋体" w:cs="Times New Roman"/>
          <w:i w:val="0"/>
          <w:iCs w:val="0"/>
          <w:kern w:val="0"/>
          <w:sz w:val="28"/>
          <w:szCs w:val="28"/>
          <w:lang w:eastAsia="zh-CN"/>
        </w:rPr>
        <w:t>人</w:t>
      </w:r>
      <w:r>
        <w:rPr>
          <w:rFonts w:hint="eastAsia" w:ascii="宋体" w:hAnsi="宋体" w:eastAsia="宋体" w:cs="Times New Roman"/>
          <w:i w:val="0"/>
          <w:iCs w:val="0"/>
          <w:kern w:val="0"/>
          <w:sz w:val="28"/>
          <w:szCs w:val="28"/>
        </w:rPr>
        <w:t>有权要求</w:t>
      </w:r>
      <w:r>
        <w:rPr>
          <w:rFonts w:hint="eastAsia" w:ascii="宋体" w:hAnsi="宋体" w:eastAsia="宋体" w:cs="Times New Roman"/>
          <w:i w:val="0"/>
          <w:iCs w:val="0"/>
          <w:kern w:val="0"/>
          <w:sz w:val="28"/>
          <w:szCs w:val="28"/>
          <w:lang w:eastAsia="zh-CN"/>
        </w:rPr>
        <w:t>中标人</w:t>
      </w:r>
      <w:r>
        <w:rPr>
          <w:rFonts w:hint="eastAsia" w:ascii="宋体" w:hAnsi="宋体" w:eastAsia="宋体" w:cs="Times New Roman"/>
          <w:i w:val="0"/>
          <w:iCs w:val="0"/>
          <w:kern w:val="0"/>
          <w:sz w:val="28"/>
          <w:szCs w:val="28"/>
        </w:rPr>
        <w:t>更换。</w:t>
      </w:r>
    </w:p>
    <w:p w14:paraId="790367D6">
      <w:pPr>
        <w:spacing w:line="560" w:lineRule="exact"/>
        <w:ind w:firstLine="560" w:firstLineChars="200"/>
        <w:rPr>
          <w:rFonts w:hint="eastAsia" w:ascii="宋体" w:hAnsi="宋体"/>
          <w:kern w:val="0"/>
          <w:sz w:val="28"/>
          <w:szCs w:val="28"/>
        </w:rPr>
      </w:pPr>
      <w:r>
        <w:rPr>
          <w:rFonts w:hint="eastAsia" w:ascii="宋体" w:hAnsi="宋体"/>
          <w:kern w:val="0"/>
          <w:sz w:val="28"/>
          <w:szCs w:val="28"/>
        </w:rPr>
        <w:t>19.工程竣工后，15个工作日内向采购人提交建设工程监理档案资料。</w:t>
      </w:r>
    </w:p>
    <w:p w14:paraId="1E92E456">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（二）工程监理范围及质量要求</w:t>
      </w:r>
    </w:p>
    <w:p w14:paraId="64432D13">
      <w:pPr>
        <w:spacing w:line="560" w:lineRule="exact"/>
        <w:ind w:firstLine="560" w:firstLineChars="200"/>
        <w:rPr>
          <w:rFonts w:hint="eastAsia" w:ascii="宋体" w:hAnsi="宋体"/>
          <w:kern w:val="0"/>
          <w:sz w:val="28"/>
          <w:szCs w:val="28"/>
        </w:rPr>
      </w:pPr>
      <w:r>
        <w:rPr>
          <w:rFonts w:hint="eastAsia" w:ascii="宋体" w:hAnsi="宋体"/>
          <w:kern w:val="0"/>
          <w:sz w:val="28"/>
          <w:szCs w:val="28"/>
        </w:rPr>
        <w:t>1.监理范围：</w:t>
      </w:r>
    </w:p>
    <w:p w14:paraId="3CA4AFCF">
      <w:pPr>
        <w:spacing w:line="560" w:lineRule="exact"/>
        <w:ind w:firstLine="560" w:firstLineChars="200"/>
        <w:rPr>
          <w:rFonts w:hint="eastAsia" w:ascii="宋体" w:hAnsi="宋体"/>
          <w:kern w:val="0"/>
          <w:sz w:val="28"/>
          <w:szCs w:val="28"/>
        </w:rPr>
      </w:pPr>
      <w:r>
        <w:rPr>
          <w:rFonts w:hint="eastAsia" w:ascii="宋体" w:hAnsi="宋体"/>
          <w:kern w:val="0"/>
          <w:sz w:val="28"/>
          <w:szCs w:val="28"/>
        </w:rPr>
        <w:t>（1）工程施工至保修阶段的监理工作，包括施工准备阶段、施工阶段、工程竣工阶段及工程质量保修阶段的全过程监理工作。协助采购人做好开工前准备工作；负责安全、质量、技术文件审核、进度（月报、周报）、投资控制及合同管理（包括审核工程量、审核工程预算和结算、工程款支付、签证变更及其造价审核及变更台帐的管理）；</w:t>
      </w:r>
    </w:p>
    <w:p w14:paraId="55FC5370">
      <w:pPr>
        <w:spacing w:line="560" w:lineRule="exact"/>
        <w:ind w:firstLine="560" w:firstLineChars="200"/>
        <w:rPr>
          <w:rFonts w:hint="eastAsia" w:ascii="宋体" w:hAnsi="宋体"/>
          <w:kern w:val="0"/>
          <w:sz w:val="28"/>
          <w:szCs w:val="28"/>
        </w:rPr>
      </w:pPr>
      <w:r>
        <w:rPr>
          <w:rFonts w:hint="eastAsia" w:ascii="宋体" w:hAnsi="宋体"/>
          <w:kern w:val="0"/>
          <w:sz w:val="28"/>
          <w:szCs w:val="28"/>
        </w:rPr>
        <w:t>（2）组织协调、安全文明施工管理；组织初验收及正式验收、审核竣工资料（包括且不限于竣工验收及竣工验收资料移交城建档案、整改、工程移交及实物移交、竣工备案等）；</w:t>
      </w:r>
    </w:p>
    <w:p w14:paraId="68F8F81F">
      <w:pPr>
        <w:spacing w:line="560" w:lineRule="exact"/>
        <w:ind w:firstLine="560" w:firstLineChars="200"/>
        <w:rPr>
          <w:rFonts w:hint="eastAsia" w:ascii="宋体" w:hAnsi="宋体"/>
          <w:kern w:val="0"/>
          <w:sz w:val="28"/>
          <w:szCs w:val="28"/>
        </w:rPr>
      </w:pPr>
      <w:r>
        <w:rPr>
          <w:rFonts w:hint="eastAsia" w:ascii="宋体" w:hAnsi="宋体"/>
          <w:kern w:val="0"/>
          <w:sz w:val="28"/>
          <w:szCs w:val="28"/>
        </w:rPr>
        <w:t>（3）属工程的实施范围内（监理人具有相应的监理资质）的工作内容，均应包含在监理范围之内。在工程实施过程中工程量、设计范围、工程规模调整或设计变更在监理人监理资质范围内的，均属监理人监理范围；</w:t>
      </w:r>
    </w:p>
    <w:p w14:paraId="52A27F2B">
      <w:pPr>
        <w:spacing w:line="560" w:lineRule="exact"/>
        <w:ind w:firstLine="560" w:firstLineChars="200"/>
        <w:rPr>
          <w:rFonts w:hint="eastAsia" w:ascii="宋体" w:hAnsi="宋体"/>
          <w:kern w:val="0"/>
          <w:sz w:val="28"/>
          <w:szCs w:val="28"/>
        </w:rPr>
      </w:pPr>
      <w:r>
        <w:rPr>
          <w:rFonts w:hint="eastAsia" w:ascii="宋体" w:hAnsi="宋体"/>
          <w:kern w:val="0"/>
          <w:sz w:val="28"/>
          <w:szCs w:val="28"/>
        </w:rPr>
        <w:t>2.质量要求：严格按照国家有关施工及验收规范、技术标准进行施工监理，符合国家颁发的有关质量验收评定标准。</w:t>
      </w:r>
    </w:p>
    <w:p w14:paraId="455A524D">
      <w:pPr>
        <w:pStyle w:val="3"/>
        <w:spacing w:line="560" w:lineRule="exact"/>
        <w:rPr>
          <w:rFonts w:ascii="宋体" w:hAnsi="宋体" w:cs="宋体"/>
          <w:sz w:val="24"/>
        </w:rPr>
      </w:pPr>
      <w:bookmarkStart w:id="27" w:name="_Toc60236709"/>
      <w:bookmarkStart w:id="28" w:name="_Toc17787"/>
      <w:r>
        <w:rPr>
          <w:rFonts w:hint="eastAsia"/>
        </w:rPr>
        <w:t>二、商务要求</w:t>
      </w:r>
      <w:bookmarkEnd w:id="27"/>
      <w:bookmarkEnd w:id="28"/>
    </w:p>
    <w:p w14:paraId="3CF22ADE">
      <w:pPr>
        <w:adjustRightInd w:val="0"/>
        <w:snapToGrid w:val="0"/>
        <w:spacing w:line="560" w:lineRule="exact"/>
        <w:ind w:firstLine="641" w:firstLineChars="228"/>
        <w:jc w:val="left"/>
        <w:rPr>
          <w:rFonts w:hint="eastAsia" w:ascii="宋体" w:hAnsi="宋体"/>
          <w:b/>
          <w:sz w:val="28"/>
          <w:szCs w:val="28"/>
          <w:lang w:val="en-US" w:eastAsia="zh-CN"/>
        </w:rPr>
      </w:pPr>
      <w:r>
        <w:rPr>
          <w:rFonts w:hint="eastAsia" w:ascii="宋体" w:hAnsi="宋体"/>
          <w:b/>
          <w:sz w:val="28"/>
          <w:szCs w:val="28"/>
          <w:lang w:eastAsia="zh-CN"/>
        </w:rPr>
        <w:t>（</w:t>
      </w:r>
      <w:r>
        <w:rPr>
          <w:rFonts w:hint="eastAsia" w:ascii="宋体" w:hAnsi="宋体"/>
          <w:b/>
          <w:sz w:val="28"/>
          <w:szCs w:val="28"/>
          <w:lang w:val="en-US" w:eastAsia="zh-CN"/>
        </w:rPr>
        <w:t>一）结算与付款方式</w:t>
      </w:r>
    </w:p>
    <w:p w14:paraId="3181B804">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成交后，监理人、采购人签订监理合同，合同签署后，按合同约定条款支付监理服务费款项。</w:t>
      </w:r>
    </w:p>
    <w:p w14:paraId="587D37CF">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监理人按采购人要求完成委托业务，办理完工程项目竣工验收及结算且已向采购人移交完整的监理档案资料后方可办理结算支付。</w:t>
      </w:r>
    </w:p>
    <w:p w14:paraId="56D2EF8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每笔款项支付前，监理人须提交相应的监理服务费书面申请报告、合同及同等金额的有效发票。</w:t>
      </w:r>
    </w:p>
    <w:p w14:paraId="753C7E2F">
      <w:pPr>
        <w:pStyle w:val="6"/>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本项目工程监理费为总价包干，不随工程数量及结算价和施工工期的变化而调整。</w:t>
      </w:r>
    </w:p>
    <w:p w14:paraId="7DBDEB63">
      <w:pPr>
        <w:pStyle w:val="6"/>
        <w:rPr>
          <w:rFonts w:hint="default"/>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监理费的支付方式：自监理合同签订之日起，服务期满6个月后，采购人于15个工作日内支付合同价的50%，服务期满后，采购人于15个工作日内支付剩余合同价的50%，遇寒暑假则顺延。</w:t>
      </w:r>
    </w:p>
    <w:p w14:paraId="1F663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）违约处罚</w:t>
      </w:r>
    </w:p>
    <w:p w14:paraId="3B980A2D">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1.监理人提供的监理服务报告，应价值客观、真实、合理、清晰、工整，符合监理行业标准规范要求，如未达到既定监理目标，则采购人不予支付本项目监理服务费。</w:t>
      </w:r>
    </w:p>
    <w:p w14:paraId="5A697D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2.监理人如有违背执业标准，职业规范（如接受利益请托）等不当行为时，采购人有权即刻单方面解除本合同，并不支付所有费用，且向监理人保留追偿一切损失的权利。</w:t>
      </w:r>
    </w:p>
    <w:p w14:paraId="6B52681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因监理人原因使得工程施工过程中监督不力造成质量事故、人身安全受到伤害、被行政处罚，施工现场混乱，监管缺失，有质量问题材料得以进场使用等问题时，采购人有权不予支付本项目监理费用，且应承担采购人因此而造成的损失。</w:t>
      </w:r>
    </w:p>
    <w:p w14:paraId="63E17073">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4.工程承包人未按经审批的施工组织方案的承诺投入机械、设备、材料等，监理人对此不进行检查、督促、处理，不向采购人报告，被采购人发现后，监理人除必须限期纠正外，累计三次，则采购人不予支付本项目监理费，且监理人需支付采购人监理费合同价款的50%作为违约赔偿金。</w:t>
      </w:r>
    </w:p>
    <w:p w14:paraId="05ED121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5.对于承包人提交的现场签证资料，监理人未有准确、真实的现场原始记录或不进行现场复核或复核偏差明显失实就给予签字确认，经采购人检查，发现签字确认的文件有误的，除必须限期纠正外，累计三次，则采购人不予支付本项目监理费，且监理人需支付采购人监理费合同价款的50%作为违约赔偿金。</w:t>
      </w:r>
    </w:p>
    <w:p w14:paraId="0064D965">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6.对承包人提交的施工方案、设计变更申请，监理人对其中明显不符合现场实际的部分，或者与招投标文件不符、会引起采购人投资增加和工期延误的部分，不进行认真审核就给予同意，被采购人审查发现后，除必须限期纠正外，监理人必须承担违约责任，由此造成采购人损失的，采购人将要求监理人赔偿经济损失。</w:t>
      </w:r>
    </w:p>
    <w:p w14:paraId="0CC6BAB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7.对于施工方提交的请款报告，监理人不按实际完成的工作量进行审核，不按合同要求签署拨款意见，被采购人审查发现后，除必须限期纠正外，监理人必须承担违约责任，如造成采购人超付工程款，采购人将要求监理人赔偿经济损失。</w:t>
      </w:r>
    </w:p>
    <w:p w14:paraId="2093522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8.因监理人原因（包括：在施工过程中，监理人发出错误指令；监理人越权审批设计变更；因监理人原因造成工程投资增加的等），致使本工程在投资、工期、质量、安全、文明施工等方面给采购人造成损失的，采购人有权要求监理人进行赔偿。</w:t>
      </w:r>
    </w:p>
    <w:p w14:paraId="75AC6CD0">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9.采购人应按合同约定支付监理费用，如无故拖延，则需额外支付合同价款的10%，给予监理人补偿。</w:t>
      </w:r>
    </w:p>
    <w:p w14:paraId="2F63216A">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10.因监理人原因（包括：在施工过程中，监理人发出错误指令；监理人越权审批设计变更；因监理人原因造成工程投资增加的；因监理人监督不力造成质量事故、或人身安全、或受到行政主管部门处罚等），致使本工程在投资、工期、质量、安全、文明施工等方面给委托人造成损失的，委托人将要求监理人进行赔偿；</w:t>
      </w:r>
    </w:p>
    <w:p w14:paraId="73B48CC3">
      <w:pPr>
        <w:spacing w:line="560" w:lineRule="exact"/>
        <w:ind w:firstLine="638" w:firstLineChars="228"/>
        <w:rPr>
          <w:rFonts w:hint="eastAsia" w:ascii="宋体" w:hAnsi="宋体"/>
          <w:sz w:val="28"/>
          <w:szCs w:val="28"/>
        </w:rPr>
      </w:pPr>
      <w:r>
        <w:rPr>
          <w:rFonts w:hint="eastAsia" w:ascii="宋体" w:hAnsi="宋体"/>
          <w:sz w:val="28"/>
          <w:szCs w:val="28"/>
        </w:rPr>
        <w:t>11.当监理人不履行或没有充分履行其相关承诺及监理义务、合同条款中约定的监理工作内容，监理人应承担违约责任并支付违约金，违约金为本合同监理费的20%，在违约行为发生的当期监理费支付时直接扣除。情节严重的，采购人有权解除合同，由此造成采购人的损失由监理人承担。</w:t>
      </w:r>
    </w:p>
    <w:p w14:paraId="4AC00F3F">
      <w:pPr>
        <w:pStyle w:val="6"/>
        <w:rPr>
          <w:rFonts w:hint="eastAsia" w:ascii="宋体" w:hAnsi="宋体"/>
          <w:sz w:val="28"/>
          <w:szCs w:val="28"/>
          <w:lang w:val="en-US" w:eastAsia="zh-CN"/>
        </w:rPr>
      </w:pPr>
      <w:r>
        <w:rPr>
          <w:rFonts w:hint="eastAsia" w:ascii="宋体" w:hAnsi="宋体" w:eastAsia="宋体" w:cs="Times New Roman"/>
          <w:b/>
          <w:kern w:val="2"/>
          <w:sz w:val="28"/>
          <w:szCs w:val="28"/>
          <w:lang w:val="en-US" w:eastAsia="zh-CN" w:bidi="ar-SA"/>
        </w:rPr>
        <w:t>（三）争议解决：</w:t>
      </w:r>
      <w:r>
        <w:rPr>
          <w:rFonts w:hint="eastAsia" w:ascii="宋体" w:hAnsi="宋体"/>
          <w:sz w:val="28"/>
          <w:szCs w:val="28"/>
          <w:lang w:val="en-US" w:eastAsia="zh-CN"/>
        </w:rPr>
        <w:t>合同执行过程中发生的任何争议，双方友好协商解决，协商不成，向采购人所在地人民法院提起诉讼。</w:t>
      </w:r>
    </w:p>
    <w:p w14:paraId="64618A6A">
      <w:pPr>
        <w:pStyle w:val="6"/>
        <w:rPr>
          <w:rFonts w:hint="default" w:ascii="宋体" w:hAnsi="宋体"/>
          <w:b/>
          <w:bCs/>
          <w:sz w:val="28"/>
          <w:szCs w:val="28"/>
          <w:lang w:val="en-US" w:eastAsia="zh-CN"/>
        </w:rPr>
      </w:pPr>
      <w:r>
        <w:rPr>
          <w:rFonts w:hint="eastAsia" w:ascii="宋体" w:hAnsi="宋体"/>
          <w:b/>
          <w:bCs/>
          <w:sz w:val="28"/>
          <w:szCs w:val="28"/>
          <w:lang w:val="en-US" w:eastAsia="zh-CN"/>
        </w:rPr>
        <w:t>（四）保密</w:t>
      </w:r>
    </w:p>
    <w:p w14:paraId="41C1667C">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中标人必须采取措施对本项目实施过程中收集的相关资料保密，否则，由于中标人过错导致的上述资料泄密的，中标人必须承担一切责任。项目完成后，双方均有责任对本项目的技术保密承担责任。</w:t>
      </w:r>
    </w:p>
    <w:p w14:paraId="3385765E">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未经采购人事先书面同意，中标人不得将由采购人为本合同提供的任何资料提供给与本合同无关的任何第三方，不得将其用于履行本合同之外的其它用途。即使向与履行本合同有关的人员提供，也应注意保密并限于履行合同所必需的范围。</w:t>
      </w:r>
    </w:p>
    <w:p w14:paraId="221ACD64">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如果采购人有要求，中标人在完成合同后应将有关资料还给采购人。</w:t>
      </w:r>
    </w:p>
    <w:p w14:paraId="523C6966">
      <w:pPr>
        <w:spacing w:line="400" w:lineRule="exact"/>
        <w:ind w:firstLine="640" w:firstLineChars="200"/>
        <w:rPr>
          <w:rFonts w:ascii="宋体" w:hAnsi="宋体"/>
          <w:sz w:val="32"/>
          <w:szCs w:val="32"/>
        </w:rPr>
      </w:pPr>
    </w:p>
    <w:p w14:paraId="6FA1BBF3">
      <w:pPr>
        <w:spacing w:line="400" w:lineRule="exact"/>
        <w:ind w:firstLine="420" w:firstLineChars="200"/>
        <w:rPr>
          <w:rFonts w:ascii="宋体" w:hAnsi="宋体"/>
          <w:sz w:val="28"/>
          <w:szCs w:val="28"/>
        </w:rPr>
      </w:pPr>
      <w:bookmarkStart w:id="29" w:name="_Toc13543213"/>
      <w:bookmarkStart w:id="30" w:name="_Toc60236710"/>
      <w:r>
        <w:rPr>
          <w:rFonts w:hint="eastAsia"/>
        </w:rPr>
        <w:br w:type="page"/>
      </w:r>
      <w:bookmarkEnd w:id="29"/>
      <w:bookmarkEnd w:id="30"/>
    </w:p>
    <w:p w14:paraId="28265CDA">
      <w:pPr>
        <w:pStyle w:val="2"/>
      </w:pPr>
      <w:bookmarkStart w:id="31" w:name="_Toc14310"/>
      <w:r>
        <w:rPr>
          <w:rFonts w:hint="eastAsia"/>
        </w:rPr>
        <w:t>第三部分  报价文件格式</w:t>
      </w:r>
      <w:bookmarkEnd w:id="31"/>
    </w:p>
    <w:p w14:paraId="2152BF14">
      <w:pPr>
        <w:jc w:val="center"/>
        <w:rPr>
          <w:color w:val="000000"/>
          <w:sz w:val="18"/>
          <w:szCs w:val="18"/>
        </w:rPr>
      </w:pPr>
      <w:r>
        <w:rPr>
          <w:rFonts w:hint="eastAsia"/>
          <w:b/>
          <w:color w:val="000000"/>
          <w:sz w:val="28"/>
          <w:szCs w:val="28"/>
        </w:rPr>
        <w:t>校内分散采购报价文件封面</w:t>
      </w:r>
    </w:p>
    <w:p w14:paraId="758963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2B5AB77">
      <w:pPr>
        <w:jc w:val="center"/>
      </w:pPr>
    </w:p>
    <w:p w14:paraId="0B9FBD47"/>
    <w:p w14:paraId="2D6EDF57"/>
    <w:p w14:paraId="2B36CB41"/>
    <w:p w14:paraId="4A695ABA">
      <w:pPr>
        <w:ind w:left="425"/>
        <w:jc w:val="center"/>
        <w:rPr>
          <w:rFonts w:eastAsia="黑体"/>
          <w:b/>
          <w:sz w:val="72"/>
          <w:szCs w:val="56"/>
        </w:rPr>
      </w:pPr>
      <w:r>
        <w:rPr>
          <w:rFonts w:hint="eastAsia" w:eastAsia="黑体"/>
          <w:b/>
          <w:sz w:val="72"/>
          <w:szCs w:val="56"/>
        </w:rPr>
        <w:t>校内分散采购报价文件</w:t>
      </w:r>
    </w:p>
    <w:p w14:paraId="04A170AF">
      <w:pPr>
        <w:pStyle w:val="12"/>
        <w:rPr>
          <w:rFonts w:ascii="Calibri" w:hAnsi="Calibri"/>
          <w:b/>
          <w:sz w:val="32"/>
          <w:szCs w:val="32"/>
        </w:rPr>
      </w:pPr>
    </w:p>
    <w:p w14:paraId="6B4517EA">
      <w:pPr>
        <w:pStyle w:val="12"/>
        <w:ind w:firstLine="1084" w:firstLineChars="300"/>
        <w:rPr>
          <w:rFonts w:ascii="楷体_GB2312" w:hAnsi="楷体" w:eastAsia="楷体_GB2312"/>
          <w:sz w:val="32"/>
        </w:rPr>
      </w:pPr>
      <w:r>
        <w:rPr>
          <w:rFonts w:hint="eastAsia" w:ascii="楷体_GB2312" w:hAnsi="楷体" w:eastAsia="楷体_GB2312"/>
          <w:b/>
          <w:bCs/>
          <w:sz w:val="36"/>
        </w:rPr>
        <w:t>项目名称:</w:t>
      </w:r>
    </w:p>
    <w:p w14:paraId="19F3770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65586B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190434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5ED2102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EF797D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FDC62F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3DF3CDED">
      <w:pPr>
        <w:spacing w:line="600" w:lineRule="exact"/>
        <w:ind w:firstLine="1442" w:firstLineChars="399"/>
        <w:rPr>
          <w:rFonts w:ascii="楷体_GB2312" w:hAnsi="楷体" w:eastAsia="楷体_GB2312"/>
          <w:b/>
          <w:bCs/>
          <w:sz w:val="36"/>
          <w:u w:val="single"/>
        </w:rPr>
      </w:pPr>
    </w:p>
    <w:p w14:paraId="03610A21">
      <w:pPr>
        <w:spacing w:line="400" w:lineRule="exact"/>
        <w:ind w:firstLine="961" w:firstLineChars="399"/>
        <w:rPr>
          <w:rFonts w:ascii="楷体_GB2312" w:hAnsi="楷体" w:eastAsia="楷体_GB2312"/>
          <w:b/>
          <w:bCs/>
          <w:sz w:val="24"/>
          <w:u w:val="single"/>
        </w:rPr>
      </w:pPr>
    </w:p>
    <w:p w14:paraId="620EDA0A">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B7B779E">
      <w:pPr>
        <w:jc w:val="center"/>
        <w:rPr>
          <w:b/>
          <w:sz w:val="36"/>
          <w:szCs w:val="36"/>
        </w:rPr>
      </w:pPr>
    </w:p>
    <w:p w14:paraId="5DCCF260">
      <w:pPr>
        <w:spacing w:line="400" w:lineRule="exact"/>
        <w:rPr>
          <w:rFonts w:ascii="宋体" w:hAnsi="宋体"/>
          <w:bCs/>
          <w:sz w:val="28"/>
          <w:szCs w:val="28"/>
        </w:rPr>
      </w:pPr>
    </w:p>
    <w:p w14:paraId="2575A7E8">
      <w:pPr>
        <w:rPr>
          <w:rFonts w:ascii="宋体" w:hAnsi="宋体" w:cs="宋体"/>
          <w:b/>
          <w:bCs/>
          <w:spacing w:val="30"/>
          <w:sz w:val="44"/>
          <w:szCs w:val="44"/>
        </w:rPr>
      </w:pPr>
      <w:r>
        <w:rPr>
          <w:rFonts w:hint="eastAsia" w:ascii="宋体" w:hAnsi="宋体" w:cs="宋体"/>
          <w:b/>
          <w:bCs/>
          <w:spacing w:val="30"/>
          <w:sz w:val="44"/>
          <w:szCs w:val="44"/>
        </w:rPr>
        <w:br w:type="page"/>
      </w:r>
    </w:p>
    <w:p w14:paraId="09A866F8">
      <w:pPr>
        <w:jc w:val="center"/>
        <w:rPr>
          <w:b/>
          <w:sz w:val="44"/>
          <w:szCs w:val="44"/>
        </w:rPr>
      </w:pPr>
      <w:r>
        <w:rPr>
          <w:rFonts w:hint="eastAsia"/>
          <w:sz w:val="44"/>
          <w:szCs w:val="44"/>
        </w:rPr>
        <w:t>目录</w:t>
      </w:r>
    </w:p>
    <w:p w14:paraId="44C1FEAD">
      <w:pPr>
        <w:jc w:val="left"/>
        <w:rPr>
          <w:rFonts w:ascii="宋体" w:hAnsi="宋体"/>
          <w:sz w:val="28"/>
          <w:szCs w:val="28"/>
        </w:rPr>
      </w:pPr>
    </w:p>
    <w:p w14:paraId="6E0083A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003EC4A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2565E0C">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7FE9E487">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38DA8A56">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104F9BD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lang w:val="en-US" w:eastAsia="zh-CN"/>
        </w:rPr>
        <w:t xml:space="preserve">承诺书   </w:t>
      </w:r>
      <w:r>
        <w:rPr>
          <w:rFonts w:hint="eastAsia" w:ascii="宋体" w:hAnsi="宋体" w:cs="宋体"/>
          <w:b/>
          <w:bCs/>
          <w:spacing w:val="30"/>
          <w:sz w:val="28"/>
          <w:szCs w:val="28"/>
        </w:rPr>
        <w:t xml:space="preserve">                            XX页</w:t>
      </w:r>
    </w:p>
    <w:p w14:paraId="15CFFF24">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2A68C7A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519C856">
      <w:pPr>
        <w:rPr>
          <w:rFonts w:ascii="宋体" w:hAnsi="宋体"/>
          <w:szCs w:val="21"/>
        </w:rPr>
      </w:pPr>
      <w:r>
        <w:rPr>
          <w:rFonts w:ascii="宋体" w:hAnsi="宋体"/>
          <w:szCs w:val="21"/>
        </w:rPr>
        <w:br w:type="page"/>
      </w:r>
    </w:p>
    <w:p w14:paraId="08601563">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D7D65DD">
      <w:pPr>
        <w:rPr>
          <w:rFonts w:ascii="宋体" w:hAnsi="宋体" w:cs="宋体"/>
          <w:b/>
          <w:bCs/>
          <w:spacing w:val="30"/>
          <w:sz w:val="44"/>
          <w:szCs w:val="44"/>
        </w:rPr>
      </w:pPr>
      <w:r>
        <w:rPr>
          <w:rFonts w:hint="eastAsia" w:ascii="宋体" w:hAnsi="宋体" w:cs="宋体"/>
          <w:b/>
          <w:bCs/>
          <w:spacing w:val="30"/>
          <w:sz w:val="44"/>
          <w:szCs w:val="44"/>
        </w:rPr>
        <w:br w:type="page"/>
      </w:r>
    </w:p>
    <w:p w14:paraId="2C117FB1">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5E0F9AB">
      <w:pPr>
        <w:spacing w:line="520" w:lineRule="exact"/>
        <w:rPr>
          <w:rFonts w:ascii="宋体" w:hAnsi="宋体"/>
          <w:bCs/>
          <w:sz w:val="28"/>
          <w:szCs w:val="28"/>
        </w:rPr>
      </w:pPr>
    </w:p>
    <w:p w14:paraId="7E9A9BE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90452BA">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6C72ED">
      <w:pPr>
        <w:spacing w:line="520" w:lineRule="exact"/>
        <w:ind w:firstLine="560" w:firstLineChars="200"/>
        <w:rPr>
          <w:rFonts w:ascii="宋体" w:hAnsi="宋体"/>
          <w:bCs/>
          <w:sz w:val="28"/>
          <w:szCs w:val="28"/>
        </w:rPr>
      </w:pPr>
      <w:r>
        <w:rPr>
          <w:rFonts w:ascii="宋体" w:hAnsi="宋体"/>
          <w:bCs/>
          <w:sz w:val="28"/>
          <w:szCs w:val="28"/>
        </w:rPr>
        <w:t>联系方式：</w:t>
      </w:r>
    </w:p>
    <w:p w14:paraId="4A1BB0D7">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FD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529B7E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84B0C93">
            <w:pPr>
              <w:spacing w:line="520" w:lineRule="exact"/>
              <w:rPr>
                <w:rFonts w:ascii="宋体" w:hAnsi="宋体"/>
                <w:bCs/>
                <w:sz w:val="28"/>
                <w:szCs w:val="28"/>
              </w:rPr>
            </w:pPr>
          </w:p>
        </w:tc>
      </w:tr>
    </w:tbl>
    <w:p w14:paraId="19A5E7AD">
      <w:pPr>
        <w:spacing w:line="520" w:lineRule="exact"/>
        <w:ind w:firstLine="548" w:firstLineChars="196"/>
        <w:rPr>
          <w:rFonts w:ascii="宋体" w:hAnsi="宋体"/>
          <w:bCs/>
          <w:sz w:val="28"/>
          <w:szCs w:val="28"/>
        </w:rPr>
      </w:pPr>
    </w:p>
    <w:p w14:paraId="243E8DB3">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21770F23">
      <w:pPr>
        <w:spacing w:line="520" w:lineRule="exact"/>
        <w:ind w:firstLine="548" w:firstLineChars="196"/>
        <w:rPr>
          <w:rFonts w:ascii="宋体" w:hAnsi="宋体"/>
          <w:bCs/>
          <w:sz w:val="28"/>
          <w:szCs w:val="28"/>
        </w:rPr>
      </w:pPr>
      <w:r>
        <w:rPr>
          <w:rFonts w:ascii="宋体" w:hAnsi="宋体"/>
          <w:bCs/>
          <w:sz w:val="28"/>
          <w:szCs w:val="28"/>
        </w:rPr>
        <w:t>年  月  日</w:t>
      </w:r>
    </w:p>
    <w:p w14:paraId="7E76C905">
      <w:pPr>
        <w:spacing w:line="440" w:lineRule="exact"/>
        <w:ind w:firstLine="548" w:firstLineChars="196"/>
        <w:rPr>
          <w:rFonts w:ascii="宋体" w:hAnsi="宋体"/>
          <w:bCs/>
          <w:sz w:val="28"/>
          <w:szCs w:val="28"/>
        </w:rPr>
      </w:pPr>
    </w:p>
    <w:p w14:paraId="27EC4CF1">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E2DF44D">
      <w:pPr>
        <w:rPr>
          <w:b/>
          <w:bCs/>
          <w:sz w:val="32"/>
          <w:szCs w:val="21"/>
        </w:rPr>
      </w:pPr>
      <w:r>
        <w:rPr>
          <w:rFonts w:hint="eastAsia"/>
          <w:b/>
          <w:bCs/>
          <w:sz w:val="32"/>
          <w:szCs w:val="21"/>
        </w:rPr>
        <w:br w:type="page"/>
      </w:r>
    </w:p>
    <w:p w14:paraId="366DFEC0">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FABB728">
      <w:pPr>
        <w:spacing w:line="520" w:lineRule="exact"/>
        <w:rPr>
          <w:bCs/>
          <w:szCs w:val="21"/>
        </w:rPr>
      </w:pPr>
    </w:p>
    <w:p w14:paraId="68A02DB5">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1D3DDD4">
      <w:pPr>
        <w:spacing w:line="520" w:lineRule="exact"/>
        <w:rPr>
          <w:rFonts w:ascii="宋体" w:hAnsi="宋体"/>
          <w:bCs/>
          <w:sz w:val="28"/>
          <w:szCs w:val="28"/>
        </w:rPr>
      </w:pPr>
      <w:r>
        <w:rPr>
          <w:rFonts w:ascii="宋体" w:hAnsi="宋体"/>
          <w:bCs/>
          <w:sz w:val="28"/>
          <w:szCs w:val="28"/>
        </w:rPr>
        <w:t>联系方式：</w:t>
      </w:r>
    </w:p>
    <w:p w14:paraId="564B53B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19FF392B">
      <w:pPr>
        <w:spacing w:line="520" w:lineRule="exact"/>
        <w:rPr>
          <w:rFonts w:ascii="宋体" w:hAnsi="宋体"/>
          <w:bCs/>
          <w:sz w:val="28"/>
          <w:szCs w:val="28"/>
        </w:rPr>
      </w:pPr>
      <w:r>
        <w:rPr>
          <w:rFonts w:ascii="宋体" w:hAnsi="宋体"/>
          <w:bCs/>
          <w:sz w:val="28"/>
          <w:szCs w:val="28"/>
        </w:rPr>
        <w:t>联系方式：</w:t>
      </w:r>
    </w:p>
    <w:p w14:paraId="1B484DFF">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eastAsia="zh-CN"/>
        </w:rPr>
        <w:t>的</w:t>
      </w:r>
      <w:r>
        <w:rPr>
          <w:rFonts w:ascii="宋体" w:hAnsi="宋体"/>
          <w:bCs/>
          <w:sz w:val="28"/>
          <w:szCs w:val="28"/>
        </w:rPr>
        <w:t>职务：</w:t>
      </w:r>
    </w:p>
    <w:p w14:paraId="62A2E5AC">
      <w:pPr>
        <w:spacing w:line="520" w:lineRule="exact"/>
        <w:rPr>
          <w:rFonts w:ascii="宋体" w:hAnsi="宋体"/>
          <w:bCs/>
          <w:sz w:val="28"/>
          <w:szCs w:val="28"/>
        </w:rPr>
      </w:pPr>
    </w:p>
    <w:p w14:paraId="3DC1C9A0">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4197255B">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12F69B6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2219F264">
      <w:pPr>
        <w:spacing w:line="520" w:lineRule="exact"/>
        <w:ind w:firstLine="548" w:firstLineChars="196"/>
        <w:rPr>
          <w:rFonts w:ascii="宋体" w:hAnsi="宋体"/>
          <w:bCs/>
          <w:sz w:val="28"/>
          <w:szCs w:val="28"/>
        </w:rPr>
      </w:pPr>
    </w:p>
    <w:p w14:paraId="1FA4F68A">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07B26A59">
      <w:pPr>
        <w:spacing w:line="520" w:lineRule="exact"/>
        <w:ind w:firstLine="548" w:firstLineChars="196"/>
        <w:rPr>
          <w:rFonts w:ascii="宋体" w:hAnsi="宋体"/>
          <w:bCs/>
          <w:sz w:val="28"/>
          <w:szCs w:val="28"/>
        </w:rPr>
      </w:pPr>
      <w:r>
        <w:rPr>
          <w:rFonts w:ascii="宋体" w:hAnsi="宋体"/>
          <w:bCs/>
          <w:sz w:val="28"/>
          <w:szCs w:val="28"/>
        </w:rPr>
        <w:t>年  月 日</w:t>
      </w:r>
    </w:p>
    <w:p w14:paraId="211E4D38">
      <w:pPr>
        <w:spacing w:line="520" w:lineRule="exact"/>
        <w:ind w:firstLine="548" w:firstLineChars="196"/>
        <w:rPr>
          <w:rFonts w:ascii="宋体" w:hAnsi="宋体"/>
          <w:bCs/>
          <w:sz w:val="28"/>
          <w:szCs w:val="28"/>
        </w:rPr>
      </w:pPr>
    </w:p>
    <w:p w14:paraId="1B048337">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94EE382">
      <w:pPr>
        <w:spacing w:line="400" w:lineRule="exact"/>
        <w:ind w:firstLine="548" w:firstLineChars="196"/>
        <w:rPr>
          <w:rFonts w:ascii="宋体" w:hAnsi="宋体"/>
          <w:bCs/>
          <w:sz w:val="28"/>
          <w:szCs w:val="28"/>
        </w:rPr>
      </w:pPr>
    </w:p>
    <w:p w14:paraId="48AB6B02">
      <w:pPr>
        <w:spacing w:line="400" w:lineRule="exact"/>
        <w:ind w:firstLine="548" w:firstLineChars="196"/>
        <w:rPr>
          <w:rFonts w:ascii="宋体" w:hAnsi="宋体"/>
          <w:bCs/>
          <w:sz w:val="28"/>
          <w:szCs w:val="28"/>
        </w:rPr>
      </w:pPr>
    </w:p>
    <w:p w14:paraId="05211437">
      <w:pPr>
        <w:rPr>
          <w:rFonts w:ascii="宋体" w:hAnsi="宋体"/>
          <w:bCs/>
          <w:sz w:val="28"/>
          <w:szCs w:val="28"/>
        </w:rPr>
      </w:pPr>
      <w:r>
        <w:rPr>
          <w:rFonts w:hint="eastAsia" w:ascii="宋体" w:hAnsi="宋体"/>
          <w:bCs/>
          <w:sz w:val="28"/>
          <w:szCs w:val="28"/>
        </w:rPr>
        <w:br w:type="page"/>
      </w:r>
    </w:p>
    <w:p w14:paraId="4FDEB5E7">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6AE82FE4">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F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6C36663">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7463A0F">
            <w:pPr>
              <w:spacing w:line="520" w:lineRule="exact"/>
              <w:rPr>
                <w:rFonts w:ascii="宋体" w:hAnsi="宋体"/>
                <w:bCs/>
                <w:sz w:val="28"/>
                <w:szCs w:val="28"/>
              </w:rPr>
            </w:pPr>
          </w:p>
        </w:tc>
      </w:tr>
    </w:tbl>
    <w:p w14:paraId="500EEFA8">
      <w:pPr>
        <w:spacing w:line="520" w:lineRule="exact"/>
        <w:ind w:firstLine="548" w:firstLineChars="196"/>
        <w:rPr>
          <w:rFonts w:ascii="宋体" w:hAnsi="宋体"/>
          <w:bCs/>
          <w:sz w:val="28"/>
          <w:szCs w:val="28"/>
        </w:rPr>
      </w:pPr>
    </w:p>
    <w:p w14:paraId="2EAEEC8A">
      <w:pPr>
        <w:spacing w:line="400" w:lineRule="exact"/>
        <w:ind w:firstLine="548" w:firstLineChars="196"/>
        <w:rPr>
          <w:rFonts w:ascii="宋体" w:hAnsi="宋体"/>
          <w:bCs/>
          <w:sz w:val="28"/>
          <w:szCs w:val="28"/>
        </w:rPr>
      </w:pPr>
    </w:p>
    <w:p w14:paraId="6BB64D16">
      <w:pPr>
        <w:spacing w:line="400" w:lineRule="exact"/>
        <w:ind w:firstLine="548" w:firstLineChars="196"/>
        <w:rPr>
          <w:rFonts w:ascii="宋体" w:hAnsi="宋体"/>
          <w:bCs/>
          <w:sz w:val="28"/>
          <w:szCs w:val="28"/>
        </w:rPr>
      </w:pPr>
    </w:p>
    <w:p w14:paraId="0962103E">
      <w:pPr>
        <w:spacing w:line="400" w:lineRule="exact"/>
        <w:ind w:firstLine="548" w:firstLineChars="196"/>
        <w:rPr>
          <w:rFonts w:ascii="宋体" w:hAnsi="宋体"/>
          <w:bCs/>
          <w:sz w:val="28"/>
          <w:szCs w:val="28"/>
        </w:rPr>
      </w:pPr>
    </w:p>
    <w:p w14:paraId="71FD510B">
      <w:pPr>
        <w:spacing w:line="400" w:lineRule="exact"/>
        <w:ind w:firstLine="548" w:firstLineChars="196"/>
        <w:rPr>
          <w:rFonts w:ascii="宋体" w:hAnsi="宋体"/>
          <w:bCs/>
          <w:sz w:val="28"/>
          <w:szCs w:val="28"/>
        </w:rPr>
      </w:pPr>
    </w:p>
    <w:p w14:paraId="490648EF">
      <w:pPr>
        <w:spacing w:line="400" w:lineRule="exact"/>
        <w:ind w:firstLine="548" w:firstLineChars="196"/>
        <w:rPr>
          <w:rFonts w:ascii="宋体" w:hAnsi="宋体"/>
          <w:bCs/>
          <w:sz w:val="28"/>
          <w:szCs w:val="28"/>
        </w:rPr>
      </w:pPr>
    </w:p>
    <w:p w14:paraId="5CD76475">
      <w:pPr>
        <w:spacing w:line="400" w:lineRule="exact"/>
        <w:ind w:firstLine="548" w:firstLineChars="196"/>
        <w:rPr>
          <w:rFonts w:ascii="宋体" w:hAnsi="宋体"/>
          <w:bCs/>
          <w:sz w:val="28"/>
          <w:szCs w:val="28"/>
        </w:rPr>
      </w:pPr>
    </w:p>
    <w:p w14:paraId="15D2BDB0">
      <w:pPr>
        <w:spacing w:line="400" w:lineRule="exact"/>
        <w:ind w:firstLine="548" w:firstLineChars="196"/>
        <w:rPr>
          <w:rFonts w:ascii="宋体" w:hAnsi="宋体"/>
          <w:bCs/>
          <w:sz w:val="28"/>
          <w:szCs w:val="28"/>
        </w:rPr>
      </w:pPr>
    </w:p>
    <w:p w14:paraId="6378840C">
      <w:pPr>
        <w:spacing w:line="400" w:lineRule="exact"/>
        <w:ind w:firstLine="548" w:firstLineChars="196"/>
        <w:rPr>
          <w:rFonts w:ascii="宋体" w:hAnsi="宋体"/>
          <w:bCs/>
          <w:sz w:val="28"/>
          <w:szCs w:val="28"/>
        </w:rPr>
      </w:pPr>
    </w:p>
    <w:p w14:paraId="7BD9F3F5">
      <w:pPr>
        <w:spacing w:line="400" w:lineRule="exact"/>
        <w:ind w:firstLine="548" w:firstLineChars="196"/>
        <w:rPr>
          <w:rFonts w:ascii="宋体" w:hAnsi="宋体"/>
          <w:bCs/>
          <w:sz w:val="28"/>
          <w:szCs w:val="28"/>
        </w:rPr>
      </w:pPr>
    </w:p>
    <w:p w14:paraId="53BDB94E">
      <w:pPr>
        <w:pStyle w:val="12"/>
        <w:jc w:val="left"/>
        <w:rPr>
          <w:rFonts w:hAnsi="宋体" w:cs="宋体"/>
          <w:bCs/>
          <w:color w:val="000000"/>
          <w:sz w:val="30"/>
          <w:szCs w:val="30"/>
        </w:rPr>
      </w:pPr>
    </w:p>
    <w:p w14:paraId="35377E22">
      <w:pPr>
        <w:pStyle w:val="12"/>
        <w:jc w:val="left"/>
        <w:rPr>
          <w:rFonts w:hAnsi="宋体" w:cs="宋体"/>
          <w:bCs/>
          <w:color w:val="000000"/>
          <w:sz w:val="30"/>
          <w:szCs w:val="30"/>
        </w:rPr>
      </w:pPr>
    </w:p>
    <w:p w14:paraId="395B9DFE">
      <w:pPr>
        <w:pStyle w:val="12"/>
        <w:jc w:val="left"/>
        <w:rPr>
          <w:rFonts w:hAnsi="宋体" w:cs="宋体"/>
          <w:bCs/>
          <w:color w:val="000000"/>
          <w:sz w:val="30"/>
          <w:szCs w:val="30"/>
        </w:rPr>
      </w:pPr>
    </w:p>
    <w:p w14:paraId="3C7D3E94">
      <w:pPr>
        <w:pStyle w:val="12"/>
        <w:jc w:val="left"/>
        <w:rPr>
          <w:rFonts w:hAnsi="宋体" w:cs="宋体"/>
          <w:bCs/>
          <w:color w:val="000000"/>
          <w:sz w:val="30"/>
          <w:szCs w:val="30"/>
        </w:rPr>
      </w:pPr>
    </w:p>
    <w:p w14:paraId="2A550C87">
      <w:pPr>
        <w:rPr>
          <w:rFonts w:ascii="宋体" w:hAnsi="宋体"/>
          <w:bCs/>
          <w:sz w:val="28"/>
          <w:szCs w:val="28"/>
        </w:rPr>
      </w:pPr>
      <w:r>
        <w:rPr>
          <w:rFonts w:hint="eastAsia" w:ascii="宋体" w:hAnsi="宋体"/>
          <w:bCs/>
          <w:sz w:val="28"/>
          <w:szCs w:val="28"/>
        </w:rPr>
        <w:br w:type="page"/>
      </w:r>
    </w:p>
    <w:p w14:paraId="518B2ADC">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543C0464">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36448E4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6CED52E">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61FFCEC">
            <w:pPr>
              <w:autoSpaceDE w:val="0"/>
              <w:autoSpaceDN w:val="0"/>
              <w:adjustRightInd w:val="0"/>
              <w:spacing w:line="480" w:lineRule="exact"/>
              <w:jc w:val="center"/>
              <w:rPr>
                <w:rFonts w:ascii="宋体" w:hAnsi="宋体"/>
                <w:sz w:val="24"/>
              </w:rPr>
            </w:pPr>
            <w:r>
              <w:rPr>
                <w:rFonts w:hint="eastAsia" w:ascii="宋体" w:hAnsi="宋体"/>
                <w:sz w:val="24"/>
              </w:rPr>
              <w:t>广东财经大学佛山校区2026年小额工程监理服务项目</w:t>
            </w:r>
          </w:p>
        </w:tc>
      </w:tr>
      <w:tr w14:paraId="546DF5D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8B00581">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49522056">
            <w:pPr>
              <w:autoSpaceDE w:val="0"/>
              <w:autoSpaceDN w:val="0"/>
              <w:adjustRightInd w:val="0"/>
              <w:spacing w:line="480" w:lineRule="exact"/>
              <w:rPr>
                <w:rFonts w:ascii="宋体" w:hAnsi="宋体"/>
                <w:b/>
                <w:sz w:val="24"/>
                <w:u w:val="single"/>
              </w:rPr>
            </w:pPr>
          </w:p>
          <w:p w14:paraId="3A39E171">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6481EC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D8F4C2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2AE6B06">
            <w:pPr>
              <w:autoSpaceDE w:val="0"/>
              <w:autoSpaceDN w:val="0"/>
              <w:adjustRightInd w:val="0"/>
              <w:spacing w:line="480" w:lineRule="exact"/>
              <w:ind w:firstLine="843" w:firstLineChars="350"/>
              <w:rPr>
                <w:rFonts w:ascii="宋体"/>
                <w:b/>
                <w:sz w:val="24"/>
                <w:u w:val="single"/>
              </w:rPr>
            </w:pPr>
          </w:p>
          <w:p w14:paraId="3687BBE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06CD2A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19A442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4978B1A">
            <w:pPr>
              <w:autoSpaceDE w:val="0"/>
              <w:autoSpaceDN w:val="0"/>
              <w:adjustRightInd w:val="0"/>
              <w:spacing w:line="480" w:lineRule="exact"/>
              <w:jc w:val="center"/>
              <w:rPr>
                <w:rFonts w:ascii="宋体" w:hAnsi="宋体"/>
                <w:sz w:val="24"/>
              </w:rPr>
            </w:pPr>
          </w:p>
        </w:tc>
      </w:tr>
    </w:tbl>
    <w:p w14:paraId="57EC977C">
      <w:pPr>
        <w:pStyle w:val="12"/>
        <w:spacing w:line="480" w:lineRule="exact"/>
        <w:rPr>
          <w:rFonts w:hAnsi="宋体"/>
          <w:sz w:val="28"/>
          <w:szCs w:val="28"/>
        </w:rPr>
      </w:pPr>
      <w:r>
        <w:rPr>
          <w:rFonts w:hint="eastAsia" w:hAnsi="宋体"/>
          <w:sz w:val="28"/>
          <w:szCs w:val="28"/>
        </w:rPr>
        <w:t>注：</w:t>
      </w:r>
    </w:p>
    <w:p w14:paraId="30AFD033">
      <w:pPr>
        <w:pStyle w:val="12"/>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3DABC3D3">
      <w:pPr>
        <w:pStyle w:val="12"/>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3F55DAA9">
      <w:pPr>
        <w:pStyle w:val="12"/>
        <w:numPr>
          <w:ilvl w:val="0"/>
          <w:numId w:val="7"/>
        </w:numPr>
        <w:spacing w:line="0" w:lineRule="atLeast"/>
        <w:rPr>
          <w:rFonts w:hAnsi="宋体"/>
          <w:sz w:val="28"/>
          <w:szCs w:val="28"/>
        </w:rPr>
      </w:pPr>
      <w:r>
        <w:rPr>
          <w:rFonts w:hint="eastAsia"/>
          <w:sz w:val="28"/>
          <w:szCs w:val="28"/>
        </w:rPr>
        <w:t>填写此表时不得改变表格的形式。</w:t>
      </w:r>
    </w:p>
    <w:p w14:paraId="589BA7AA">
      <w:pPr>
        <w:pStyle w:val="12"/>
        <w:numPr>
          <w:ilvl w:val="0"/>
          <w:numId w:val="7"/>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75D9507D">
      <w:pPr>
        <w:adjustRightInd w:val="0"/>
        <w:snapToGrid w:val="0"/>
        <w:rPr>
          <w:rFonts w:ascii="宋体" w:hAnsi="宋体"/>
          <w:b/>
          <w:sz w:val="28"/>
          <w:szCs w:val="28"/>
        </w:rPr>
      </w:pPr>
    </w:p>
    <w:p w14:paraId="775C0BCC">
      <w:pPr>
        <w:spacing w:line="400" w:lineRule="exact"/>
        <w:rPr>
          <w:rFonts w:ascii="宋体" w:hAnsi="宋体"/>
          <w:sz w:val="32"/>
          <w:szCs w:val="32"/>
        </w:rPr>
      </w:pPr>
    </w:p>
    <w:p w14:paraId="7868F1E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9F32E55">
      <w:pPr>
        <w:spacing w:line="400" w:lineRule="exact"/>
        <w:rPr>
          <w:rFonts w:ascii="宋体" w:hAnsi="宋体"/>
          <w:sz w:val="32"/>
          <w:szCs w:val="32"/>
        </w:rPr>
      </w:pPr>
    </w:p>
    <w:p w14:paraId="4676BE80">
      <w:pPr>
        <w:spacing w:afterLines="50" w:line="400" w:lineRule="exact"/>
        <w:rPr>
          <w:rFonts w:ascii="宋体" w:hAnsi="宋体"/>
          <w:sz w:val="32"/>
          <w:szCs w:val="32"/>
        </w:rPr>
      </w:pPr>
      <w:r>
        <w:rPr>
          <w:rFonts w:hint="eastAsia" w:ascii="宋体" w:hAnsi="宋体"/>
          <w:sz w:val="32"/>
          <w:szCs w:val="32"/>
        </w:rPr>
        <w:t>报价人单位（盖章）：</w:t>
      </w:r>
    </w:p>
    <w:p w14:paraId="7E946ED6">
      <w:pPr>
        <w:spacing w:line="480" w:lineRule="exact"/>
        <w:ind w:left="4599" w:leftChars="2190"/>
        <w:rPr>
          <w:rFonts w:ascii="宋体"/>
          <w:sz w:val="28"/>
          <w:szCs w:val="28"/>
        </w:rPr>
      </w:pPr>
    </w:p>
    <w:p w14:paraId="3800FC5B">
      <w:pPr>
        <w:rPr>
          <w:sz w:val="28"/>
          <w:szCs w:val="28"/>
        </w:rPr>
      </w:pPr>
    </w:p>
    <w:p w14:paraId="42E7995E">
      <w:pPr>
        <w:rPr>
          <w:sz w:val="24"/>
        </w:rPr>
      </w:pPr>
    </w:p>
    <w:p w14:paraId="324763D5">
      <w:pPr>
        <w:rPr>
          <w:sz w:val="24"/>
        </w:rPr>
      </w:pPr>
      <w:r>
        <w:rPr>
          <w:sz w:val="24"/>
        </w:rPr>
        <w:br w:type="page"/>
      </w:r>
    </w:p>
    <w:p w14:paraId="32C61949">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lang w:val="en-US" w:eastAsia="zh-CN"/>
        </w:rPr>
        <w:t>承诺书</w:t>
      </w:r>
    </w:p>
    <w:p w14:paraId="5D2C6270">
      <w:pPr>
        <w:pStyle w:val="6"/>
        <w:rPr>
          <w:rFonts w:hint="eastAsia" w:ascii="宋体" w:hAnsi="宋体" w:cs="宋体"/>
          <w:b/>
          <w:bCs/>
          <w:spacing w:val="30"/>
          <w:sz w:val="44"/>
          <w:szCs w:val="44"/>
          <w:lang w:val="en-US" w:eastAsia="zh-CN"/>
        </w:rPr>
      </w:pPr>
    </w:p>
    <w:p w14:paraId="51D46607">
      <w:pPr>
        <w:pStyle w:val="6"/>
        <w:rPr>
          <w:rFonts w:hint="eastAsia" w:ascii="宋体" w:hAnsi="宋体" w:cs="宋体"/>
          <w:b/>
          <w:bCs/>
          <w:spacing w:val="30"/>
          <w:sz w:val="44"/>
          <w:szCs w:val="44"/>
          <w:lang w:val="en-US" w:eastAsia="zh-CN"/>
        </w:rPr>
      </w:pPr>
    </w:p>
    <w:p w14:paraId="4CA83207">
      <w:pPr>
        <w:spacing w:line="48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具备履行合同所必需的设备和专业技术能力，且非联合体报价。如若我方不符合上述声明，则贵校有权随时无条件解除双方之间合同，一切责任均由我方承担。</w:t>
      </w:r>
    </w:p>
    <w:p w14:paraId="6B9421FD">
      <w:pPr>
        <w:ind w:firstLine="480" w:firstLineChars="200"/>
        <w:jc w:val="left"/>
        <w:rPr>
          <w:rFonts w:hint="eastAsia" w:ascii="仿宋" w:hAnsi="仿宋" w:eastAsia="仿宋" w:cs="宋体"/>
          <w:sz w:val="24"/>
          <w:szCs w:val="24"/>
        </w:rPr>
      </w:pPr>
      <w:r>
        <w:rPr>
          <w:rFonts w:hint="eastAsia" w:ascii="仿宋" w:hAnsi="仿宋" w:eastAsia="仿宋" w:cs="宋体"/>
          <w:sz w:val="24"/>
          <w:szCs w:val="24"/>
        </w:rPr>
        <w:t xml:space="preserve"> </w:t>
      </w:r>
    </w:p>
    <w:p w14:paraId="2CE8D2E2">
      <w:pPr>
        <w:autoSpaceDE w:val="0"/>
        <w:autoSpaceDN w:val="0"/>
        <w:adjustRightInd w:val="0"/>
        <w:rPr>
          <w:rFonts w:hint="eastAsia" w:ascii="仿宋" w:hAnsi="仿宋" w:eastAsia="仿宋" w:cs="宋体"/>
          <w:sz w:val="24"/>
          <w:szCs w:val="24"/>
        </w:rPr>
      </w:pPr>
      <w:r>
        <w:rPr>
          <w:rFonts w:hint="eastAsia" w:ascii="仿宋" w:hAnsi="仿宋" w:eastAsia="仿宋" w:cs="宋体"/>
          <w:sz w:val="24"/>
          <w:szCs w:val="24"/>
        </w:rPr>
        <w:t xml:space="preserve">                                 </w:t>
      </w:r>
    </w:p>
    <w:p w14:paraId="7AEEF832">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投标人（公章）：</w:t>
      </w:r>
    </w:p>
    <w:p w14:paraId="3CB49D09">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投标人地址：</w:t>
      </w:r>
    </w:p>
    <w:p w14:paraId="77F93A4F">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2F3ED2F3">
      <w:pPr>
        <w:ind w:firstLine="4800" w:firstLineChars="2000"/>
      </w:pPr>
      <w:r>
        <w:rPr>
          <w:rFonts w:hint="eastAsia" w:ascii="仿宋" w:hAnsi="仿宋" w:eastAsia="仿宋" w:cs="宋体"/>
          <w:sz w:val="24"/>
          <w:szCs w:val="24"/>
        </w:rPr>
        <w:t>联 系 电 话：</w:t>
      </w:r>
    </w:p>
    <w:p w14:paraId="182F7DA3">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日    期：</w:t>
      </w:r>
    </w:p>
    <w:p w14:paraId="70F38305">
      <w:pPr>
        <w:rPr>
          <w:rFonts w:hint="eastAsia" w:ascii="仿宋" w:hAnsi="仿宋" w:eastAsia="仿宋" w:cs="宋体"/>
          <w:b/>
          <w:sz w:val="24"/>
          <w:szCs w:val="24"/>
        </w:rPr>
      </w:pPr>
      <w:r>
        <w:rPr>
          <w:rFonts w:hint="eastAsia" w:ascii="仿宋" w:hAnsi="仿宋" w:eastAsia="仿宋" w:cs="宋体"/>
          <w:b/>
          <w:sz w:val="24"/>
          <w:szCs w:val="24"/>
        </w:rPr>
        <w:t xml:space="preserve"> </w:t>
      </w:r>
    </w:p>
    <w:p w14:paraId="48F6487B">
      <w:pPr>
        <w:rPr>
          <w:rFonts w:hint="eastAsia"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加盖投标人公章</w:t>
      </w:r>
      <w:r>
        <w:rPr>
          <w:rFonts w:hint="eastAsia" w:ascii="仿宋" w:hAnsi="仿宋" w:eastAsia="仿宋" w:cs="宋体"/>
          <w:b/>
          <w:sz w:val="24"/>
          <w:szCs w:val="24"/>
        </w:rPr>
        <w:t>，必须有法人或代理人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53A3F241">
      <w:pPr>
        <w:pStyle w:val="6"/>
      </w:pPr>
    </w:p>
    <w:p w14:paraId="08480BCE">
      <w:pPr>
        <w:pStyle w:val="6"/>
      </w:pPr>
    </w:p>
    <w:p w14:paraId="257A1183">
      <w:pPr>
        <w:pStyle w:val="6"/>
      </w:pPr>
    </w:p>
    <w:p w14:paraId="688CC946">
      <w:pPr>
        <w:pStyle w:val="6"/>
      </w:pPr>
    </w:p>
    <w:p w14:paraId="53EF2DF0">
      <w:pPr>
        <w:pStyle w:val="6"/>
      </w:pPr>
    </w:p>
    <w:p w14:paraId="4DB1EC88">
      <w:pPr>
        <w:pStyle w:val="6"/>
      </w:pPr>
    </w:p>
    <w:p w14:paraId="28ED7245">
      <w:pPr>
        <w:pStyle w:val="6"/>
      </w:pPr>
    </w:p>
    <w:p w14:paraId="58AC2639">
      <w:pPr>
        <w:pStyle w:val="6"/>
      </w:pPr>
    </w:p>
    <w:p w14:paraId="3FFA9632">
      <w:pPr>
        <w:pStyle w:val="6"/>
      </w:pPr>
    </w:p>
    <w:p w14:paraId="5ED74EAE">
      <w:pPr>
        <w:pStyle w:val="6"/>
      </w:pPr>
    </w:p>
    <w:p w14:paraId="2A25B302">
      <w:pPr>
        <w:pStyle w:val="6"/>
      </w:pPr>
    </w:p>
    <w:p w14:paraId="2F9ACC7C">
      <w:pPr>
        <w:pStyle w:val="6"/>
        <w:ind w:left="0" w:leftChars="0" w:firstLine="0" w:firstLineChars="0"/>
      </w:pPr>
    </w:p>
    <w:p w14:paraId="77942568">
      <w:pPr>
        <w:pStyle w:val="12"/>
        <w:jc w:val="left"/>
        <w:rPr>
          <w:rFonts w:ascii="Times New Roman" w:hAnsi="Times New Roman"/>
          <w:szCs w:val="21"/>
        </w:rPr>
      </w:pPr>
    </w:p>
    <w:p w14:paraId="65B01C54">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D7E89C6">
      <w:pPr>
        <w:spacing w:line="560" w:lineRule="exact"/>
        <w:rPr>
          <w:rFonts w:ascii="宋体" w:hAnsi="宋体"/>
          <w:sz w:val="28"/>
          <w:szCs w:val="28"/>
        </w:rPr>
      </w:pPr>
    </w:p>
    <w:p w14:paraId="3C98542C">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3FB35BA">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4E25F67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45B4EE5">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3CCA00CB">
      <w:pPr>
        <w:numPr>
          <w:ilvl w:val="0"/>
          <w:numId w:val="8"/>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2CD2CB35">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3DCCEDA">
      <w:pPr>
        <w:numPr>
          <w:ilvl w:val="0"/>
          <w:numId w:val="8"/>
        </w:numPr>
        <w:spacing w:line="400" w:lineRule="exact"/>
        <w:rPr>
          <w:rFonts w:ascii="宋体" w:hAnsi="宋体"/>
          <w:sz w:val="24"/>
        </w:rPr>
      </w:pPr>
      <w:r>
        <w:rPr>
          <w:rFonts w:hint="eastAsia" w:ascii="宋体" w:hAnsi="宋体"/>
          <w:sz w:val="24"/>
        </w:rPr>
        <w:t>我方理解贵方不一定接受最低报价。</w:t>
      </w:r>
    </w:p>
    <w:p w14:paraId="1D3658DB">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9B2D1D3">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510AA4D">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E14DA5D">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8FDC184">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CB3A056">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58C47EE8">
      <w:pPr>
        <w:spacing w:line="400" w:lineRule="exact"/>
        <w:rPr>
          <w:rFonts w:ascii="宋体" w:hAnsi="宋体"/>
          <w:sz w:val="24"/>
        </w:rPr>
      </w:pPr>
    </w:p>
    <w:p w14:paraId="0F31EB20">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1030624">
      <w:pPr>
        <w:spacing w:line="440" w:lineRule="exact"/>
        <w:ind w:firstLine="240" w:firstLineChars="100"/>
        <w:rPr>
          <w:rFonts w:ascii="宋体" w:hAnsi="宋体"/>
          <w:sz w:val="24"/>
          <w:u w:val="single"/>
        </w:rPr>
      </w:pPr>
      <w:r>
        <w:rPr>
          <w:rFonts w:hint="eastAsia" w:ascii="宋体" w:hAnsi="宋体"/>
          <w:sz w:val="24"/>
        </w:rPr>
        <w:t>地    址：.邮政编码：.</w:t>
      </w:r>
    </w:p>
    <w:p w14:paraId="627A66C4">
      <w:pPr>
        <w:spacing w:line="440" w:lineRule="exact"/>
        <w:rPr>
          <w:rFonts w:ascii="宋体" w:hAnsi="宋体"/>
          <w:sz w:val="24"/>
          <w:u w:val="single"/>
        </w:rPr>
      </w:pPr>
      <w:r>
        <w:rPr>
          <w:rFonts w:hint="eastAsia" w:ascii="宋体" w:hAnsi="宋体"/>
          <w:sz w:val="24"/>
        </w:rPr>
        <w:t xml:space="preserve">  代表姓名：.职    务：.</w:t>
      </w:r>
    </w:p>
    <w:p w14:paraId="7EC8BC61">
      <w:pPr>
        <w:spacing w:line="560" w:lineRule="exact"/>
        <w:ind w:firstLine="280" w:firstLineChars="100"/>
        <w:rPr>
          <w:rFonts w:ascii="宋体" w:hAnsi="宋体"/>
          <w:sz w:val="28"/>
          <w:szCs w:val="28"/>
        </w:rPr>
      </w:pPr>
      <w:r>
        <w:rPr>
          <w:rFonts w:hint="eastAsia" w:ascii="宋体" w:hAnsi="宋体"/>
          <w:sz w:val="28"/>
          <w:szCs w:val="28"/>
        </w:rPr>
        <w:t>特此声明。</w:t>
      </w:r>
    </w:p>
    <w:p w14:paraId="558EE59B">
      <w:pPr>
        <w:spacing w:line="480" w:lineRule="exact"/>
        <w:rPr>
          <w:rFonts w:ascii="宋体" w:hAnsi="宋体"/>
          <w:sz w:val="32"/>
          <w:szCs w:val="32"/>
        </w:rPr>
      </w:pPr>
    </w:p>
    <w:p w14:paraId="4306743F">
      <w:pPr>
        <w:spacing w:line="480" w:lineRule="exact"/>
        <w:rPr>
          <w:rFonts w:ascii="宋体" w:hAnsi="宋体"/>
          <w:sz w:val="32"/>
          <w:szCs w:val="32"/>
        </w:rPr>
      </w:pPr>
    </w:p>
    <w:p w14:paraId="2528316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8616C8D">
      <w:pPr>
        <w:spacing w:line="400" w:lineRule="exact"/>
        <w:rPr>
          <w:rFonts w:ascii="宋体" w:hAnsi="宋体"/>
          <w:sz w:val="32"/>
          <w:szCs w:val="32"/>
        </w:rPr>
      </w:pPr>
    </w:p>
    <w:p w14:paraId="586B4319">
      <w:pPr>
        <w:spacing w:line="400" w:lineRule="exact"/>
        <w:rPr>
          <w:rFonts w:ascii="宋体" w:hAnsi="宋体"/>
          <w:sz w:val="32"/>
          <w:szCs w:val="32"/>
        </w:rPr>
      </w:pPr>
      <w:r>
        <w:rPr>
          <w:rFonts w:hint="eastAsia" w:ascii="宋体" w:hAnsi="宋体"/>
          <w:sz w:val="32"/>
          <w:szCs w:val="32"/>
        </w:rPr>
        <w:t>报价人单位（盖章）：</w:t>
      </w:r>
    </w:p>
    <w:p w14:paraId="2272D1B6">
      <w:pPr>
        <w:spacing w:line="400" w:lineRule="exact"/>
        <w:rPr>
          <w:rFonts w:ascii="宋体" w:hAnsi="宋体"/>
          <w:sz w:val="32"/>
          <w:szCs w:val="32"/>
        </w:rPr>
      </w:pPr>
    </w:p>
    <w:p w14:paraId="55C19FCA">
      <w:pPr>
        <w:spacing w:line="400" w:lineRule="exact"/>
        <w:rPr>
          <w:rFonts w:ascii="宋体" w:hAnsi="宋体"/>
          <w:sz w:val="32"/>
          <w:szCs w:val="32"/>
        </w:rPr>
      </w:pPr>
      <w:r>
        <w:rPr>
          <w:rFonts w:hint="eastAsia" w:ascii="宋体" w:hAnsi="宋体"/>
          <w:sz w:val="32"/>
          <w:szCs w:val="32"/>
        </w:rPr>
        <w:t xml:space="preserve">                                    年  月  日</w:t>
      </w:r>
    </w:p>
    <w:p w14:paraId="3249D161">
      <w:pPr>
        <w:spacing w:line="320" w:lineRule="exact"/>
        <w:jc w:val="center"/>
        <w:rPr>
          <w:rFonts w:ascii="宋体" w:hAnsi="宋体"/>
          <w:b/>
          <w:sz w:val="28"/>
          <w:szCs w:val="28"/>
        </w:rPr>
      </w:pPr>
    </w:p>
    <w:p w14:paraId="1F57AD93">
      <w:pPr>
        <w:spacing w:line="320" w:lineRule="exact"/>
        <w:jc w:val="center"/>
        <w:rPr>
          <w:rFonts w:ascii="宋体" w:hAnsi="宋体"/>
          <w:b/>
          <w:sz w:val="28"/>
          <w:szCs w:val="28"/>
        </w:rPr>
      </w:pPr>
    </w:p>
    <w:p w14:paraId="4BDF6729">
      <w:pPr>
        <w:rPr>
          <w:rFonts w:ascii="宋体" w:hAnsi="宋体"/>
          <w:b/>
          <w:sz w:val="44"/>
          <w:szCs w:val="44"/>
        </w:rPr>
      </w:pPr>
      <w:r>
        <w:rPr>
          <w:rFonts w:hint="eastAsia" w:ascii="宋体" w:hAnsi="宋体"/>
          <w:b/>
          <w:sz w:val="44"/>
          <w:szCs w:val="44"/>
        </w:rPr>
        <w:br w:type="page"/>
      </w:r>
    </w:p>
    <w:p w14:paraId="3B4EFDD0">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0FB6E762">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FE7506-01D5-4C56-BA61-AE5C48FCF509}"/>
  </w:font>
  <w:font w:name="黑体">
    <w:panose1 w:val="02010609060101010101"/>
    <w:charset w:val="86"/>
    <w:family w:val="auto"/>
    <w:pitch w:val="default"/>
    <w:sig w:usb0="800002BF" w:usb1="38CF7CFA" w:usb2="00000016" w:usb3="00000000" w:csb0="00040001" w:csb1="00000000"/>
    <w:embedRegular r:id="rId2" w:fontKey="{C5CAEFDF-BECD-4FC3-83CB-E4E4663E36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6A15EBE9-BE84-46C3-AB28-B6DF1422C4BE}"/>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BA7A0F0E-AE4C-4316-8645-DDD33C470023}"/>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3D18ECF8-8434-40B3-ADCF-D95BEFD98FCE}"/>
  </w:font>
  <w:font w:name="方正小标宋_GBK">
    <w:panose1 w:val="02000000000000000000"/>
    <w:charset w:val="86"/>
    <w:family w:val="auto"/>
    <w:pitch w:val="default"/>
    <w:sig w:usb0="A00002BF" w:usb1="38CF7CFA" w:usb2="00082016" w:usb3="00000000" w:csb0="00040001" w:csb1="00000000"/>
    <w:embedRegular r:id="rId6" w:fontKey="{9C1C25FE-72C7-44FF-88E9-93E6F1B5A51C}"/>
  </w:font>
  <w:font w:name="楷体_GB2312">
    <w:panose1 w:val="02010609030101010101"/>
    <w:charset w:val="86"/>
    <w:family w:val="modern"/>
    <w:pitch w:val="default"/>
    <w:sig w:usb0="00000001" w:usb1="080E0000" w:usb2="00000000" w:usb3="00000000" w:csb0="00040000" w:csb1="00000000"/>
    <w:embedRegular r:id="rId7" w:fontKey="{D56F6861-5FBF-4C97-A76E-B0E9AF47C207}"/>
  </w:font>
  <w:font w:name="楷体">
    <w:panose1 w:val="02010609060101010101"/>
    <w:charset w:val="86"/>
    <w:family w:val="auto"/>
    <w:pitch w:val="default"/>
    <w:sig w:usb0="800002BF" w:usb1="38CF7CFA" w:usb2="00000016" w:usb3="00000000" w:csb0="00040001" w:csb1="00000000"/>
    <w:embedRegular r:id="rId8" w:fontKey="{3C410822-2E1B-47B0-BE68-844C02B91C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FE1">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FCCBED">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679C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2679C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1785">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8EB0048">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D73E">
    <w:pPr>
      <w:pStyle w:val="16"/>
      <w:ind w:right="360"/>
      <w:rPr>
        <w:u w:val="single"/>
      </w:rPr>
    </w:pPr>
  </w:p>
  <w:p w14:paraId="375423F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2001">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157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13884">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0C87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0C87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E91F1F3E"/>
    <w:multiLevelType w:val="singleLevel"/>
    <w:tmpl w:val="E91F1F3E"/>
    <w:lvl w:ilvl="0" w:tentative="0">
      <w:start w:val="7"/>
      <w:numFmt w:val="chineseCounting"/>
      <w:suff w:val="nothing"/>
      <w:lvlText w:val="%1、"/>
      <w:lvlJc w:val="left"/>
      <w:rPr>
        <w:rFonts w:hint="eastAsia"/>
      </w:rPr>
    </w:lvl>
  </w:abstractNum>
  <w:abstractNum w:abstractNumId="2">
    <w:nsid w:val="ED200B1E"/>
    <w:multiLevelType w:val="singleLevel"/>
    <w:tmpl w:val="ED200B1E"/>
    <w:lvl w:ilvl="0" w:tentative="0">
      <w:start w:val="1"/>
      <w:numFmt w:val="decimal"/>
      <w:suff w:val="nothing"/>
      <w:lvlText w:val="%1、"/>
      <w:lvlJc w:val="left"/>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1"/>
  </w:num>
  <w:num w:numId="4">
    <w:abstractNumId w:val="2"/>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C7942"/>
    <w:rsid w:val="029C7941"/>
    <w:rsid w:val="0338148D"/>
    <w:rsid w:val="03AD1858"/>
    <w:rsid w:val="03D568F0"/>
    <w:rsid w:val="05940418"/>
    <w:rsid w:val="07654F6A"/>
    <w:rsid w:val="079E325C"/>
    <w:rsid w:val="0A2F4D76"/>
    <w:rsid w:val="0AD762EB"/>
    <w:rsid w:val="0BEE41F8"/>
    <w:rsid w:val="0D0015C5"/>
    <w:rsid w:val="0DAD47A4"/>
    <w:rsid w:val="0E6949B3"/>
    <w:rsid w:val="0F666038"/>
    <w:rsid w:val="0FEF4AD0"/>
    <w:rsid w:val="1043594D"/>
    <w:rsid w:val="111231F5"/>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A4B386F"/>
    <w:rsid w:val="2E2429AD"/>
    <w:rsid w:val="2E7F096C"/>
    <w:rsid w:val="2E950643"/>
    <w:rsid w:val="300C4563"/>
    <w:rsid w:val="305B2BFC"/>
    <w:rsid w:val="311763F2"/>
    <w:rsid w:val="3237724D"/>
    <w:rsid w:val="32C61B83"/>
    <w:rsid w:val="344B05CF"/>
    <w:rsid w:val="34683033"/>
    <w:rsid w:val="35B77661"/>
    <w:rsid w:val="36583023"/>
    <w:rsid w:val="3713274F"/>
    <w:rsid w:val="38946691"/>
    <w:rsid w:val="39A6093D"/>
    <w:rsid w:val="3BF75747"/>
    <w:rsid w:val="3D832EB5"/>
    <w:rsid w:val="3EB43B95"/>
    <w:rsid w:val="3F0535D6"/>
    <w:rsid w:val="401A05CF"/>
    <w:rsid w:val="40652603"/>
    <w:rsid w:val="40B3516B"/>
    <w:rsid w:val="40DA4525"/>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1B7234C"/>
    <w:rsid w:val="61D523D7"/>
    <w:rsid w:val="62437726"/>
    <w:rsid w:val="628F0A4F"/>
    <w:rsid w:val="6296560A"/>
    <w:rsid w:val="62D60C04"/>
    <w:rsid w:val="62DB6DB3"/>
    <w:rsid w:val="63065FF8"/>
    <w:rsid w:val="63550335"/>
    <w:rsid w:val="66E106AE"/>
    <w:rsid w:val="68742FE5"/>
    <w:rsid w:val="697C1D6F"/>
    <w:rsid w:val="6A80153E"/>
    <w:rsid w:val="6F544E68"/>
    <w:rsid w:val="719242C5"/>
    <w:rsid w:val="72B62304"/>
    <w:rsid w:val="742D0AEA"/>
    <w:rsid w:val="750157C1"/>
    <w:rsid w:val="77F228DE"/>
    <w:rsid w:val="78851ED1"/>
    <w:rsid w:val="79C61CFF"/>
    <w:rsid w:val="7DBD7DE5"/>
    <w:rsid w:val="7E5E5B51"/>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link w:val="65"/>
    <w:qFormat/>
    <w:uiPriority w:val="0"/>
    <w:pPr>
      <w:spacing w:line="280" w:lineRule="exact"/>
      <w:jc w:val="left"/>
    </w:pPr>
    <w:rPr>
      <w:sz w:val="24"/>
    </w:rPr>
  </w:style>
  <w:style w:type="paragraph" w:styleId="9">
    <w:name w:val="Body Text Indent"/>
    <w:basedOn w:val="1"/>
    <w:link w:val="56"/>
    <w:qFormat/>
    <w:uiPriority w:val="0"/>
    <w:pPr>
      <w:ind w:firstLine="570"/>
    </w:pPr>
    <w:rPr>
      <w:rFonts w:ascii="宋体" w:hAnsi="宋体"/>
      <w:kern w:val="0"/>
      <w:sz w:val="24"/>
    </w:rPr>
  </w:style>
  <w:style w:type="paragraph" w:styleId="10">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1">
    <w:name w:val="toc 3"/>
    <w:basedOn w:val="1"/>
    <w:next w:val="1"/>
    <w:qFormat/>
    <w:uiPriority w:val="39"/>
    <w:pPr>
      <w:ind w:left="840" w:leftChars="400"/>
    </w:pPr>
  </w:style>
  <w:style w:type="paragraph" w:styleId="12">
    <w:name w:val="Plain Text"/>
    <w:basedOn w:val="1"/>
    <w:link w:val="43"/>
    <w:qFormat/>
    <w:uiPriority w:val="0"/>
    <w:rPr>
      <w:rFonts w:ascii="宋体" w:hAnsi="Courier New"/>
      <w:kern w:val="0"/>
      <w:sz w:val="20"/>
    </w:rPr>
  </w:style>
  <w:style w:type="paragraph" w:styleId="13">
    <w:name w:val="Date"/>
    <w:basedOn w:val="1"/>
    <w:next w:val="1"/>
    <w:link w:val="40"/>
    <w:qFormat/>
    <w:uiPriority w:val="0"/>
    <w:pPr>
      <w:ind w:left="100" w:leftChars="2500"/>
    </w:pPr>
    <w:rPr>
      <w:kern w:val="0"/>
      <w:sz w:val="28"/>
    </w:rPr>
  </w:style>
  <w:style w:type="paragraph" w:styleId="14">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5">
    <w:name w:val="Balloon Text"/>
    <w:basedOn w:val="1"/>
    <w:link w:val="42"/>
    <w:semiHidden/>
    <w:qFormat/>
    <w:uiPriority w:val="0"/>
    <w:pPr>
      <w:adjustRightInd w:val="0"/>
      <w:snapToGrid w:val="0"/>
    </w:pPr>
    <w:rPr>
      <w:sz w:val="28"/>
      <w:szCs w:val="18"/>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1"/>
    <w:qFormat/>
    <w:uiPriority w:val="0"/>
    <w:pPr>
      <w:snapToGrid w:val="0"/>
      <w:jc w:val="left"/>
    </w:pPr>
    <w:rPr>
      <w:kern w:val="0"/>
      <w:sz w:val="18"/>
      <w:szCs w:val="18"/>
    </w:rPr>
  </w:style>
  <w:style w:type="paragraph" w:styleId="23">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Body Text 2"/>
    <w:basedOn w:val="1"/>
    <w:qFormat/>
    <w:uiPriority w:val="99"/>
    <w:pPr>
      <w:widowControl w:val="0"/>
      <w:spacing w:line="240" w:lineRule="auto"/>
      <w:textAlignment w:val="auto"/>
    </w:pPr>
    <w:rPr>
      <w:rFonts w:ascii="仿宋_GB2312" w:hAnsi="仿宋_GB2312" w:eastAsia="仿宋_GB2312"/>
      <w:color w:val="auto"/>
      <w:kern w:val="1"/>
      <w:sz w:val="32"/>
    </w:r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1"/>
    <w:qFormat/>
    <w:uiPriority w:val="0"/>
    <w:rPr>
      <w:rFonts w:ascii="Cambria" w:hAnsi="Cambria" w:eastAsia="宋体" w:cs="Times New Roman"/>
      <w:b/>
      <w:bCs/>
      <w:kern w:val="28"/>
      <w:sz w:val="32"/>
      <w:szCs w:val="32"/>
    </w:rPr>
  </w:style>
  <w:style w:type="character" w:customStyle="1" w:styleId="40">
    <w:name w:val="日期 Char"/>
    <w:link w:val="13"/>
    <w:qFormat/>
    <w:uiPriority w:val="0"/>
    <w:rPr>
      <w:rFonts w:ascii="Times New Roman" w:hAnsi="Times New Roman" w:eastAsia="宋体" w:cs="Times New Roman"/>
      <w:sz w:val="28"/>
      <w:szCs w:val="24"/>
    </w:rPr>
  </w:style>
  <w:style w:type="character" w:customStyle="1" w:styleId="41">
    <w:name w:val="脚注文本 Char"/>
    <w:link w:val="22"/>
    <w:qFormat/>
    <w:uiPriority w:val="0"/>
    <w:rPr>
      <w:rFonts w:ascii="Times New Roman" w:hAnsi="Times New Roman" w:eastAsia="宋体" w:cs="Times New Roman"/>
      <w:sz w:val="18"/>
      <w:szCs w:val="18"/>
    </w:rPr>
  </w:style>
  <w:style w:type="character" w:customStyle="1" w:styleId="42">
    <w:name w:val="批注框文本 Char"/>
    <w:link w:val="15"/>
    <w:semiHidden/>
    <w:qFormat/>
    <w:uiPriority w:val="0"/>
    <w:rPr>
      <w:rFonts w:ascii="Times New Roman" w:hAnsi="Times New Roman"/>
      <w:kern w:val="2"/>
      <w:sz w:val="28"/>
      <w:szCs w:val="18"/>
    </w:rPr>
  </w:style>
  <w:style w:type="character" w:customStyle="1" w:styleId="43">
    <w:name w:val="纯文本 Char"/>
    <w:link w:val="12"/>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3"/>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7"/>
    <w:link w:val="50"/>
    <w:qFormat/>
    <w:uiPriority w:val="0"/>
    <w:pPr>
      <w:pBdr>
        <w:bottom w:val="none" w:color="auto" w:sz="0" w:space="0"/>
      </w:pBdr>
      <w:jc w:val="both"/>
    </w:pPr>
  </w:style>
  <w:style w:type="character" w:customStyle="1" w:styleId="52">
    <w:name w:val="页眉 Char"/>
    <w:link w:val="17"/>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9"/>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4"/>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3">
    <w:name w:val="p0"/>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4769</Words>
  <Characters>4992</Characters>
  <Lines>72</Lines>
  <Paragraphs>20</Paragraphs>
  <TotalTime>4</TotalTime>
  <ScaleCrop>false</ScaleCrop>
  <LinksUpToDate>false</LinksUpToDate>
  <CharactersWithSpaces>5038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罗国华(20171061)</cp:lastModifiedBy>
  <cp:lastPrinted>2022-01-21T10:35:00Z</cp:lastPrinted>
  <dcterms:modified xsi:type="dcterms:W3CDTF">2026-06-11T08:17:34Z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2B8204CC43644282B4D0ECBA9572F3C1_13</vt:lpwstr>
  </property>
  <property fmtid="{D5CDD505-2E9C-101B-9397-08002B2CF9AE}" pid="4" name="KSOTemplateDocerSaveRecord">
    <vt:lpwstr>eyJoZGlkIjoiNzE2NTY3MWI1MzY0MjgwODQ5YjYzZDkzNWQ0NWJhMjUiLCJ1c2VySWQiOiI0NjE5MDk5MjEifQ==</vt:lpwstr>
  </property>
</Properties>
</file>