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马克思主义学院传播</w:t>
      </w:r>
      <w:r>
        <w:rPr>
          <w:rFonts w:hint="eastAsia" w:ascii="宋体" w:hAnsi="宋体"/>
          <w:b/>
          <w:sz w:val="36"/>
          <w:u w:val="single"/>
          <w:lang w:val="en-US" w:eastAsia="zh-CN"/>
        </w:rPr>
        <w:t>服务采购</w:t>
      </w:r>
      <w:r>
        <w:rPr>
          <w:rFonts w:hint="eastAsia" w:ascii="宋体" w:hAnsi="宋体"/>
          <w:b/>
          <w:sz w:val="36"/>
          <w:u w:val="single"/>
        </w:rPr>
        <w:t xml:space="preserve">项目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广东财经大学马克思主义学院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2024</w:t>
      </w:r>
      <w:r>
        <w:rPr>
          <w:rFonts w:hint="eastAsia" w:ascii="宋体" w:hAnsi="宋体"/>
          <w:b/>
          <w:sz w:val="36"/>
          <w:u w:val="single"/>
        </w:rPr>
        <w:t>年</w:t>
      </w:r>
      <w:r>
        <w:rPr>
          <w:rFonts w:hint="eastAsia" w:ascii="宋体" w:hAnsi="宋体"/>
          <w:b/>
          <w:sz w:val="36"/>
          <w:u w:val="single"/>
          <w:lang w:val="en-US" w:eastAsia="zh-CN"/>
        </w:rPr>
        <w:t>5</w:t>
      </w:r>
      <w:r>
        <w:rPr>
          <w:rFonts w:hint="eastAsia" w:ascii="宋体" w:hAnsi="宋体"/>
          <w:b/>
          <w:sz w:val="36"/>
          <w:u w:val="single"/>
        </w:rPr>
        <w:t>月</w:t>
      </w:r>
      <w:r>
        <w:rPr>
          <w:rFonts w:hint="eastAsia" w:ascii="宋体" w:hAnsi="宋体"/>
          <w:b/>
          <w:sz w:val="36"/>
          <w:u w:val="single"/>
          <w:lang w:val="en-US" w:eastAsia="zh-CN"/>
        </w:rPr>
        <w:t>27</w:t>
      </w:r>
      <w:r>
        <w:rPr>
          <w:rFonts w:hint="eastAsia" w:ascii="宋体" w:hAnsi="宋体"/>
          <w:b/>
          <w:sz w:val="36"/>
          <w:u w:val="single"/>
        </w:rPr>
        <w:t xml:space="preserve">日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508103350"/>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ascii="宋体" w:hAnsi="宋体"/>
          <w:sz w:val="28"/>
          <w:szCs w:val="28"/>
        </w:rPr>
      </w:pPr>
      <w:r>
        <w:rPr>
          <w:rFonts w:hint="eastAsia" w:ascii="宋体" w:hAnsi="宋体"/>
          <w:sz w:val="28"/>
          <w:szCs w:val="28"/>
        </w:rPr>
        <w:t>为落实立德树人根本任务，坚持用习近平新时代中国特色社会主义思想铸魂育人，强化问题意识、突出实践导向，以推动“大思政课”建设为抓手，打造“大课堂”、搭建“大平台”、整合“大师资”，不断深化思政课改革创新，充分发挥好关键课程作用，努力培养堪当民族复兴重任的时代新人。</w:t>
      </w:r>
    </w:p>
    <w:p>
      <w:pPr>
        <w:spacing w:line="560" w:lineRule="exact"/>
        <w:ind w:firstLine="560" w:firstLineChars="200"/>
        <w:rPr>
          <w:rFonts w:ascii="宋体" w:hAnsi="宋体"/>
          <w:sz w:val="28"/>
          <w:szCs w:val="28"/>
        </w:rPr>
      </w:pPr>
      <w:r>
        <w:rPr>
          <w:rFonts w:hint="eastAsia" w:ascii="宋体" w:hAnsi="宋体"/>
          <w:sz w:val="28"/>
          <w:szCs w:val="28"/>
        </w:rPr>
        <w:t>我校计划与市一级党报进行合作，以“新思想 学思悟”为主题和形式，在市一级党报报纸平台和新媒体平台，刊登我校师生的优秀文章作品和观点评论，进一步推进我校马克思主义学院的传播力和影响力。</w:t>
      </w:r>
    </w:p>
    <w:p>
      <w:pPr>
        <w:spacing w:line="560" w:lineRule="exact"/>
        <w:ind w:firstLine="560" w:firstLineChars="200"/>
        <w:rPr>
          <w:rFonts w:ascii="宋体" w:hAnsi="宋体"/>
          <w:sz w:val="28"/>
          <w:szCs w:val="28"/>
        </w:rPr>
      </w:pPr>
      <w:r>
        <w:rPr>
          <w:rFonts w:hint="eastAsia" w:ascii="宋体" w:hAnsi="宋体"/>
          <w:sz w:val="28"/>
          <w:szCs w:val="28"/>
        </w:rPr>
        <w:t>本项目采购预算控制价9.9</w:t>
      </w:r>
      <w:r>
        <w:rPr>
          <w:rFonts w:hint="eastAsia" w:ascii="宋体" w:hAnsi="宋体"/>
          <w:sz w:val="28"/>
          <w:szCs w:val="28"/>
          <w:lang w:val="en-US" w:eastAsia="zh-CN"/>
        </w:rPr>
        <w:t>9</w:t>
      </w:r>
      <w:r>
        <w:rPr>
          <w:rFonts w:hint="eastAsia" w:ascii="宋体" w:hAnsi="宋体"/>
          <w:sz w:val="28"/>
          <w:szCs w:val="28"/>
        </w:rPr>
        <w:t>万元，</w:t>
      </w:r>
      <w:r>
        <w:rPr>
          <w:rFonts w:ascii="宋体" w:hAnsi="宋体"/>
          <w:sz w:val="28"/>
          <w:szCs w:val="28"/>
        </w:rPr>
        <w:t>资金已到位。</w:t>
      </w:r>
    </w:p>
    <w:p>
      <w:pPr>
        <w:pStyle w:val="3"/>
        <w:spacing w:line="560" w:lineRule="exact"/>
      </w:pPr>
      <w:bookmarkStart w:id="7" w:name="_Toc508103352"/>
      <w:bookmarkStart w:id="8" w:name="_Toc60236699"/>
      <w:bookmarkStart w:id="9" w:name="_Toc2882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20873"/>
      <w:bookmarkStart w:id="14" w:name="_Toc60236701"/>
      <w:bookmarkStart w:id="15" w:name="_Toc508103354"/>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508103355"/>
      <w:bookmarkStart w:id="17" w:name="_Toc60236702"/>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sz w:val="28"/>
          <w:szCs w:val="28"/>
          <w:u w:val="single"/>
        </w:rPr>
        <w:t>（二）</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11"/>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pPr>
            <w:r>
              <w:rPr>
                <w:rFonts w:hint="eastAsia"/>
              </w:rPr>
              <w:t>报价</w:t>
            </w:r>
          </w:p>
          <w:p>
            <w:pPr>
              <w:jc w:val="center"/>
            </w:pPr>
            <w:r>
              <w:rPr>
                <w:rFonts w:hint="eastAsia"/>
              </w:rPr>
              <w:t>（采用低价优先法）</w:t>
            </w:r>
          </w:p>
        </w:tc>
        <w:tc>
          <w:tcPr>
            <w:tcW w:w="1080" w:type="dxa"/>
            <w:noWrap/>
            <w:vAlign w:val="center"/>
          </w:tcPr>
          <w:p>
            <w:pPr>
              <w:jc w:val="center"/>
            </w:pPr>
            <w:r>
              <w:rPr>
                <w:rFonts w:hint="eastAsia"/>
              </w:rPr>
              <w:t>10</w:t>
            </w:r>
          </w:p>
        </w:tc>
        <w:tc>
          <w:tcPr>
            <w:tcW w:w="5400" w:type="dxa"/>
            <w:noWrap/>
            <w:vAlign w:val="center"/>
          </w:tcPr>
          <w:p>
            <w:pPr>
              <w:ind w:left="-2" w:leftChars="-1"/>
            </w:pPr>
            <w:r>
              <w:rPr>
                <w:rFonts w:hint="eastAsia"/>
              </w:rPr>
              <w:t>满足采购书要求且最终报价最低为评标基准价，其价格分为满分，其他报价人的价格分按以下公式计算：报价得分＝（评标基准价/最终报价）×10（取小数点后二位）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17"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811" w:type="dxa"/>
            <w:noWrap/>
            <w:vAlign w:val="center"/>
          </w:tcPr>
          <w:p>
            <w:pPr>
              <w:jc w:val="center"/>
            </w:pPr>
            <w:r>
              <w:rPr>
                <w:rFonts w:hint="eastAsia"/>
              </w:rPr>
              <w:t>用户需求书响应情况</w:t>
            </w:r>
          </w:p>
        </w:tc>
        <w:tc>
          <w:tcPr>
            <w:tcW w:w="1080" w:type="dxa"/>
            <w:noWrap/>
            <w:vAlign w:val="center"/>
          </w:tcPr>
          <w:p>
            <w:pPr>
              <w:jc w:val="center"/>
            </w:pPr>
            <w:r>
              <w:rPr>
                <w:rFonts w:hint="eastAsia"/>
              </w:rPr>
              <w:t>8</w:t>
            </w:r>
          </w:p>
        </w:tc>
        <w:tc>
          <w:tcPr>
            <w:tcW w:w="5400" w:type="dxa"/>
            <w:noWrap/>
            <w:vAlign w:val="center"/>
          </w:tcPr>
          <w:p>
            <w:pPr>
              <w:rPr>
                <w:szCs w:val="21"/>
              </w:rPr>
            </w:pPr>
            <w:r>
              <w:rPr>
                <w:rFonts w:hint="eastAsia"/>
                <w:szCs w:val="21"/>
              </w:rPr>
              <w:t>对用户需求书中各项条款响应清晰，有正偏离或全部无偏离的，得8分；</w:t>
            </w:r>
          </w:p>
          <w:p>
            <w:pPr>
              <w:rPr>
                <w:szCs w:val="21"/>
              </w:rPr>
            </w:pPr>
            <w:r>
              <w:rPr>
                <w:rFonts w:hint="eastAsia"/>
                <w:szCs w:val="21"/>
              </w:rPr>
              <w:t>响应用户需求书条款时，条款响应不清晰或条款响应有缺项漏项的或有负偏离的，得5分。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17" w:type="dxa"/>
            <w:vMerge w:val="continue"/>
            <w:noWrap/>
            <w:textDirection w:val="tbRlV"/>
            <w:vAlign w:val="center"/>
          </w:tcPr>
          <w:p>
            <w:pPr>
              <w:ind w:left="113" w:right="113"/>
              <w:jc w:val="center"/>
              <w:rPr>
                <w:color w:val="000000"/>
              </w:rPr>
            </w:pPr>
          </w:p>
        </w:tc>
        <w:tc>
          <w:tcPr>
            <w:tcW w:w="1811" w:type="dxa"/>
            <w:noWrap/>
            <w:vAlign w:val="center"/>
          </w:tcPr>
          <w:p>
            <w:pPr>
              <w:jc w:val="center"/>
            </w:pPr>
            <w:r>
              <w:rPr>
                <w:rFonts w:hint="eastAsia"/>
              </w:rPr>
              <w:t>服务方案</w:t>
            </w:r>
          </w:p>
        </w:tc>
        <w:tc>
          <w:tcPr>
            <w:tcW w:w="1080" w:type="dxa"/>
            <w:noWrap/>
            <w:vAlign w:val="center"/>
          </w:tcPr>
          <w:p>
            <w:pPr>
              <w:jc w:val="center"/>
            </w:pPr>
            <w:r>
              <w:rPr>
                <w:rFonts w:hint="eastAsia"/>
              </w:rPr>
              <w:t>15</w:t>
            </w:r>
          </w:p>
        </w:tc>
        <w:tc>
          <w:tcPr>
            <w:tcW w:w="5400" w:type="dxa"/>
            <w:noWrap/>
            <w:vAlign w:val="center"/>
          </w:tcPr>
          <w:p>
            <w:pPr>
              <w:rPr>
                <w:szCs w:val="21"/>
              </w:rPr>
            </w:pPr>
            <w:r>
              <w:rPr>
                <w:rFonts w:hint="eastAsia"/>
                <w:szCs w:val="21"/>
              </w:rPr>
              <w:t>优：投标人整体方案设计的先进性、合理性、完整性、可行性高，得15分；</w:t>
            </w:r>
          </w:p>
          <w:p>
            <w:pPr>
              <w:rPr>
                <w:szCs w:val="21"/>
              </w:rPr>
            </w:pPr>
            <w:r>
              <w:rPr>
                <w:rFonts w:hint="eastAsia"/>
                <w:szCs w:val="21"/>
              </w:rPr>
              <w:t>良：投标人整体方案设计的先进性、合理性、完整性、可行性较高，得10分；</w:t>
            </w:r>
          </w:p>
          <w:p>
            <w:pPr>
              <w:rPr>
                <w:szCs w:val="21"/>
              </w:rPr>
            </w:pPr>
            <w:r>
              <w:rPr>
                <w:rFonts w:hint="eastAsia"/>
                <w:szCs w:val="21"/>
              </w:rPr>
              <w:t>一般：投标人整体方案设计的先进性、合理性、完整性、可行性一般，得5分。</w:t>
            </w:r>
          </w:p>
          <w:p>
            <w:pPr>
              <w:rPr>
                <w:szCs w:val="21"/>
              </w:rPr>
            </w:pPr>
            <w:r>
              <w:rPr>
                <w:rFonts w:hint="eastAsia"/>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17" w:type="dxa"/>
            <w:vMerge w:val="continue"/>
            <w:noWrap/>
            <w:textDirection w:val="tbRlV"/>
            <w:vAlign w:val="center"/>
          </w:tcPr>
          <w:p>
            <w:pPr>
              <w:ind w:left="113" w:right="113"/>
              <w:jc w:val="center"/>
              <w:rPr>
                <w:color w:val="000000"/>
              </w:rPr>
            </w:pPr>
          </w:p>
        </w:tc>
        <w:tc>
          <w:tcPr>
            <w:tcW w:w="1811" w:type="dxa"/>
            <w:noWrap/>
            <w:vAlign w:val="center"/>
          </w:tcPr>
          <w:p>
            <w:pPr>
              <w:jc w:val="center"/>
            </w:pPr>
            <w:r>
              <w:rPr>
                <w:rFonts w:hint="eastAsia"/>
              </w:rPr>
              <w:t>服务实力</w:t>
            </w:r>
          </w:p>
        </w:tc>
        <w:tc>
          <w:tcPr>
            <w:tcW w:w="1080" w:type="dxa"/>
            <w:noWrap/>
            <w:vAlign w:val="center"/>
          </w:tcPr>
          <w:p>
            <w:pPr>
              <w:jc w:val="center"/>
            </w:pPr>
            <w:r>
              <w:rPr>
                <w:rFonts w:hint="eastAsia"/>
              </w:rPr>
              <w:t>8</w:t>
            </w:r>
          </w:p>
        </w:tc>
        <w:tc>
          <w:tcPr>
            <w:tcW w:w="5400" w:type="dxa"/>
            <w:noWrap/>
            <w:vAlign w:val="center"/>
          </w:tcPr>
          <w:p>
            <w:pPr>
              <w:rPr>
                <w:szCs w:val="21"/>
              </w:rPr>
            </w:pPr>
            <w:r>
              <w:rPr>
                <w:rFonts w:hint="eastAsia"/>
                <w:szCs w:val="21"/>
              </w:rPr>
              <w:t>根据投标人提供的承接本项目优势情况介绍、服务实力情况进行评审：</w:t>
            </w:r>
          </w:p>
          <w:p>
            <w:pPr>
              <w:rPr>
                <w:szCs w:val="21"/>
              </w:rPr>
            </w:pPr>
            <w:r>
              <w:rPr>
                <w:rFonts w:hint="eastAsia"/>
                <w:szCs w:val="21"/>
              </w:rPr>
              <w:t>投标人提供的资料全面、详细，服务实力强，得8分；</w:t>
            </w:r>
          </w:p>
          <w:p>
            <w:pPr>
              <w:rPr>
                <w:szCs w:val="21"/>
              </w:rPr>
            </w:pPr>
            <w:r>
              <w:rPr>
                <w:rFonts w:hint="eastAsia"/>
                <w:szCs w:val="21"/>
              </w:rPr>
              <w:t>投标人提供的资料较全面、较详细，服务实力强，得6分；</w:t>
            </w:r>
          </w:p>
          <w:p>
            <w:pPr>
              <w:rPr>
                <w:szCs w:val="21"/>
              </w:rPr>
            </w:pPr>
            <w:r>
              <w:rPr>
                <w:rFonts w:hint="eastAsia"/>
                <w:szCs w:val="21"/>
              </w:rPr>
              <w:t>投标人提供的资料不够全面、服务实力较差，得4分，</w:t>
            </w:r>
          </w:p>
          <w:p>
            <w:pPr>
              <w:rPr>
                <w:szCs w:val="21"/>
              </w:rPr>
            </w:pPr>
            <w:r>
              <w:rPr>
                <w:rFonts w:hint="eastAsia"/>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17" w:type="dxa"/>
            <w:vMerge w:val="continue"/>
            <w:noWrap/>
            <w:textDirection w:val="tbRlV"/>
            <w:vAlign w:val="center"/>
          </w:tcPr>
          <w:p>
            <w:pPr>
              <w:ind w:left="113" w:right="113"/>
              <w:jc w:val="center"/>
              <w:rPr>
                <w:color w:val="000000"/>
              </w:rPr>
            </w:pPr>
          </w:p>
        </w:tc>
        <w:tc>
          <w:tcPr>
            <w:tcW w:w="1811" w:type="dxa"/>
            <w:noWrap/>
            <w:vAlign w:val="center"/>
          </w:tcPr>
          <w:p>
            <w:pPr>
              <w:jc w:val="center"/>
            </w:pPr>
            <w:r>
              <w:rPr>
                <w:rFonts w:hint="eastAsia"/>
              </w:rPr>
              <w:t>服务制度保证</w:t>
            </w:r>
          </w:p>
        </w:tc>
        <w:tc>
          <w:tcPr>
            <w:tcW w:w="1080" w:type="dxa"/>
            <w:noWrap/>
            <w:vAlign w:val="center"/>
          </w:tcPr>
          <w:p>
            <w:pPr>
              <w:jc w:val="center"/>
            </w:pPr>
            <w:r>
              <w:rPr>
                <w:rFonts w:hint="eastAsia"/>
              </w:rPr>
              <w:t>9</w:t>
            </w:r>
          </w:p>
        </w:tc>
        <w:tc>
          <w:tcPr>
            <w:tcW w:w="5400" w:type="dxa"/>
            <w:noWrap/>
            <w:vAlign w:val="center"/>
          </w:tcPr>
          <w:p>
            <w:pPr>
              <w:rPr>
                <w:szCs w:val="21"/>
              </w:rPr>
            </w:pPr>
            <w:r>
              <w:rPr>
                <w:rFonts w:hint="eastAsia"/>
                <w:szCs w:val="21"/>
              </w:rPr>
              <w:t>服务制度保证完整规范、具体、详细、针对性强，得9分；</w:t>
            </w:r>
          </w:p>
          <w:p>
            <w:pPr>
              <w:rPr>
                <w:szCs w:val="21"/>
              </w:rPr>
            </w:pPr>
            <w:r>
              <w:rPr>
                <w:rFonts w:hint="eastAsia"/>
                <w:szCs w:val="21"/>
              </w:rPr>
              <w:t>服务制度保证较完整、较具体、具有一定针对性，得7分；</w:t>
            </w:r>
          </w:p>
          <w:p>
            <w:pPr>
              <w:rPr>
                <w:szCs w:val="21"/>
              </w:rPr>
            </w:pPr>
            <w:r>
              <w:rPr>
                <w:rFonts w:hint="eastAsia"/>
                <w:szCs w:val="21"/>
              </w:rPr>
              <w:t>服务制度保证较简单、针对性差，得5分；</w:t>
            </w:r>
          </w:p>
          <w:p>
            <w:pPr>
              <w:rPr>
                <w:szCs w:val="21"/>
              </w:rPr>
            </w:pPr>
            <w:r>
              <w:rPr>
                <w:rFonts w:hint="eastAsia"/>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17" w:type="dxa"/>
            <w:vMerge w:val="restart"/>
            <w:noWrap/>
            <w:textDirection w:val="tbRlV"/>
            <w:vAlign w:val="center"/>
          </w:tcPr>
          <w:p>
            <w:pPr>
              <w:ind w:left="113" w:leftChars="54" w:right="113" w:firstLine="525" w:firstLineChars="250"/>
              <w:jc w:val="center"/>
              <w:rPr>
                <w:color w:val="000000"/>
              </w:rPr>
            </w:pPr>
            <w:r>
              <w:rPr>
                <w:rFonts w:hint="eastAsia"/>
                <w:color w:val="000000"/>
              </w:rPr>
              <w:t>商务因素</w:t>
            </w:r>
          </w:p>
        </w:tc>
        <w:tc>
          <w:tcPr>
            <w:tcW w:w="1811" w:type="dxa"/>
            <w:noWrap/>
            <w:vAlign w:val="center"/>
          </w:tcPr>
          <w:p>
            <w:pPr>
              <w:jc w:val="center"/>
            </w:pPr>
            <w:r>
              <w:rPr>
                <w:rFonts w:hint="eastAsia"/>
              </w:rPr>
              <w:t>同类项目经验</w:t>
            </w:r>
          </w:p>
        </w:tc>
        <w:tc>
          <w:tcPr>
            <w:tcW w:w="1080" w:type="dxa"/>
            <w:noWrap/>
            <w:vAlign w:val="center"/>
          </w:tcPr>
          <w:p>
            <w:pPr>
              <w:jc w:val="center"/>
            </w:pPr>
            <w:r>
              <w:rPr>
                <w:rFonts w:hint="eastAsia"/>
              </w:rPr>
              <w:t>10</w:t>
            </w:r>
          </w:p>
        </w:tc>
        <w:tc>
          <w:tcPr>
            <w:tcW w:w="5400" w:type="dxa"/>
            <w:noWrap/>
            <w:vAlign w:val="center"/>
          </w:tcPr>
          <w:p>
            <w:pPr>
              <w:rPr>
                <w:szCs w:val="21"/>
              </w:rPr>
            </w:pPr>
            <w:r>
              <w:rPr>
                <w:rFonts w:hint="eastAsia"/>
                <w:szCs w:val="21"/>
              </w:rPr>
              <w:t>投标人2016年1月1日至今具有同类项目服务经验，每项得1分，最高10分。需提供合同复印件，不符合或不提供不得分。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7" w:type="dxa"/>
            <w:vMerge w:val="continue"/>
            <w:noWrap/>
            <w:textDirection w:val="tbRlV"/>
            <w:vAlign w:val="center"/>
          </w:tcPr>
          <w:p>
            <w:pPr>
              <w:ind w:left="113" w:right="113"/>
              <w:jc w:val="center"/>
              <w:rPr>
                <w:color w:val="000000"/>
              </w:rPr>
            </w:pPr>
          </w:p>
        </w:tc>
        <w:tc>
          <w:tcPr>
            <w:tcW w:w="1811" w:type="dxa"/>
            <w:noWrap/>
            <w:vAlign w:val="center"/>
          </w:tcPr>
          <w:p>
            <w:pPr>
              <w:jc w:val="center"/>
            </w:pPr>
            <w:r>
              <w:rPr>
                <w:rFonts w:hint="eastAsia"/>
              </w:rPr>
              <w:t>企业资质</w:t>
            </w:r>
          </w:p>
        </w:tc>
        <w:tc>
          <w:tcPr>
            <w:tcW w:w="1080" w:type="dxa"/>
            <w:noWrap/>
            <w:vAlign w:val="center"/>
          </w:tcPr>
          <w:p>
            <w:pPr>
              <w:jc w:val="center"/>
            </w:pPr>
            <w:r>
              <w:rPr>
                <w:rFonts w:hint="eastAsia"/>
              </w:rPr>
              <w:t>5</w:t>
            </w:r>
          </w:p>
        </w:tc>
        <w:tc>
          <w:tcPr>
            <w:tcW w:w="5400" w:type="dxa"/>
            <w:noWrap/>
            <w:vAlign w:val="center"/>
          </w:tcPr>
          <w:p>
            <w:pPr>
              <w:rPr>
                <w:szCs w:val="21"/>
              </w:rPr>
            </w:pPr>
            <w:r>
              <w:rPr>
                <w:rFonts w:hint="eastAsia"/>
                <w:szCs w:val="21"/>
              </w:rPr>
              <w:t>投标人具有报纸出版许可证的，得5分，不提供不得分。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noWrap/>
            <w:textDirection w:val="tbRlV"/>
            <w:vAlign w:val="center"/>
          </w:tcPr>
          <w:p>
            <w:pPr>
              <w:ind w:left="113" w:right="113"/>
              <w:jc w:val="center"/>
              <w:rPr>
                <w:color w:val="000000"/>
              </w:rPr>
            </w:pPr>
          </w:p>
        </w:tc>
        <w:tc>
          <w:tcPr>
            <w:tcW w:w="1811" w:type="dxa"/>
            <w:noWrap/>
            <w:vAlign w:val="center"/>
          </w:tcPr>
          <w:p>
            <w:pPr>
              <w:jc w:val="center"/>
            </w:pPr>
            <w:r>
              <w:rPr>
                <w:rFonts w:hint="eastAsia"/>
              </w:rPr>
              <w:t>供应商荣誉</w:t>
            </w:r>
          </w:p>
        </w:tc>
        <w:tc>
          <w:tcPr>
            <w:tcW w:w="1080" w:type="dxa"/>
            <w:noWrap/>
            <w:vAlign w:val="center"/>
          </w:tcPr>
          <w:p>
            <w:pPr>
              <w:jc w:val="center"/>
            </w:pPr>
            <w:r>
              <w:rPr>
                <w:rFonts w:hint="eastAsia"/>
              </w:rPr>
              <w:t>15</w:t>
            </w:r>
          </w:p>
        </w:tc>
        <w:tc>
          <w:tcPr>
            <w:tcW w:w="5400" w:type="dxa"/>
            <w:noWrap/>
            <w:vAlign w:val="center"/>
          </w:tcPr>
          <w:p>
            <w:r>
              <w:rPr>
                <w:rFonts w:hint="eastAsia"/>
                <w:szCs w:val="21"/>
              </w:rPr>
              <w:t>投标人具有有效的履约能力评价体系认证5A（或以上）证书、服务质量评价体系认证5A（或以上）证书，质量管理体系认证证书，每个证书得5分，最高15分。需提供相关证明文件复印件，不符合或不提供不得分。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noWrap/>
            <w:textDirection w:val="tbRlV"/>
            <w:vAlign w:val="center"/>
          </w:tcPr>
          <w:p>
            <w:pPr>
              <w:ind w:left="113" w:right="113"/>
              <w:jc w:val="center"/>
              <w:rPr>
                <w:color w:val="000000"/>
              </w:rPr>
            </w:pPr>
          </w:p>
        </w:tc>
        <w:tc>
          <w:tcPr>
            <w:tcW w:w="1811" w:type="dxa"/>
            <w:vMerge w:val="restart"/>
            <w:noWrap/>
            <w:vAlign w:val="center"/>
          </w:tcPr>
          <w:p>
            <w:pPr>
              <w:jc w:val="center"/>
            </w:pPr>
            <w:r>
              <w:rPr>
                <w:rFonts w:hint="eastAsia"/>
              </w:rPr>
              <w:t>拟派本项目人员情况</w:t>
            </w:r>
          </w:p>
        </w:tc>
        <w:tc>
          <w:tcPr>
            <w:tcW w:w="1080" w:type="dxa"/>
            <w:noWrap/>
            <w:vAlign w:val="center"/>
          </w:tcPr>
          <w:p>
            <w:pPr>
              <w:jc w:val="center"/>
            </w:pPr>
            <w:r>
              <w:rPr>
                <w:rFonts w:hint="eastAsia"/>
              </w:rPr>
              <w:t>5</w:t>
            </w:r>
          </w:p>
        </w:tc>
        <w:tc>
          <w:tcPr>
            <w:tcW w:w="5400" w:type="dxa"/>
            <w:noWrap/>
            <w:vAlign w:val="center"/>
          </w:tcPr>
          <w:p>
            <w:pPr>
              <w:rPr>
                <w:szCs w:val="21"/>
              </w:rPr>
            </w:pPr>
            <w:r>
              <w:rPr>
                <w:rFonts w:hint="eastAsia"/>
                <w:szCs w:val="21"/>
              </w:rPr>
              <w:t>根据投标人拟投入本项目服务团队成员的数量进行评分：</w:t>
            </w:r>
          </w:p>
          <w:p>
            <w:pPr>
              <w:rPr>
                <w:szCs w:val="21"/>
              </w:rPr>
            </w:pPr>
            <w:r>
              <w:rPr>
                <w:rFonts w:hint="eastAsia"/>
                <w:szCs w:val="21"/>
              </w:rPr>
              <w:t>8人或以上，得5分；</w:t>
            </w:r>
          </w:p>
          <w:p>
            <w:pPr>
              <w:rPr>
                <w:szCs w:val="21"/>
              </w:rPr>
            </w:pPr>
            <w:r>
              <w:rPr>
                <w:rFonts w:hint="eastAsia"/>
                <w:szCs w:val="21"/>
              </w:rPr>
              <w:t>5-7人，得3分；</w:t>
            </w:r>
          </w:p>
          <w:p>
            <w:pPr>
              <w:rPr>
                <w:szCs w:val="21"/>
              </w:rPr>
            </w:pPr>
            <w:r>
              <w:rPr>
                <w:rFonts w:hint="eastAsia"/>
                <w:szCs w:val="21"/>
              </w:rPr>
              <w:t>3-4人，得2分；</w:t>
            </w:r>
          </w:p>
          <w:p>
            <w:pPr>
              <w:rPr>
                <w:szCs w:val="21"/>
              </w:rPr>
            </w:pPr>
            <w:r>
              <w:rPr>
                <w:rFonts w:hint="eastAsia"/>
                <w:szCs w:val="21"/>
              </w:rPr>
              <w:t>1-2人，得1分。</w:t>
            </w:r>
          </w:p>
          <w:p>
            <w:pPr>
              <w:rPr>
                <w:szCs w:val="21"/>
              </w:rPr>
            </w:pPr>
            <w:r>
              <w:rPr>
                <w:rFonts w:hint="eastAsia"/>
                <w:szCs w:val="21"/>
              </w:rPr>
              <w:t>若拟投入本项目服务团队成员属于投标人在职人员，需提供人员在投标人单位购买社保的证明文件复印件；若拟投入本项目服务团队成员非投标人在职人员但存在合作关系的，需提供投标人与拟投入人员所在单位项目合作相关证明文件（合作期需包括本项目服务期限，格式自拟），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noWrap/>
            <w:textDirection w:val="tbRlV"/>
            <w:vAlign w:val="center"/>
          </w:tcPr>
          <w:p>
            <w:pPr>
              <w:ind w:left="113" w:right="113"/>
              <w:jc w:val="center"/>
              <w:rPr>
                <w:color w:val="000000"/>
              </w:rPr>
            </w:pPr>
          </w:p>
        </w:tc>
        <w:tc>
          <w:tcPr>
            <w:tcW w:w="1811" w:type="dxa"/>
            <w:vMerge w:val="continue"/>
            <w:noWrap/>
            <w:vAlign w:val="center"/>
          </w:tcPr>
          <w:p>
            <w:pPr>
              <w:jc w:val="center"/>
            </w:pPr>
          </w:p>
        </w:tc>
        <w:tc>
          <w:tcPr>
            <w:tcW w:w="1080" w:type="dxa"/>
            <w:noWrap/>
            <w:vAlign w:val="center"/>
          </w:tcPr>
          <w:p>
            <w:pPr>
              <w:jc w:val="center"/>
            </w:pPr>
            <w:r>
              <w:rPr>
                <w:rFonts w:hint="eastAsia"/>
              </w:rPr>
              <w:t>10</w:t>
            </w:r>
          </w:p>
        </w:tc>
        <w:tc>
          <w:tcPr>
            <w:tcW w:w="5400" w:type="dxa"/>
            <w:noWrap/>
            <w:vAlign w:val="center"/>
          </w:tcPr>
          <w:p>
            <w:pPr>
              <w:rPr>
                <w:szCs w:val="21"/>
              </w:rPr>
            </w:pPr>
            <w:r>
              <w:rPr>
                <w:rFonts w:hint="eastAsia"/>
                <w:szCs w:val="21"/>
              </w:rPr>
              <w:t>根据投标人投入本项目服务团队成员的能力进行评分：</w:t>
            </w:r>
          </w:p>
          <w:p>
            <w:pPr>
              <w:rPr>
                <w:szCs w:val="21"/>
              </w:rPr>
            </w:pPr>
            <w:r>
              <w:rPr>
                <w:rFonts w:hint="eastAsia"/>
                <w:szCs w:val="21"/>
              </w:rPr>
              <w:t>拟投入本项目服务团队成员的同类项目经验丰富、专业技术能力强、服务能力强，得10分；</w:t>
            </w:r>
          </w:p>
          <w:p>
            <w:pPr>
              <w:rPr>
                <w:szCs w:val="21"/>
              </w:rPr>
            </w:pPr>
            <w:r>
              <w:rPr>
                <w:rFonts w:hint="eastAsia"/>
                <w:szCs w:val="21"/>
              </w:rPr>
              <w:t>拟投入本项目服务团队成员的同类项目经验较丰富、专业技术能力较强、服务能力较强，得5分；</w:t>
            </w:r>
          </w:p>
          <w:p>
            <w:pPr>
              <w:rPr>
                <w:szCs w:val="21"/>
              </w:rPr>
            </w:pPr>
            <w:r>
              <w:rPr>
                <w:rFonts w:hint="eastAsia"/>
                <w:szCs w:val="21"/>
              </w:rPr>
              <w:t>拟投入本项目服务团队成员的同类项目经验较少、专业技术能力差、服务能力差，得3分；</w:t>
            </w:r>
          </w:p>
          <w:p>
            <w:pPr>
              <w:rPr>
                <w:szCs w:val="21"/>
              </w:rPr>
            </w:pPr>
            <w:r>
              <w:rPr>
                <w:rFonts w:hint="eastAsia"/>
                <w:szCs w:val="21"/>
              </w:rPr>
              <w:t>需提供同类项目经验证明文件复印件和：若拟投入本项目服务团队成员属于投标人在职人员，需提供人员在投标人单位购买社保的证明文件复印件；若拟投入本项目服务团队成员非投标人在职人员但存在合作关系的，需提供投标人与拟投入人员所在单位项目合作相关证明文件（合作期包含本项目服务期限，格式自拟）。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noWrap/>
            <w:textDirection w:val="tbRlV"/>
            <w:vAlign w:val="center"/>
          </w:tcPr>
          <w:p>
            <w:pPr>
              <w:ind w:left="113" w:right="113"/>
              <w:jc w:val="center"/>
              <w:rPr>
                <w:color w:val="000000"/>
              </w:rPr>
            </w:pPr>
          </w:p>
        </w:tc>
        <w:tc>
          <w:tcPr>
            <w:tcW w:w="1811" w:type="dxa"/>
            <w:noWrap/>
            <w:vAlign w:val="center"/>
          </w:tcPr>
          <w:p>
            <w:pPr>
              <w:jc w:val="center"/>
            </w:pPr>
            <w:r>
              <w:rPr>
                <w:rFonts w:hint="eastAsia"/>
              </w:rPr>
              <w:t>服务保障</w:t>
            </w:r>
          </w:p>
        </w:tc>
        <w:tc>
          <w:tcPr>
            <w:tcW w:w="1080" w:type="dxa"/>
            <w:noWrap/>
            <w:vAlign w:val="center"/>
          </w:tcPr>
          <w:p>
            <w:pPr>
              <w:jc w:val="center"/>
            </w:pPr>
            <w:r>
              <w:rPr>
                <w:rFonts w:hint="eastAsia"/>
              </w:rPr>
              <w:t>5</w:t>
            </w:r>
          </w:p>
        </w:tc>
        <w:tc>
          <w:tcPr>
            <w:tcW w:w="5400" w:type="dxa"/>
            <w:noWrap/>
            <w:vAlign w:val="center"/>
          </w:tcPr>
          <w:p>
            <w:pPr>
              <w:rPr>
                <w:szCs w:val="21"/>
              </w:rPr>
            </w:pPr>
            <w:r>
              <w:rPr>
                <w:rFonts w:hint="eastAsia"/>
                <w:szCs w:val="21"/>
              </w:rPr>
              <w:t>根据投标人提供的服务保障方案（包括针对本项目的跟踪服务机构设置、服务响应时间、服务安排的合理性及可行性方案）进行综合评审：</w:t>
            </w:r>
          </w:p>
          <w:p>
            <w:pPr>
              <w:rPr>
                <w:szCs w:val="21"/>
              </w:rPr>
            </w:pPr>
            <w:r>
              <w:rPr>
                <w:rFonts w:hint="eastAsia"/>
                <w:szCs w:val="21"/>
              </w:rPr>
              <w:t>服务保障方案方案科学合理，可行性强，得5分；</w:t>
            </w:r>
          </w:p>
          <w:p>
            <w:pPr>
              <w:rPr>
                <w:szCs w:val="21"/>
              </w:rPr>
            </w:pPr>
            <w:r>
              <w:rPr>
                <w:rFonts w:hint="eastAsia"/>
                <w:szCs w:val="21"/>
              </w:rPr>
              <w:t>服务保障方案较科学、较合理，具有一定可行性，得2分；</w:t>
            </w:r>
          </w:p>
          <w:p>
            <w:pPr>
              <w:rPr>
                <w:szCs w:val="21"/>
              </w:rPr>
            </w:pPr>
            <w:r>
              <w:rPr>
                <w:rFonts w:hint="eastAsia"/>
                <w:szCs w:val="21"/>
              </w:rPr>
              <w:t>服务保障方案合理性差，可行性差，得1分；</w:t>
            </w:r>
          </w:p>
          <w:p>
            <w:pPr>
              <w:rPr>
                <w:szCs w:val="21"/>
              </w:rPr>
            </w:pPr>
            <w:r>
              <w:rPr>
                <w:rFonts w:hint="eastAsia"/>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szCs w:val="21"/>
              </w:rPr>
            </w:pPr>
            <w:r>
              <w:rPr>
                <w:rFonts w:hint="eastAsia"/>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0" w:type="auto"/>
        <w:jc w:val="center"/>
        <w:tblLayout w:type="fixed"/>
        <w:tblCellMar>
          <w:top w:w="0" w:type="dxa"/>
          <w:left w:w="108" w:type="dxa"/>
          <w:bottom w:w="0" w:type="dxa"/>
          <w:right w:w="108" w:type="dxa"/>
        </w:tblCellMar>
      </w:tblPr>
      <w:tblGrid>
        <w:gridCol w:w="741"/>
        <w:gridCol w:w="3817"/>
        <w:gridCol w:w="1276"/>
        <w:gridCol w:w="1337"/>
        <w:gridCol w:w="1337"/>
      </w:tblGrid>
      <w:tr>
        <w:tblPrEx>
          <w:tblCellMar>
            <w:top w:w="0" w:type="dxa"/>
            <w:left w:w="108" w:type="dxa"/>
            <w:bottom w:w="0" w:type="dxa"/>
            <w:right w:w="108" w:type="dxa"/>
          </w:tblCellMar>
        </w:tblPrEx>
        <w:trPr>
          <w:trHeight w:val="555" w:hRule="atLeast"/>
          <w:tblHeader/>
          <w:jc w:val="center"/>
        </w:trPr>
        <w:tc>
          <w:tcPr>
            <w:tcW w:w="74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方正楷体简体" w:hAnsi="宋体" w:eastAsia="方正楷体简体" w:cs="宋体"/>
                <w:b/>
                <w:sz w:val="24"/>
              </w:rPr>
            </w:pPr>
            <w:r>
              <w:rPr>
                <w:rFonts w:hint="eastAsia" w:ascii="方正楷体简体" w:hAnsi="宋体" w:eastAsia="方正楷体简体" w:cs="宋体"/>
                <w:b/>
                <w:sz w:val="24"/>
              </w:rPr>
              <w:t>序号</w:t>
            </w:r>
          </w:p>
        </w:tc>
        <w:tc>
          <w:tcPr>
            <w:tcW w:w="38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方正楷体简体" w:hAnsi="宋体" w:eastAsia="方正楷体简体" w:cs="宋体"/>
                <w:b/>
                <w:sz w:val="24"/>
              </w:rPr>
            </w:pPr>
            <w:r>
              <w:rPr>
                <w:rFonts w:hint="eastAsia" w:ascii="方正楷体简体" w:hAnsi="宋体" w:eastAsia="方正楷体简体" w:cs="宋体"/>
                <w:b/>
                <w:sz w:val="24"/>
              </w:rPr>
              <w:t>名称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jc w:val="center"/>
              <w:rPr>
                <w:rFonts w:ascii="方正楷体简体" w:hAnsi="宋体" w:eastAsia="方正楷体简体" w:cs="宋体"/>
                <w:b/>
                <w:sz w:val="24"/>
              </w:rPr>
            </w:pPr>
            <w:r>
              <w:rPr>
                <w:rFonts w:hint="eastAsia" w:ascii="方正楷体简体" w:hAnsi="宋体" w:eastAsia="方正楷体简体" w:cs="宋体"/>
                <w:b/>
                <w:sz w:val="24"/>
              </w:rPr>
              <w:t>数量</w:t>
            </w:r>
          </w:p>
        </w:tc>
        <w:tc>
          <w:tcPr>
            <w:tcW w:w="1337" w:type="dxa"/>
            <w:tcBorders>
              <w:top w:val="single" w:color="auto" w:sz="4" w:space="0"/>
              <w:left w:val="nil"/>
              <w:bottom w:val="single" w:color="auto" w:sz="4" w:space="0"/>
              <w:right w:val="single" w:color="auto" w:sz="4" w:space="0"/>
            </w:tcBorders>
            <w:shd w:val="clear" w:color="000000" w:fill="FFFFFF"/>
            <w:vAlign w:val="center"/>
          </w:tcPr>
          <w:p>
            <w:pPr>
              <w:jc w:val="center"/>
              <w:rPr>
                <w:rFonts w:ascii="方正楷体简体" w:hAnsi="宋体" w:eastAsia="方正楷体简体" w:cs="宋体"/>
                <w:b/>
                <w:sz w:val="24"/>
              </w:rPr>
            </w:pPr>
            <w:r>
              <w:rPr>
                <w:rFonts w:hint="eastAsia" w:ascii="方正楷体简体" w:hAnsi="宋体" w:eastAsia="方正楷体简体" w:cs="宋体"/>
                <w:b/>
                <w:sz w:val="24"/>
              </w:rPr>
              <w:t>单位</w:t>
            </w:r>
          </w:p>
        </w:tc>
        <w:tc>
          <w:tcPr>
            <w:tcW w:w="1337" w:type="dxa"/>
            <w:tcBorders>
              <w:top w:val="single" w:color="auto" w:sz="4" w:space="0"/>
              <w:left w:val="nil"/>
              <w:bottom w:val="single" w:color="auto" w:sz="4" w:space="0"/>
              <w:right w:val="single" w:color="auto" w:sz="4" w:space="0"/>
            </w:tcBorders>
            <w:shd w:val="clear" w:color="000000" w:fill="FFFFFF"/>
          </w:tcPr>
          <w:p>
            <w:pPr>
              <w:jc w:val="center"/>
              <w:rPr>
                <w:rFonts w:ascii="方正楷体简体" w:hAnsi="宋体" w:eastAsia="方正楷体简体" w:cs="宋体"/>
                <w:b/>
                <w:sz w:val="24"/>
              </w:rPr>
            </w:pPr>
            <w:r>
              <w:rPr>
                <w:rFonts w:hint="eastAsia" w:ascii="方正楷体简体" w:hAnsi="宋体" w:eastAsia="方正楷体简体" w:cs="宋体"/>
                <w:b/>
                <w:sz w:val="24"/>
              </w:rPr>
              <w:t>备注</w:t>
            </w:r>
          </w:p>
        </w:tc>
      </w:tr>
      <w:tr>
        <w:tblPrEx>
          <w:tblCellMar>
            <w:top w:w="0" w:type="dxa"/>
            <w:left w:w="108" w:type="dxa"/>
            <w:bottom w:w="0" w:type="dxa"/>
            <w:right w:w="108" w:type="dxa"/>
          </w:tblCellMar>
        </w:tblPrEx>
        <w:trPr>
          <w:trHeight w:val="570" w:hRule="atLeast"/>
          <w:jc w:val="center"/>
        </w:trPr>
        <w:tc>
          <w:tcPr>
            <w:tcW w:w="741" w:type="dxa"/>
            <w:tcBorders>
              <w:top w:val="nil"/>
              <w:left w:val="single" w:color="auto" w:sz="4" w:space="0"/>
              <w:bottom w:val="single" w:color="auto" w:sz="4" w:space="0"/>
              <w:right w:val="single" w:color="auto" w:sz="4" w:space="0"/>
            </w:tcBorders>
            <w:vAlign w:val="center"/>
          </w:tcPr>
          <w:p>
            <w:pPr>
              <w:jc w:val="center"/>
              <w:rPr>
                <w:rFonts w:ascii="Calibri" w:hAnsi="Calibri" w:cs="Calibri"/>
                <w:sz w:val="24"/>
              </w:rPr>
            </w:pPr>
            <w:r>
              <w:rPr>
                <w:rFonts w:hint="eastAsia" w:ascii="Calibri" w:hAnsi="Calibri" w:cs="Calibri"/>
                <w:sz w:val="24"/>
              </w:rPr>
              <w:t>1</w:t>
            </w:r>
          </w:p>
        </w:tc>
        <w:tc>
          <w:tcPr>
            <w:tcW w:w="3817" w:type="dxa"/>
            <w:tcBorders>
              <w:top w:val="nil"/>
              <w:left w:val="nil"/>
              <w:bottom w:val="single" w:color="auto" w:sz="4" w:space="0"/>
              <w:right w:val="single" w:color="auto" w:sz="4" w:space="0"/>
            </w:tcBorders>
            <w:vAlign w:val="center"/>
          </w:tcPr>
          <w:p>
            <w:pPr>
              <w:jc w:val="center"/>
              <w:rPr>
                <w:rFonts w:ascii="Calibri" w:hAnsi="Calibri" w:cs="Calibri"/>
                <w:sz w:val="24"/>
              </w:rPr>
            </w:pPr>
            <w:r>
              <w:rPr>
                <w:rFonts w:hint="eastAsia" w:ascii="Calibri" w:hAnsi="Calibri" w:cs="Calibri"/>
                <w:sz w:val="24"/>
              </w:rPr>
              <w:t>马克思主义学院传播</w:t>
            </w:r>
            <w:r>
              <w:rPr>
                <w:rFonts w:hint="eastAsia" w:ascii="Calibri" w:hAnsi="Calibri" w:cs="Calibri"/>
                <w:sz w:val="24"/>
                <w:lang w:val="en-US" w:eastAsia="zh-CN"/>
              </w:rPr>
              <w:t>服务采购</w:t>
            </w:r>
            <w:r>
              <w:rPr>
                <w:rFonts w:hint="eastAsia" w:ascii="Calibri" w:hAnsi="Calibri" w:cs="Calibri"/>
                <w:sz w:val="24"/>
              </w:rPr>
              <w:t>项目</w:t>
            </w:r>
          </w:p>
        </w:tc>
        <w:tc>
          <w:tcPr>
            <w:tcW w:w="1276" w:type="dxa"/>
            <w:tcBorders>
              <w:top w:val="nil"/>
              <w:left w:val="nil"/>
              <w:bottom w:val="single" w:color="auto" w:sz="4" w:space="0"/>
              <w:right w:val="single" w:color="auto" w:sz="4" w:space="0"/>
            </w:tcBorders>
            <w:noWrap/>
            <w:vAlign w:val="center"/>
          </w:tcPr>
          <w:p>
            <w:pPr>
              <w:jc w:val="center"/>
              <w:rPr>
                <w:rFonts w:ascii="Calibri" w:hAnsi="Calibri" w:cs="Calibri"/>
                <w:sz w:val="24"/>
              </w:rPr>
            </w:pPr>
            <w:r>
              <w:rPr>
                <w:rFonts w:hint="eastAsia" w:ascii="Calibri" w:hAnsi="Calibri" w:cs="Calibri"/>
                <w:sz w:val="24"/>
              </w:rPr>
              <w:t>1</w:t>
            </w:r>
          </w:p>
        </w:tc>
        <w:tc>
          <w:tcPr>
            <w:tcW w:w="1337" w:type="dxa"/>
            <w:tcBorders>
              <w:top w:val="nil"/>
              <w:left w:val="nil"/>
              <w:bottom w:val="single" w:color="auto" w:sz="4" w:space="0"/>
              <w:right w:val="single" w:color="auto" w:sz="4" w:space="0"/>
            </w:tcBorders>
            <w:noWrap/>
            <w:vAlign w:val="center"/>
          </w:tcPr>
          <w:p>
            <w:pPr>
              <w:jc w:val="center"/>
              <w:rPr>
                <w:rFonts w:ascii="Calibri" w:hAnsi="Calibri" w:cs="Calibri"/>
                <w:sz w:val="24"/>
              </w:rPr>
            </w:pPr>
            <w:r>
              <w:rPr>
                <w:rFonts w:hint="eastAsia" w:ascii="Calibri" w:hAnsi="Calibri" w:cs="Calibri"/>
                <w:sz w:val="24"/>
              </w:rPr>
              <w:t>套</w:t>
            </w:r>
          </w:p>
        </w:tc>
        <w:tc>
          <w:tcPr>
            <w:tcW w:w="1337" w:type="dxa"/>
            <w:tcBorders>
              <w:top w:val="nil"/>
              <w:left w:val="nil"/>
              <w:bottom w:val="single" w:color="auto" w:sz="4" w:space="0"/>
              <w:right w:val="single" w:color="auto" w:sz="4" w:space="0"/>
            </w:tcBorders>
            <w:vAlign w:val="center"/>
          </w:tcPr>
          <w:p>
            <w:pPr>
              <w:jc w:val="center"/>
              <w:rPr>
                <w:rFonts w:ascii="Calibri" w:hAnsi="Calibri" w:cs="Calibri"/>
                <w:sz w:val="24"/>
              </w:rPr>
            </w:pPr>
          </w:p>
        </w:tc>
      </w:tr>
    </w:tbl>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（二）具体技术指标及性能要求：</w:t>
      </w:r>
    </w:p>
    <w:tbl>
      <w:tblPr>
        <w:tblStyle w:val="2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359"/>
        <w:gridCol w:w="4698"/>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shd w:val="clear" w:color="auto" w:fill="B8CCE4"/>
            <w:vAlign w:val="center"/>
          </w:tcPr>
          <w:p>
            <w:pPr>
              <w:pStyle w:val="101"/>
              <w:kinsoku w:val="0"/>
              <w:overflowPunct w:val="0"/>
              <w:autoSpaceDE w:val="0"/>
              <w:autoSpaceDN w:val="0"/>
              <w:adjustRightInd w:val="0"/>
              <w:snapToGrid w:val="0"/>
              <w:jc w:val="center"/>
              <w:rPr>
                <w:rFonts w:ascii="宋体" w:hAnsi="宋体" w:eastAsia="宋体" w:cs="微软雅黑"/>
                <w:b/>
                <w:color w:val="auto"/>
                <w:sz w:val="24"/>
                <w:szCs w:val="24"/>
                <w:lang w:val="zh-TW" w:eastAsia="zh-TW"/>
              </w:rPr>
            </w:pPr>
            <w:r>
              <w:rPr>
                <w:rFonts w:hint="eastAsia" w:ascii="宋体" w:hAnsi="宋体" w:eastAsia="宋体" w:cs="微软雅黑"/>
                <w:b/>
                <w:color w:val="auto"/>
                <w:sz w:val="24"/>
                <w:szCs w:val="24"/>
                <w:lang w:val="zh-TW" w:eastAsia="zh-TW"/>
              </w:rPr>
              <w:t>服务名称</w:t>
            </w:r>
          </w:p>
        </w:tc>
        <w:tc>
          <w:tcPr>
            <w:tcW w:w="1359" w:type="dxa"/>
            <w:shd w:val="clear" w:color="auto" w:fill="B8CCE4"/>
            <w:vAlign w:val="center"/>
          </w:tcPr>
          <w:p>
            <w:pPr>
              <w:pStyle w:val="101"/>
              <w:kinsoku w:val="0"/>
              <w:overflowPunct w:val="0"/>
              <w:autoSpaceDE w:val="0"/>
              <w:autoSpaceDN w:val="0"/>
              <w:adjustRightInd w:val="0"/>
              <w:snapToGrid w:val="0"/>
              <w:jc w:val="center"/>
              <w:rPr>
                <w:rFonts w:ascii="宋体" w:hAnsi="宋体" w:cs="微软雅黑" w:eastAsiaTheme="minorEastAsia"/>
                <w:b/>
                <w:color w:val="auto"/>
                <w:sz w:val="24"/>
                <w:szCs w:val="24"/>
                <w:lang w:val="zh-TW"/>
              </w:rPr>
            </w:pPr>
            <w:r>
              <w:rPr>
                <w:rFonts w:hint="eastAsia" w:ascii="宋体" w:hAnsi="宋体" w:eastAsia="宋体" w:cs="微软雅黑"/>
                <w:b/>
                <w:color w:val="auto"/>
                <w:sz w:val="24"/>
                <w:szCs w:val="24"/>
                <w:lang w:val="zh-TW"/>
              </w:rPr>
              <w:t>服务</w:t>
            </w:r>
            <w:r>
              <w:rPr>
                <w:rFonts w:ascii="宋体" w:hAnsi="宋体" w:eastAsia="宋体" w:cs="微软雅黑"/>
                <w:b/>
                <w:color w:val="auto"/>
                <w:sz w:val="24"/>
                <w:szCs w:val="24"/>
                <w:lang w:val="zh-TW"/>
              </w:rPr>
              <w:t>平台</w:t>
            </w:r>
          </w:p>
        </w:tc>
        <w:tc>
          <w:tcPr>
            <w:tcW w:w="4698" w:type="dxa"/>
            <w:shd w:val="clear" w:color="auto" w:fill="B8CCE4"/>
            <w:vAlign w:val="center"/>
          </w:tcPr>
          <w:p>
            <w:pPr>
              <w:pStyle w:val="101"/>
              <w:kinsoku w:val="0"/>
              <w:overflowPunct w:val="0"/>
              <w:autoSpaceDE w:val="0"/>
              <w:autoSpaceDN w:val="0"/>
              <w:adjustRightInd w:val="0"/>
              <w:snapToGrid w:val="0"/>
              <w:jc w:val="center"/>
              <w:rPr>
                <w:rFonts w:ascii="宋体" w:hAnsi="宋体" w:eastAsia="宋体" w:cs="微软雅黑"/>
                <w:b/>
                <w:color w:val="auto"/>
                <w:sz w:val="24"/>
                <w:szCs w:val="24"/>
                <w:lang w:val="zh-TW"/>
              </w:rPr>
            </w:pPr>
            <w:r>
              <w:rPr>
                <w:rFonts w:hint="eastAsia" w:ascii="宋体" w:hAnsi="宋体" w:eastAsia="宋体" w:cs="微软雅黑"/>
                <w:b/>
                <w:color w:val="auto"/>
                <w:sz w:val="24"/>
                <w:szCs w:val="24"/>
                <w:lang w:val="zh-TW"/>
              </w:rPr>
              <w:t>服务内容</w:t>
            </w:r>
          </w:p>
        </w:tc>
        <w:tc>
          <w:tcPr>
            <w:tcW w:w="1030" w:type="dxa"/>
            <w:shd w:val="clear" w:color="auto" w:fill="B8CCE4"/>
            <w:vAlign w:val="center"/>
          </w:tcPr>
          <w:p>
            <w:pPr>
              <w:pStyle w:val="101"/>
              <w:kinsoku w:val="0"/>
              <w:overflowPunct w:val="0"/>
              <w:autoSpaceDE w:val="0"/>
              <w:autoSpaceDN w:val="0"/>
              <w:adjustRightInd w:val="0"/>
              <w:snapToGrid w:val="0"/>
              <w:jc w:val="center"/>
              <w:rPr>
                <w:rFonts w:ascii="宋体" w:hAnsi="宋体" w:eastAsia="宋体" w:cs="微软雅黑"/>
                <w:b/>
                <w:color w:val="auto"/>
                <w:sz w:val="24"/>
                <w:szCs w:val="24"/>
                <w:lang w:val="zh-TW" w:eastAsia="zh-TW"/>
              </w:rPr>
            </w:pPr>
            <w:r>
              <w:rPr>
                <w:rFonts w:hint="eastAsia" w:ascii="宋体" w:hAnsi="宋体" w:eastAsia="宋体" w:cs="微软雅黑"/>
                <w:b/>
                <w:color w:val="auto"/>
                <w:sz w:val="24"/>
                <w:szCs w:val="24"/>
                <w:lang w:val="zh-TW" w:eastAsia="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2122" w:type="dxa"/>
            <w:vMerge w:val="restart"/>
            <w:shd w:val="clear" w:color="auto" w:fill="auto"/>
            <w:vAlign w:val="center"/>
          </w:tcPr>
          <w:p>
            <w:pPr>
              <w:pStyle w:val="101"/>
              <w:kinsoku w:val="0"/>
              <w:overflowPunct w:val="0"/>
              <w:autoSpaceDE w:val="0"/>
              <w:autoSpaceDN w:val="0"/>
              <w:adjustRightInd w:val="0"/>
              <w:snapToGrid w:val="0"/>
              <w:jc w:val="center"/>
              <w:rPr>
                <w:rFonts w:hint="default" w:ascii="宋体" w:hAnsi="宋体" w:eastAsia="宋体" w:cs="微软雅黑"/>
                <w:color w:val="auto"/>
                <w:sz w:val="24"/>
                <w:szCs w:val="24"/>
                <w:lang w:val="en-US" w:eastAsia="zh-CN"/>
              </w:rPr>
            </w:pPr>
            <w:r>
              <w:rPr>
                <w:rFonts w:hint="eastAsia" w:ascii="宋体" w:hAnsi="宋体" w:eastAsia="宋体" w:cs="微软雅黑"/>
                <w:color w:val="auto"/>
                <w:sz w:val="24"/>
                <w:szCs w:val="24"/>
              </w:rPr>
              <w:t>马克思主义学院传播</w:t>
            </w:r>
            <w:r>
              <w:rPr>
                <w:rFonts w:hint="eastAsia" w:ascii="宋体" w:hAnsi="宋体" w:eastAsia="宋体" w:cs="微软雅黑"/>
                <w:color w:val="auto"/>
                <w:sz w:val="24"/>
                <w:szCs w:val="24"/>
                <w:lang w:val="en-US" w:eastAsia="zh-CN"/>
              </w:rPr>
              <w:t>服务采购项目</w:t>
            </w:r>
            <w:bookmarkStart w:id="31" w:name="_GoBack"/>
            <w:bookmarkEnd w:id="31"/>
          </w:p>
        </w:tc>
        <w:tc>
          <w:tcPr>
            <w:tcW w:w="1359" w:type="dxa"/>
            <w:shd w:val="clear" w:color="auto" w:fill="auto"/>
            <w:vAlign w:val="center"/>
          </w:tcPr>
          <w:p>
            <w:pPr>
              <w:pStyle w:val="101"/>
              <w:kinsoku w:val="0"/>
              <w:overflowPunct w:val="0"/>
              <w:autoSpaceDE w:val="0"/>
              <w:autoSpaceDN w:val="0"/>
              <w:adjustRightInd w:val="0"/>
              <w:snapToGrid w:val="0"/>
              <w:jc w:val="center"/>
              <w:rPr>
                <w:rFonts w:ascii="宋体" w:hAnsi="宋体" w:eastAsia="宋体" w:cs="微软雅黑"/>
                <w:color w:val="auto"/>
                <w:sz w:val="24"/>
                <w:szCs w:val="24"/>
              </w:rPr>
            </w:pPr>
            <w:r>
              <w:rPr>
                <w:rFonts w:hint="eastAsia" w:ascii="宋体" w:hAnsi="宋体" w:eastAsia="宋体" w:cs="微软雅黑"/>
                <w:color w:val="auto"/>
                <w:sz w:val="24"/>
                <w:szCs w:val="24"/>
              </w:rPr>
              <w:t>市级党报报纸</w:t>
            </w:r>
            <w:r>
              <w:rPr>
                <w:rFonts w:ascii="宋体" w:hAnsi="宋体" w:eastAsia="宋体" w:cs="微软雅黑"/>
                <w:color w:val="auto"/>
                <w:sz w:val="24"/>
                <w:szCs w:val="24"/>
              </w:rPr>
              <w:t>平台</w:t>
            </w:r>
          </w:p>
        </w:tc>
        <w:tc>
          <w:tcPr>
            <w:tcW w:w="4698" w:type="dxa"/>
            <w:vMerge w:val="restart"/>
            <w:shd w:val="clear" w:color="auto" w:fill="auto"/>
            <w:vAlign w:val="center"/>
          </w:tcPr>
          <w:p>
            <w:pPr>
              <w:pStyle w:val="101"/>
              <w:kinsoku w:val="0"/>
              <w:overflowPunct w:val="0"/>
              <w:autoSpaceDE w:val="0"/>
              <w:autoSpaceDN w:val="0"/>
              <w:adjustRightInd w:val="0"/>
              <w:snapToGrid w:val="0"/>
              <w:rPr>
                <w:rFonts w:ascii="宋体" w:hAnsi="宋体" w:eastAsia="宋体" w:cs="微软雅黑"/>
                <w:color w:val="auto"/>
                <w:sz w:val="24"/>
                <w:szCs w:val="24"/>
                <w:lang w:eastAsia="zh-TW"/>
              </w:rPr>
            </w:pPr>
            <w:r>
              <w:rPr>
                <w:rFonts w:hint="eastAsia" w:ascii="宋体" w:hAnsi="宋体" w:eastAsia="宋体" w:cs="微软雅黑"/>
                <w:color w:val="auto"/>
                <w:sz w:val="24"/>
                <w:szCs w:val="24"/>
                <w:lang w:eastAsia="zh-TW"/>
              </w:rPr>
              <w:t>在市级党报的报纸和新媒体平台，开设“新思想 学思悟”专题专栏，</w:t>
            </w:r>
            <w:r>
              <w:rPr>
                <w:rFonts w:hint="eastAsia" w:ascii="宋体" w:hAnsi="宋体" w:eastAsia="宋体" w:cs="微软雅黑"/>
                <w:color w:val="auto"/>
                <w:sz w:val="24"/>
                <w:szCs w:val="24"/>
              </w:rPr>
              <w:t>对于</w:t>
            </w:r>
            <w:r>
              <w:rPr>
                <w:rFonts w:hint="eastAsia" w:ascii="宋体" w:hAnsi="宋体" w:eastAsia="宋体" w:cs="微软雅黑"/>
                <w:color w:val="auto"/>
                <w:sz w:val="24"/>
                <w:szCs w:val="24"/>
                <w:lang w:eastAsia="zh-TW"/>
              </w:rPr>
              <w:t>广东财经大学马克思主义学院教授、讲师、研究生导师、研究生等关于马克思主义中国化时代化的</w:t>
            </w:r>
            <w:r>
              <w:rPr>
                <w:rFonts w:hint="eastAsia" w:ascii="宋体" w:hAnsi="宋体" w:eastAsia="宋体" w:cs="微软雅黑"/>
                <w:color w:val="auto"/>
                <w:sz w:val="24"/>
                <w:szCs w:val="24"/>
              </w:rPr>
              <w:t>最新</w:t>
            </w:r>
            <w:r>
              <w:rPr>
                <w:rFonts w:hint="eastAsia" w:ascii="宋体" w:hAnsi="宋体" w:eastAsia="宋体" w:cs="微软雅黑"/>
                <w:color w:val="auto"/>
                <w:sz w:val="24"/>
                <w:szCs w:val="24"/>
                <w:lang w:eastAsia="zh-TW"/>
              </w:rPr>
              <w:t>评论文章和观点论述</w:t>
            </w:r>
            <w:r>
              <w:rPr>
                <w:rFonts w:hint="eastAsia" w:ascii="宋体" w:hAnsi="宋体" w:eastAsia="宋体" w:cs="微软雅黑"/>
                <w:color w:val="auto"/>
                <w:sz w:val="24"/>
                <w:szCs w:val="24"/>
              </w:rPr>
              <w:t>进行</w:t>
            </w:r>
            <w:r>
              <w:rPr>
                <w:rFonts w:ascii="宋体" w:hAnsi="宋体" w:eastAsia="宋体" w:cs="微软雅黑"/>
                <w:color w:val="auto"/>
                <w:sz w:val="24"/>
                <w:szCs w:val="24"/>
              </w:rPr>
              <w:t>精编</w:t>
            </w:r>
            <w:r>
              <w:rPr>
                <w:rFonts w:hint="eastAsia" w:ascii="宋体" w:hAnsi="宋体" w:eastAsia="宋体" w:cs="微软雅黑"/>
                <w:color w:val="auto"/>
                <w:sz w:val="24"/>
                <w:szCs w:val="24"/>
              </w:rPr>
              <w:t>整理</w:t>
            </w:r>
            <w:r>
              <w:rPr>
                <w:rFonts w:hint="eastAsia" w:ascii="宋体" w:hAnsi="宋体" w:eastAsia="宋体" w:cs="微软雅黑"/>
                <w:color w:val="auto"/>
                <w:sz w:val="24"/>
                <w:szCs w:val="24"/>
                <w:lang w:eastAsia="zh-TW"/>
              </w:rPr>
              <w:t>。其中在报纸平台刊登次数不少于5次，在新媒体平台刊登次数不少于6次。</w:t>
            </w:r>
          </w:p>
        </w:tc>
        <w:tc>
          <w:tcPr>
            <w:tcW w:w="1030" w:type="dxa"/>
            <w:vMerge w:val="restart"/>
            <w:shd w:val="clear" w:color="auto" w:fill="auto"/>
            <w:vAlign w:val="center"/>
          </w:tcPr>
          <w:p>
            <w:pPr>
              <w:pStyle w:val="101"/>
              <w:kinsoku w:val="0"/>
              <w:overflowPunct w:val="0"/>
              <w:autoSpaceDE w:val="0"/>
              <w:autoSpaceDN w:val="0"/>
              <w:adjustRightInd w:val="0"/>
              <w:snapToGrid w:val="0"/>
              <w:jc w:val="left"/>
              <w:rPr>
                <w:rFonts w:ascii="宋体" w:hAnsi="宋体" w:eastAsia="宋体" w:cs="微软雅黑"/>
                <w:color w:val="auto"/>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2" w:type="dxa"/>
            <w:vMerge w:val="continue"/>
            <w:shd w:val="clear" w:color="auto" w:fill="auto"/>
            <w:vAlign w:val="center"/>
          </w:tcPr>
          <w:p>
            <w:pPr>
              <w:pStyle w:val="101"/>
              <w:kinsoku w:val="0"/>
              <w:overflowPunct w:val="0"/>
              <w:autoSpaceDE w:val="0"/>
              <w:autoSpaceDN w:val="0"/>
              <w:adjustRightInd w:val="0"/>
              <w:snapToGrid w:val="0"/>
              <w:jc w:val="center"/>
              <w:rPr>
                <w:rFonts w:ascii="宋体" w:hAnsi="宋体" w:eastAsia="宋体" w:cs="微软雅黑"/>
                <w:color w:val="auto"/>
                <w:sz w:val="24"/>
                <w:szCs w:val="24"/>
                <w:lang w:val="zh-TW" w:eastAsia="zh-TW"/>
              </w:rPr>
            </w:pPr>
          </w:p>
        </w:tc>
        <w:tc>
          <w:tcPr>
            <w:tcW w:w="1359" w:type="dxa"/>
            <w:shd w:val="clear" w:color="auto" w:fill="auto"/>
            <w:vAlign w:val="center"/>
          </w:tcPr>
          <w:p>
            <w:pPr>
              <w:pStyle w:val="101"/>
              <w:kinsoku w:val="0"/>
              <w:overflowPunct w:val="0"/>
              <w:autoSpaceDE w:val="0"/>
              <w:autoSpaceDN w:val="0"/>
              <w:adjustRightInd w:val="0"/>
              <w:snapToGrid w:val="0"/>
              <w:jc w:val="center"/>
              <w:rPr>
                <w:rFonts w:ascii="宋体" w:hAnsi="宋体" w:eastAsia="宋体" w:cs="微软雅黑"/>
                <w:color w:val="auto"/>
                <w:sz w:val="24"/>
                <w:szCs w:val="24"/>
              </w:rPr>
            </w:pPr>
            <w:r>
              <w:rPr>
                <w:rFonts w:hint="eastAsia" w:ascii="宋体" w:hAnsi="宋体" w:eastAsia="宋体" w:cs="微软雅黑"/>
                <w:color w:val="auto"/>
                <w:sz w:val="24"/>
                <w:szCs w:val="24"/>
              </w:rPr>
              <w:t>市级党报新媒体</w:t>
            </w:r>
            <w:r>
              <w:rPr>
                <w:rFonts w:ascii="宋体" w:hAnsi="宋体" w:eastAsia="宋体" w:cs="微软雅黑"/>
                <w:color w:val="auto"/>
                <w:sz w:val="24"/>
                <w:szCs w:val="24"/>
              </w:rPr>
              <w:t>平台</w:t>
            </w:r>
          </w:p>
        </w:tc>
        <w:tc>
          <w:tcPr>
            <w:tcW w:w="4698" w:type="dxa"/>
            <w:vMerge w:val="continue"/>
            <w:shd w:val="clear" w:color="auto" w:fill="auto"/>
            <w:vAlign w:val="center"/>
          </w:tcPr>
          <w:p>
            <w:pPr>
              <w:pStyle w:val="101"/>
              <w:kinsoku w:val="0"/>
              <w:overflowPunct w:val="0"/>
              <w:autoSpaceDE w:val="0"/>
              <w:autoSpaceDN w:val="0"/>
              <w:adjustRightInd w:val="0"/>
              <w:snapToGrid w:val="0"/>
              <w:rPr>
                <w:rFonts w:ascii="宋体" w:hAnsi="宋体" w:eastAsia="宋体" w:cs="微软雅黑"/>
                <w:color w:val="auto"/>
                <w:sz w:val="24"/>
                <w:szCs w:val="24"/>
              </w:rPr>
            </w:pPr>
          </w:p>
        </w:tc>
        <w:tc>
          <w:tcPr>
            <w:tcW w:w="1030" w:type="dxa"/>
            <w:vMerge w:val="continue"/>
            <w:shd w:val="clear" w:color="auto" w:fill="auto"/>
            <w:vAlign w:val="center"/>
          </w:tcPr>
          <w:p>
            <w:pPr>
              <w:pStyle w:val="101"/>
              <w:kinsoku w:val="0"/>
              <w:overflowPunct w:val="0"/>
              <w:autoSpaceDE w:val="0"/>
              <w:autoSpaceDN w:val="0"/>
              <w:adjustRightInd w:val="0"/>
              <w:snapToGrid w:val="0"/>
              <w:jc w:val="right"/>
              <w:rPr>
                <w:rFonts w:ascii="宋体" w:hAnsi="宋体" w:eastAsia="宋体" w:cs="微软雅黑"/>
                <w:color w:val="auto"/>
                <w:sz w:val="24"/>
                <w:szCs w:val="24"/>
                <w:lang w:val="zh-TW"/>
              </w:rPr>
            </w:pPr>
          </w:p>
        </w:tc>
      </w:tr>
    </w:tbl>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服务期内完成交货，确保正常运行使用。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交付地点：广东省广州市海珠区仑头路21号广东财经大学</w:t>
      </w:r>
      <w:r>
        <w:rPr>
          <w:rFonts w:hint="eastAsia" w:ascii="宋体" w:hAnsi="宋体"/>
          <w:bCs/>
          <w:sz w:val="28"/>
          <w:szCs w:val="28"/>
          <w:lang w:val="en-US" w:eastAsia="zh-CN"/>
        </w:rPr>
        <w:t>立德楼107</w:t>
      </w:r>
      <w:r>
        <w:rPr>
          <w:rFonts w:hint="eastAsia" w:ascii="宋体" w:hAnsi="宋体"/>
          <w:bCs/>
          <w:sz w:val="28"/>
          <w:szCs w:val="28"/>
        </w:rPr>
        <w:t>。</w:t>
      </w:r>
    </w:p>
    <w:p>
      <w:pPr>
        <w:adjustRightInd w:val="0"/>
        <w:snapToGrid w:val="0"/>
        <w:spacing w:line="560" w:lineRule="exact"/>
        <w:ind w:firstLine="562" w:firstLineChars="200"/>
        <w:jc w:val="left"/>
        <w:rPr>
          <w:rFonts w:ascii="宋体" w:hAnsi="宋体"/>
          <w:b/>
          <w:sz w:val="28"/>
          <w:szCs w:val="28"/>
        </w:rPr>
      </w:pPr>
      <w:r>
        <w:rPr>
          <w:rFonts w:hint="eastAsia" w:ascii="宋体" w:hAnsi="宋体"/>
          <w:b/>
          <w:sz w:val="28"/>
          <w:szCs w:val="28"/>
        </w:rPr>
        <w:t>（二）项目质量与验收标准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（三）售后服务要求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服务响应速度在一日之内,并尽快解决问题。</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（四）结算与付款方式</w:t>
      </w:r>
    </w:p>
    <w:p>
      <w:pPr>
        <w:pStyle w:val="25"/>
        <w:spacing w:line="560" w:lineRule="exact"/>
        <w:ind w:firstLine="560" w:firstLineChars="200"/>
        <w:rPr>
          <w:rFonts w:ascii="宋体" w:hAnsi="宋体"/>
          <w:sz w:val="28"/>
          <w:szCs w:val="28"/>
        </w:rPr>
      </w:pPr>
      <w:r>
        <w:rPr>
          <w:rFonts w:hint="eastAsia" w:ascii="宋体" w:hAnsi="宋体"/>
          <w:sz w:val="28"/>
          <w:szCs w:val="28"/>
        </w:rPr>
        <w:t>在合同签署后10个工作日内，采购方凭成交人提供的合法有效的正式发票向成交人支付合同约定金额的70%作为项目启动资金。成交人完成项目所有工作并出具结项报告后，采购方凭成交人提供的合法有效的正式发票向成交人支付合同剩余款项。</w:t>
      </w:r>
    </w:p>
    <w:p>
      <w:pPr>
        <w:spacing w:line="560" w:lineRule="exact"/>
        <w:ind w:firstLine="641" w:firstLineChars="228"/>
        <w:rPr>
          <w:rFonts w:ascii="宋体" w:hAnsi="宋体"/>
          <w:sz w:val="28"/>
          <w:szCs w:val="28"/>
        </w:rPr>
      </w:pPr>
      <w:r>
        <w:rPr>
          <w:rFonts w:hint="eastAsia" w:ascii="宋体" w:hAnsi="宋体"/>
          <w:b/>
          <w:bCs/>
          <w:sz w:val="28"/>
          <w:szCs w:val="28"/>
        </w:rPr>
        <w:t>（五）争议解决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6"/>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6"/>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6"/>
        </w:numPr>
        <w:spacing w:line="0" w:lineRule="atLeast"/>
        <w:rPr>
          <w:rFonts w:hAnsi="宋体"/>
          <w:sz w:val="28"/>
          <w:szCs w:val="28"/>
        </w:rPr>
      </w:pPr>
      <w:r>
        <w:rPr>
          <w:rFonts w:hint="eastAsia"/>
          <w:sz w:val="28"/>
          <w:szCs w:val="28"/>
        </w:rPr>
        <w:t>填写此表时不得改变表格的形式。</w:t>
      </w:r>
    </w:p>
    <w:p>
      <w:pPr>
        <w:pStyle w:val="13"/>
        <w:numPr>
          <w:ilvl w:val="0"/>
          <w:numId w:val="6"/>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5"/>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7"/>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7"/>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7"/>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7"/>
        </w:numPr>
        <w:spacing w:line="400" w:lineRule="exact"/>
        <w:rPr>
          <w:rFonts w:ascii="宋体" w:hAnsi="宋体"/>
          <w:sz w:val="24"/>
        </w:rPr>
      </w:pPr>
      <w:r>
        <w:rPr>
          <w:rFonts w:hint="eastAsia" w:ascii="宋体" w:hAnsi="宋体"/>
          <w:sz w:val="24"/>
        </w:rPr>
        <w:t>我方理解贵方不一定接受最低报价。</w:t>
      </w:r>
    </w:p>
    <w:p>
      <w:pPr>
        <w:numPr>
          <w:ilvl w:val="0"/>
          <w:numId w:val="7"/>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7"/>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7"/>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8"/>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7"/>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7"/>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5"/>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061772-E38B-4B5A-B8C9-A885A33AC9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24F18701-DECD-49F2-940E-B3DD3E601CCC}"/>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3" w:fontKey="{55FA4E1A-81D4-44DB-8BE4-9F7071B7624D}"/>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auto"/>
    <w:pitch w:val="default"/>
    <w:sig w:usb0="00000000" w:usb1="00000000" w:usb2="00082016" w:usb3="00000000" w:csb0="00040001" w:csb1="00000000"/>
    <w:embedRegular r:id="rId4" w:fontKey="{56B279C2-B3C4-4A66-9FB6-E496909099A0}"/>
  </w:font>
  <w:font w:name="方正楷体简体">
    <w:panose1 w:val="03000509000000000000"/>
    <w:charset w:val="86"/>
    <w:family w:val="script"/>
    <w:pitch w:val="default"/>
    <w:sig w:usb0="00000001" w:usb1="080E0000" w:usb2="00000000" w:usb3="00000000" w:csb0="00040000" w:csb1="00000000"/>
    <w:embedRegular r:id="rId5" w:fontKey="{D9A3CF5D-EAC1-40A5-B608-1BC696DFD058}"/>
  </w:font>
  <w:font w:name="楷体_GB2312">
    <w:panose1 w:val="02010609030101010101"/>
    <w:charset w:val="86"/>
    <w:family w:val="modern"/>
    <w:pitch w:val="default"/>
    <w:sig w:usb0="00000001" w:usb1="080E0000" w:usb2="00000000" w:usb3="00000000" w:csb0="00040000" w:csb1="00000000"/>
    <w:embedRegular r:id="rId6" w:fontKey="{527F9060-5359-4F76-8EC2-E9F87177D4A0}"/>
  </w:font>
  <w:font w:name="楷体">
    <w:panose1 w:val="02010609060101010101"/>
    <w:charset w:val="86"/>
    <w:family w:val="modern"/>
    <w:pitch w:val="default"/>
    <w:sig w:usb0="800002BF" w:usb1="38CF7CFA" w:usb2="00000016" w:usb3="00000000" w:csb0="00040001" w:csb1="00000000"/>
    <w:embedRegular r:id="rId7" w:fontKey="{2C02F751-B706-483C-A4BB-FD60C70B1A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3C74AC"/>
    <w:multiLevelType w:val="singleLevel"/>
    <w:tmpl w:val="5C3C74AC"/>
    <w:lvl w:ilvl="0" w:tentative="0">
      <w:start w:val="1"/>
      <w:numFmt w:val="chineseCounting"/>
      <w:suff w:val="nothing"/>
      <w:lvlText w:val="%1、"/>
      <w:lvlJc w:val="left"/>
      <w:rPr>
        <w:rFonts w:hint="eastAsia"/>
      </w:rPr>
    </w:lvl>
  </w:abstractNum>
  <w:abstractNum w:abstractNumId="6">
    <w:nsid w:val="5D1ACA94"/>
    <w:multiLevelType w:val="singleLevel"/>
    <w:tmpl w:val="5D1ACA94"/>
    <w:lvl w:ilvl="0" w:tentative="0">
      <w:start w:val="3"/>
      <w:numFmt w:val="decimal"/>
      <w:suff w:val="nothing"/>
      <w:lvlText w:val="%1、"/>
      <w:lvlJc w:val="left"/>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OWQ5OWJhZWEyZWE3MTI0OTViMDdmOGYyYTM5OG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B85"/>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6E42"/>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58C"/>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4D72"/>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3DF7"/>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5F97"/>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96B60"/>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45D4"/>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378E7"/>
    <w:rsid w:val="00441335"/>
    <w:rsid w:val="00441C83"/>
    <w:rsid w:val="00443895"/>
    <w:rsid w:val="00443B93"/>
    <w:rsid w:val="0044403D"/>
    <w:rsid w:val="00445663"/>
    <w:rsid w:val="00445E91"/>
    <w:rsid w:val="004462F2"/>
    <w:rsid w:val="0044685C"/>
    <w:rsid w:val="00447100"/>
    <w:rsid w:val="004479F8"/>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E75E3"/>
    <w:rsid w:val="005F03A5"/>
    <w:rsid w:val="005F2BA3"/>
    <w:rsid w:val="005F32EF"/>
    <w:rsid w:val="005F3BF7"/>
    <w:rsid w:val="005F3E0D"/>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184F"/>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4B85"/>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6D2"/>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5BCA"/>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171F"/>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55E"/>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2FC"/>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85B"/>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0E72"/>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4369"/>
    <w:rsid w:val="00AF5DCC"/>
    <w:rsid w:val="00AF6E80"/>
    <w:rsid w:val="00AF75A5"/>
    <w:rsid w:val="00AF776D"/>
    <w:rsid w:val="00AF7CFD"/>
    <w:rsid w:val="00B0071E"/>
    <w:rsid w:val="00B0151F"/>
    <w:rsid w:val="00B0255D"/>
    <w:rsid w:val="00B037CE"/>
    <w:rsid w:val="00B03A8A"/>
    <w:rsid w:val="00B03CC5"/>
    <w:rsid w:val="00B04597"/>
    <w:rsid w:val="00B051F6"/>
    <w:rsid w:val="00B05D68"/>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17E69"/>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3C2A"/>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236"/>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3A1"/>
    <w:rsid w:val="00D74FEE"/>
    <w:rsid w:val="00D752E6"/>
    <w:rsid w:val="00D75C4F"/>
    <w:rsid w:val="00D75D9C"/>
    <w:rsid w:val="00D7621F"/>
    <w:rsid w:val="00D764C6"/>
    <w:rsid w:val="00D77D04"/>
    <w:rsid w:val="00D80477"/>
    <w:rsid w:val="00D81303"/>
    <w:rsid w:val="00D81F97"/>
    <w:rsid w:val="00D838BB"/>
    <w:rsid w:val="00D845D6"/>
    <w:rsid w:val="00D84DBA"/>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5559"/>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B70C3"/>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2FE31AE"/>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0A34C42"/>
    <w:rsid w:val="42532A81"/>
    <w:rsid w:val="442F0A64"/>
    <w:rsid w:val="44FE771E"/>
    <w:rsid w:val="453D2E2E"/>
    <w:rsid w:val="455B5F6E"/>
    <w:rsid w:val="45B97FEC"/>
    <w:rsid w:val="4678338B"/>
    <w:rsid w:val="476B2D91"/>
    <w:rsid w:val="48833F13"/>
    <w:rsid w:val="4A233F98"/>
    <w:rsid w:val="4ADD6003"/>
    <w:rsid w:val="4BEB2A35"/>
    <w:rsid w:val="4C9204F0"/>
    <w:rsid w:val="4DBA5FA6"/>
    <w:rsid w:val="4DD5065C"/>
    <w:rsid w:val="502064D6"/>
    <w:rsid w:val="507A5425"/>
    <w:rsid w:val="50C30629"/>
    <w:rsid w:val="51577DD1"/>
    <w:rsid w:val="51AB09AF"/>
    <w:rsid w:val="520732F2"/>
    <w:rsid w:val="531269D1"/>
    <w:rsid w:val="54B4589B"/>
    <w:rsid w:val="55B90436"/>
    <w:rsid w:val="57434CFA"/>
    <w:rsid w:val="59865B14"/>
    <w:rsid w:val="5A165665"/>
    <w:rsid w:val="5A965CB3"/>
    <w:rsid w:val="5AE40E6D"/>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E407E8E"/>
    <w:rsid w:val="6F544E68"/>
    <w:rsid w:val="719242C5"/>
    <w:rsid w:val="72794227"/>
    <w:rsid w:val="72B62304"/>
    <w:rsid w:val="742D0AEA"/>
    <w:rsid w:val="750157C1"/>
    <w:rsid w:val="77F228DE"/>
    <w:rsid w:val="78851ED1"/>
    <w:rsid w:val="79C61CFF"/>
    <w:rsid w:val="7B0B64F9"/>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autoRedefine/>
    <w:qFormat/>
    <w:uiPriority w:val="0"/>
    <w:rPr>
      <w:color w:val="800080"/>
      <w:u w:val="single"/>
    </w:rPr>
  </w:style>
  <w:style w:type="character" w:styleId="33">
    <w:name w:val="Emphasis"/>
    <w:basedOn w:val="29"/>
    <w:qFormat/>
    <w:uiPriority w:val="20"/>
    <w:rPr>
      <w:color w:val="CC0000"/>
    </w:rPr>
  </w:style>
  <w:style w:type="character" w:styleId="34">
    <w:name w:val="Hyperlink"/>
    <w:autoRedefine/>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autoRedefine/>
    <w:qFormat/>
    <w:uiPriority w:val="0"/>
    <w:rPr>
      <w:rFonts w:ascii="Times New Roman" w:hAnsi="Times New Roman" w:eastAsia="宋体" w:cs="Times New Roman"/>
      <w:sz w:val="28"/>
      <w:szCs w:val="24"/>
    </w:rPr>
  </w:style>
  <w:style w:type="character" w:customStyle="1" w:styleId="39">
    <w:name w:val="脚注文本 字符"/>
    <w:link w:val="22"/>
    <w:autoRedefine/>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字符"/>
    <w:link w:val="23"/>
    <w:autoRedefine/>
    <w:qFormat/>
    <w:uiPriority w:val="0"/>
    <w:rPr>
      <w:rFonts w:ascii="宋体" w:hAnsi="Times New Roman" w:eastAsia="宋体" w:cs="Times New Roman"/>
      <w:sz w:val="28"/>
      <w:szCs w:val="20"/>
    </w:rPr>
  </w:style>
  <w:style w:type="character" w:customStyle="1" w:styleId="46">
    <w:name w:val="正文缩进 字符"/>
    <w:link w:val="6"/>
    <w:autoRedefine/>
    <w:qFormat/>
    <w:uiPriority w:val="0"/>
    <w:rPr>
      <w:rFonts w:eastAsia="宋体"/>
    </w:rPr>
  </w:style>
  <w:style w:type="character" w:customStyle="1" w:styleId="47">
    <w:name w:val="标题 2 字符"/>
    <w:link w:val="3"/>
    <w:autoRedefine/>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字符"/>
    <w:link w:val="17"/>
    <w:autoRedefine/>
    <w:qFormat/>
    <w:uiPriority w:val="0"/>
    <w:rPr>
      <w:sz w:val="18"/>
      <w:szCs w:val="18"/>
    </w:rPr>
  </w:style>
  <w:style w:type="character" w:customStyle="1" w:styleId="51">
    <w:name w:val="标题 3 字符"/>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字符"/>
    <w:link w:val="10"/>
    <w:autoRedefine/>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autoRedefine/>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4612F-9E4F-49B6-B106-AE80496F238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8746</Words>
  <Characters>8988</Characters>
  <Lines>77</Lines>
  <Paragraphs>21</Paragraphs>
  <TotalTime>97</TotalTime>
  <ScaleCrop>false</ScaleCrop>
  <LinksUpToDate>false</LinksUpToDate>
  <CharactersWithSpaces>9542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周文芳</cp:lastModifiedBy>
  <cp:lastPrinted>2022-01-21T10:35:00Z</cp:lastPrinted>
  <dcterms:modified xsi:type="dcterms:W3CDTF">2024-05-27T06:35:02Z</dcterms:modified>
  <cp:revision>962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4E076548C5B640C5A475565CD75A6905_13</vt:lpwstr>
  </property>
</Properties>
</file>