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广东财经大学便携式定向器材</w:t>
      </w:r>
    </w:p>
    <w:p>
      <w:pPr>
        <w:spacing w:line="760" w:lineRule="exact"/>
        <w:ind w:firstLine="2530" w:firstLineChars="700"/>
        <w:rPr>
          <w:rFonts w:ascii="宋体" w:hAnsi="宋体"/>
          <w:b/>
          <w:sz w:val="36"/>
          <w:u w:val="single"/>
        </w:rPr>
      </w:pPr>
      <w:r>
        <w:rPr>
          <w:rFonts w:hint="eastAsia" w:ascii="宋体" w:hAnsi="宋体"/>
          <w:b/>
          <w:sz w:val="36"/>
          <w:u w:val="single"/>
        </w:rPr>
        <w:t xml:space="preserve">及服务项目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2023年11月29日         </w:t>
      </w: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60236697"/>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rPr>
        <w:t>为丰富我校师生教学、文化生活需要，需要采购便携式定向器材及服务1批。</w:t>
      </w:r>
    </w:p>
    <w:p>
      <w:pPr>
        <w:spacing w:line="560" w:lineRule="exact"/>
        <w:ind w:firstLine="560" w:firstLineChars="200"/>
        <w:rPr>
          <w:rFonts w:ascii="宋体" w:hAnsi="宋体"/>
          <w:sz w:val="28"/>
          <w:szCs w:val="28"/>
        </w:rPr>
      </w:pPr>
      <w:r>
        <w:rPr>
          <w:rFonts w:hint="eastAsia" w:ascii="宋体" w:hAnsi="宋体"/>
          <w:sz w:val="28"/>
          <w:szCs w:val="28"/>
        </w:rPr>
        <w:t>本项目采购预算控制价9</w:t>
      </w:r>
      <w:r>
        <w:rPr>
          <w:rFonts w:hint="eastAsia" w:ascii="宋体" w:hAnsi="宋体"/>
          <w:sz w:val="28"/>
          <w:szCs w:val="28"/>
          <w:lang w:val="en-US" w:eastAsia="zh-CN"/>
        </w:rPr>
        <w:t>.</w:t>
      </w:r>
      <w:bookmarkStart w:id="31" w:name="_GoBack"/>
      <w:bookmarkEnd w:id="31"/>
      <w:r>
        <w:rPr>
          <w:rFonts w:hint="eastAsia" w:ascii="宋体" w:hAnsi="宋体"/>
          <w:sz w:val="28"/>
          <w:szCs w:val="28"/>
        </w:rPr>
        <w:t>9990万元，</w:t>
      </w:r>
      <w:r>
        <w:rPr>
          <w:rFonts w:ascii="宋体" w:hAnsi="宋体"/>
          <w:sz w:val="28"/>
          <w:szCs w:val="28"/>
        </w:rPr>
        <w:t>资金已到位。</w:t>
      </w:r>
    </w:p>
    <w:p>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sz w:val="28"/>
                <w:szCs w:val="28"/>
              </w:rPr>
            </w:pPr>
            <w:r>
              <w:rPr>
                <w:b/>
                <w:sz w:val="28"/>
                <w:szCs w:val="28"/>
              </w:rPr>
              <w:t>评审因素</w:t>
            </w:r>
          </w:p>
        </w:tc>
        <w:tc>
          <w:tcPr>
            <w:tcW w:w="1080" w:type="dxa"/>
            <w:noWrap/>
            <w:vAlign w:val="center"/>
          </w:tcPr>
          <w:p>
            <w:pPr>
              <w:jc w:val="center"/>
              <w:rPr>
                <w:b/>
                <w:sz w:val="28"/>
                <w:szCs w:val="28"/>
              </w:rPr>
            </w:pPr>
            <w:r>
              <w:rPr>
                <w:rFonts w:hint="eastAsia"/>
                <w:b/>
                <w:sz w:val="28"/>
                <w:szCs w:val="28"/>
              </w:rPr>
              <w:t>权重</w:t>
            </w:r>
          </w:p>
        </w:tc>
        <w:tc>
          <w:tcPr>
            <w:tcW w:w="5400" w:type="dxa"/>
            <w:noWrap/>
            <w:vAlign w:val="center"/>
          </w:tcPr>
          <w:p>
            <w:pPr>
              <w:jc w:val="center"/>
              <w:rPr>
                <w:b/>
                <w:sz w:val="28"/>
                <w:szCs w:val="28"/>
              </w:rPr>
            </w:pPr>
            <w:r>
              <w:rPr>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pPr>
            <w:r>
              <w:rPr>
                <w:rFonts w:hint="eastAsia"/>
              </w:rPr>
              <w:t>报价</w:t>
            </w:r>
          </w:p>
          <w:p>
            <w:pPr>
              <w:jc w:val="center"/>
            </w:pPr>
            <w:r>
              <w:rPr>
                <w:rFonts w:hint="eastAsia"/>
              </w:rPr>
              <w:t>（采用低价优先法）</w:t>
            </w:r>
          </w:p>
        </w:tc>
        <w:tc>
          <w:tcPr>
            <w:tcW w:w="1080" w:type="dxa"/>
            <w:noWrap/>
            <w:vAlign w:val="center"/>
          </w:tcPr>
          <w:p>
            <w:pPr>
              <w:jc w:val="center"/>
            </w:pPr>
            <w:r>
              <w:rPr>
                <w:rFonts w:hint="eastAsia"/>
              </w:rPr>
              <w:t>30</w:t>
            </w:r>
          </w:p>
        </w:tc>
        <w:tc>
          <w:tcPr>
            <w:tcW w:w="5400" w:type="dxa"/>
            <w:noWrap/>
            <w:vAlign w:val="center"/>
          </w:tcPr>
          <w:p>
            <w:pPr>
              <w:ind w:left="-2" w:leftChars="-1"/>
            </w:pPr>
            <w:r>
              <w:t>满足</w:t>
            </w:r>
            <w:r>
              <w:rPr>
                <w:rFonts w:hint="eastAsia"/>
              </w:rPr>
              <w:t>采购书</w:t>
            </w:r>
            <w:r>
              <w:t>要求且</w:t>
            </w:r>
            <w:r>
              <w:rPr>
                <w:rFonts w:hint="eastAsia"/>
              </w:rPr>
              <w:t>最终报价</w:t>
            </w:r>
            <w:r>
              <w:t>最低为评标基准价，其价格分为满分，其他</w:t>
            </w:r>
            <w:r>
              <w:rPr>
                <w:rFonts w:hint="eastAsia"/>
              </w:rPr>
              <w:t>报价人</w:t>
            </w:r>
            <w:r>
              <w:t>的价格分按</w:t>
            </w:r>
            <w:r>
              <w:rPr>
                <w:rFonts w:hint="eastAsia"/>
              </w:rPr>
              <w:t>以</w:t>
            </w:r>
            <w:r>
              <w:t>下公式计算：</w:t>
            </w:r>
            <w:r>
              <w:rPr>
                <w:rFonts w:hint="eastAsia"/>
              </w:rPr>
              <w:t>报价</w:t>
            </w:r>
            <w:r>
              <w:t>得分＝（评标基准价/</w:t>
            </w:r>
            <w:r>
              <w:rPr>
                <w:rFonts w:hint="eastAsia"/>
              </w:rPr>
              <w:t>最终</w:t>
            </w:r>
            <w:r>
              <w:t>报价）×</w:t>
            </w:r>
            <w:r>
              <w:rPr>
                <w:rFonts w:hint="eastAsia"/>
              </w:rPr>
              <w:t>30（取小数点后二位）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pPr>
            <w:r>
              <w:t>技术</w:t>
            </w:r>
            <w:r>
              <w:rPr>
                <w:rFonts w:hint="eastAsia"/>
              </w:rPr>
              <w:t>因素</w:t>
            </w:r>
          </w:p>
        </w:tc>
        <w:tc>
          <w:tcPr>
            <w:tcW w:w="1980" w:type="dxa"/>
            <w:noWrap/>
            <w:vAlign w:val="center"/>
          </w:tcPr>
          <w:p>
            <w:pPr>
              <w:jc w:val="center"/>
            </w:pPr>
            <w:r>
              <w:t>重要技术指标</w:t>
            </w:r>
          </w:p>
        </w:tc>
        <w:tc>
          <w:tcPr>
            <w:tcW w:w="1080" w:type="dxa"/>
            <w:noWrap/>
            <w:vAlign w:val="center"/>
          </w:tcPr>
          <w:p>
            <w:pPr>
              <w:jc w:val="center"/>
            </w:pPr>
            <w:r>
              <w:rPr>
                <w:rFonts w:hint="eastAsia"/>
              </w:rPr>
              <w:t>25</w:t>
            </w:r>
          </w:p>
        </w:tc>
        <w:tc>
          <w:tcPr>
            <w:tcW w:w="5400" w:type="dxa"/>
            <w:noWrap/>
            <w:vAlign w:val="center"/>
          </w:tcPr>
          <w:p>
            <w:pPr>
              <w:rPr>
                <w:rFonts w:ascii="宋体" w:hAnsi="宋体" w:cs="宋体"/>
                <w:kern w:val="0"/>
                <w:szCs w:val="21"/>
              </w:rPr>
            </w:pPr>
            <w:r>
              <w:rPr>
                <w:rFonts w:hint="eastAsia" w:ascii="宋体" w:hAnsi="宋体" w:cs="宋体"/>
                <w:kern w:val="0"/>
                <w:szCs w:val="21"/>
              </w:rPr>
              <w:t>对“▲”条款技术要求进行评审，完全符合或优于招标文件的得20分，“▲”条款每一个负偏离扣3分，扣完为止。（提供技术要求响应表，若技术要求中有要求提供证明材料的，需提供符合要求证明材料，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t>一般技术指标</w:t>
            </w:r>
          </w:p>
        </w:tc>
        <w:tc>
          <w:tcPr>
            <w:tcW w:w="1080" w:type="dxa"/>
            <w:noWrap/>
            <w:vAlign w:val="center"/>
          </w:tcPr>
          <w:p>
            <w:pPr>
              <w:jc w:val="center"/>
            </w:pPr>
            <w:r>
              <w:rPr>
                <w:rFonts w:hint="eastAsia"/>
              </w:rPr>
              <w:t>10</w:t>
            </w:r>
          </w:p>
        </w:tc>
        <w:tc>
          <w:tcPr>
            <w:tcW w:w="5400" w:type="dxa"/>
            <w:noWrap/>
            <w:vAlign w:val="center"/>
          </w:tcPr>
          <w:p>
            <w:pPr>
              <w:rPr>
                <w:rFonts w:ascii="宋体" w:hAnsi="宋体" w:cs="宋体"/>
                <w:kern w:val="0"/>
                <w:szCs w:val="21"/>
              </w:rPr>
            </w:pPr>
            <w:r>
              <w:rPr>
                <w:rFonts w:hint="eastAsia" w:ascii="宋体" w:hAnsi="宋体" w:cs="宋体"/>
                <w:kern w:val="0"/>
                <w:szCs w:val="21"/>
              </w:rPr>
              <w:t>对一般条款技术要求进行评审，完全符合或优于招标文件的得10分，一般条款每一个负偏离扣0.5分，扣完为止。（提供技术要求响应表，若技术要求中有要求提供证明材料的，需提供符合要求证明材料，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技术</w:t>
            </w:r>
            <w:r>
              <w:t>方案</w:t>
            </w:r>
          </w:p>
        </w:tc>
        <w:tc>
          <w:tcPr>
            <w:tcW w:w="1080" w:type="dxa"/>
            <w:noWrap/>
            <w:vAlign w:val="center"/>
          </w:tcPr>
          <w:p>
            <w:pPr>
              <w:jc w:val="center"/>
            </w:pPr>
            <w:r>
              <w:rPr>
                <w:rFonts w:hint="eastAsia"/>
              </w:rPr>
              <w:t>5</w:t>
            </w:r>
          </w:p>
        </w:tc>
        <w:tc>
          <w:tcPr>
            <w:tcW w:w="5400" w:type="dxa"/>
            <w:noWrap/>
            <w:vAlign w:val="center"/>
          </w:tcPr>
          <w:p>
            <w:pPr>
              <w:widowControl/>
              <w:rPr>
                <w:rFonts w:ascii="宋体" w:hAnsi="宋体" w:cs="宋体"/>
                <w:kern w:val="0"/>
                <w:szCs w:val="21"/>
              </w:rPr>
            </w:pPr>
            <w:r>
              <w:rPr>
                <w:rFonts w:hint="eastAsia" w:ascii="宋体" w:hAnsi="宋体" w:cs="宋体"/>
                <w:kern w:val="0"/>
                <w:szCs w:val="21"/>
              </w:rPr>
              <w:t>方案及设备的安全性、先进性、可靠性、稳定性以及与用户情况的实用性等综合评定。</w:t>
            </w:r>
          </w:p>
          <w:p>
            <w:pPr>
              <w:widowControl/>
              <w:rPr>
                <w:rFonts w:ascii="宋体" w:hAnsi="宋体" w:cs="宋体"/>
                <w:kern w:val="0"/>
                <w:szCs w:val="21"/>
              </w:rPr>
            </w:pPr>
            <w:r>
              <w:rPr>
                <w:rFonts w:hint="eastAsia" w:ascii="宋体" w:hAnsi="宋体" w:cs="宋体"/>
                <w:kern w:val="0"/>
                <w:szCs w:val="21"/>
              </w:rPr>
              <w:t>方案及设备安全性、先进性、可靠性、稳定性好，符合用户情况，实用性强得5分。</w:t>
            </w:r>
          </w:p>
          <w:p>
            <w:pPr>
              <w:rPr>
                <w:rFonts w:ascii="宋体" w:hAnsi="宋体" w:cs="宋体"/>
                <w:kern w:val="0"/>
                <w:szCs w:val="21"/>
              </w:rPr>
            </w:pPr>
            <w:r>
              <w:rPr>
                <w:rFonts w:hint="eastAsia" w:ascii="宋体" w:hAnsi="宋体" w:cs="宋体"/>
                <w:kern w:val="0"/>
                <w:szCs w:val="21"/>
              </w:rPr>
              <w:t>方案及设备安全性、先进性、可靠性、稳定性较好，基本符合用户情况，实用性较好得3分。</w:t>
            </w:r>
          </w:p>
          <w:p>
            <w:pPr>
              <w:rPr>
                <w:rFonts w:ascii="宋体" w:hAnsi="宋体" w:cs="宋体"/>
                <w:kern w:val="0"/>
                <w:szCs w:val="21"/>
              </w:rPr>
            </w:pPr>
            <w:r>
              <w:rPr>
                <w:rFonts w:hint="eastAsia" w:ascii="宋体" w:hAnsi="宋体" w:cs="宋体"/>
                <w:kern w:val="0"/>
                <w:szCs w:val="21"/>
              </w:rPr>
              <w:t>方案及设备安全性、先进性、可靠性、稳定性一般，不符合用户情况，实用性差得1分。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t>培训</w:t>
            </w:r>
          </w:p>
        </w:tc>
        <w:tc>
          <w:tcPr>
            <w:tcW w:w="1080" w:type="dxa"/>
            <w:noWrap/>
            <w:vAlign w:val="center"/>
          </w:tcPr>
          <w:p>
            <w:pPr>
              <w:jc w:val="center"/>
            </w:pPr>
            <w:r>
              <w:rPr>
                <w:rFonts w:hint="eastAsia"/>
              </w:rPr>
              <w:t>5</w:t>
            </w:r>
          </w:p>
        </w:tc>
        <w:tc>
          <w:tcPr>
            <w:tcW w:w="5400" w:type="dxa"/>
            <w:noWrap/>
            <w:vAlign w:val="center"/>
          </w:tcPr>
          <w:p>
            <w:pPr>
              <w:widowControl/>
              <w:rPr>
                <w:rFonts w:ascii="宋体" w:hAnsi="宋体" w:cs="宋体"/>
                <w:kern w:val="0"/>
                <w:szCs w:val="21"/>
              </w:rPr>
            </w:pPr>
            <w:r>
              <w:rPr>
                <w:rFonts w:hint="eastAsia" w:ascii="宋体" w:hAnsi="宋体" w:cs="宋体"/>
                <w:kern w:val="0"/>
                <w:szCs w:val="21"/>
              </w:rPr>
              <w:t>投标人提供的培训方案。</w:t>
            </w:r>
          </w:p>
          <w:p>
            <w:pPr>
              <w:widowControl/>
              <w:rPr>
                <w:rFonts w:ascii="宋体" w:hAnsi="宋体" w:cs="宋体"/>
                <w:kern w:val="0"/>
                <w:szCs w:val="21"/>
              </w:rPr>
            </w:pPr>
            <w:r>
              <w:rPr>
                <w:rFonts w:hint="eastAsia" w:ascii="宋体" w:hAnsi="宋体" w:cs="宋体"/>
                <w:kern w:val="0"/>
                <w:szCs w:val="21"/>
              </w:rPr>
              <w:t>培训方案详实、切实可行、合理得5分，</w:t>
            </w:r>
          </w:p>
          <w:p>
            <w:pPr>
              <w:widowControl/>
              <w:rPr>
                <w:rFonts w:ascii="宋体" w:hAnsi="宋体" w:cs="宋体"/>
                <w:kern w:val="0"/>
                <w:szCs w:val="21"/>
              </w:rPr>
            </w:pPr>
            <w:r>
              <w:rPr>
                <w:rFonts w:hint="eastAsia" w:ascii="宋体" w:hAnsi="宋体" w:cs="宋体"/>
                <w:kern w:val="0"/>
                <w:szCs w:val="21"/>
              </w:rPr>
              <w:t>培训方案较详实，可行性较好，基本合理得3分，</w:t>
            </w:r>
          </w:p>
          <w:p>
            <w:pPr>
              <w:rPr>
                <w:rFonts w:ascii="宋体" w:hAnsi="宋体" w:cs="宋体"/>
                <w:kern w:val="0"/>
                <w:szCs w:val="21"/>
              </w:rPr>
            </w:pPr>
            <w:r>
              <w:rPr>
                <w:rFonts w:hint="eastAsia" w:ascii="宋体" w:hAnsi="宋体" w:cs="宋体"/>
                <w:kern w:val="0"/>
                <w:szCs w:val="21"/>
              </w:rPr>
              <w:t>培训方案不详实，可行性差，不合理得1分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pPr>
            <w:r>
              <w:rPr>
                <w:rFonts w:hint="eastAsia"/>
              </w:rPr>
              <w:t>商务因素</w:t>
            </w:r>
          </w:p>
        </w:tc>
        <w:tc>
          <w:tcPr>
            <w:tcW w:w="1980" w:type="dxa"/>
            <w:noWrap/>
            <w:vAlign w:val="center"/>
          </w:tcPr>
          <w:p>
            <w:pPr>
              <w:jc w:val="center"/>
            </w:pPr>
            <w:r>
              <w:t>保修期</w:t>
            </w:r>
          </w:p>
        </w:tc>
        <w:tc>
          <w:tcPr>
            <w:tcW w:w="1080" w:type="dxa"/>
            <w:noWrap/>
            <w:vAlign w:val="center"/>
          </w:tcPr>
          <w:p>
            <w:pPr>
              <w:jc w:val="center"/>
            </w:pPr>
            <w:r>
              <w:rPr>
                <w:rFonts w:hint="eastAsia"/>
              </w:rPr>
              <w:t>4</w:t>
            </w:r>
          </w:p>
        </w:tc>
        <w:tc>
          <w:tcPr>
            <w:tcW w:w="5400" w:type="dxa"/>
            <w:noWrap/>
            <w:vAlign w:val="center"/>
          </w:tcPr>
          <w:p>
            <w:pPr>
              <w:rPr>
                <w:szCs w:val="21"/>
              </w:rPr>
            </w:pPr>
            <w:r>
              <w:rPr>
                <w:szCs w:val="21"/>
              </w:rPr>
              <w:t>满足</w:t>
            </w:r>
            <w:r>
              <w:rPr>
                <w:rFonts w:hint="eastAsia"/>
                <w:szCs w:val="21"/>
              </w:rPr>
              <w:t>采购书</w:t>
            </w:r>
            <w:r>
              <w:rPr>
                <w:szCs w:val="21"/>
              </w:rPr>
              <w:t>要求得</w:t>
            </w:r>
            <w:r>
              <w:rPr>
                <w:rFonts w:hint="eastAsia"/>
              </w:rPr>
              <w:t>2</w:t>
            </w:r>
            <w:r>
              <w:rPr>
                <w:szCs w:val="21"/>
              </w:rPr>
              <w:t>分；每延长一年加</w:t>
            </w:r>
            <w:r>
              <w:rPr>
                <w:rFonts w:hint="eastAsia"/>
              </w:rPr>
              <w:t>1</w:t>
            </w:r>
            <w:r>
              <w:rPr>
                <w:szCs w:val="21"/>
              </w:rPr>
              <w:t>分，最多加</w:t>
            </w:r>
            <w:r>
              <w:rPr>
                <w:rFonts w:hint="eastAsia"/>
              </w:rPr>
              <w:t>2</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售</w:t>
            </w:r>
            <w:r>
              <w:t>后服务</w:t>
            </w:r>
          </w:p>
        </w:tc>
        <w:tc>
          <w:tcPr>
            <w:tcW w:w="1080" w:type="dxa"/>
            <w:noWrap/>
            <w:vAlign w:val="center"/>
          </w:tcPr>
          <w:p>
            <w:pPr>
              <w:jc w:val="center"/>
            </w:pPr>
            <w:r>
              <w:rPr>
                <w:rFonts w:hint="eastAsia"/>
              </w:rPr>
              <w:t>6</w:t>
            </w:r>
          </w:p>
        </w:tc>
        <w:tc>
          <w:tcPr>
            <w:tcW w:w="5400" w:type="dxa"/>
            <w:noWrap/>
            <w:vAlign w:val="center"/>
          </w:tcPr>
          <w:p>
            <w:r>
              <w:rPr>
                <w:szCs w:val="21"/>
              </w:rPr>
              <w:t>根据</w:t>
            </w:r>
            <w:r>
              <w:rPr>
                <w:rFonts w:hint="eastAsia"/>
                <w:szCs w:val="21"/>
              </w:rPr>
              <w:t>对</w:t>
            </w:r>
            <w:r>
              <w:rPr>
                <w:szCs w:val="21"/>
              </w:rPr>
              <w:t>产品故障报修的响应时间、处理速度、定期巡检以及技术支持、软件升级、技术培训等服务</w:t>
            </w:r>
            <w:r>
              <w:t>承诺</w:t>
            </w:r>
            <w:r>
              <w:rPr>
                <w:rFonts w:hint="eastAsia"/>
              </w:rPr>
              <w:t>进行评价，</w:t>
            </w:r>
            <w:r>
              <w:rPr>
                <w:szCs w:val="21"/>
              </w:rPr>
              <w:t>评价好得</w:t>
            </w:r>
            <w:r>
              <w:rPr>
                <w:rFonts w:hint="eastAsia"/>
              </w:rPr>
              <w:t>6</w:t>
            </w:r>
            <w:r>
              <w:rPr>
                <w:szCs w:val="21"/>
              </w:rPr>
              <w:t>分；评价较好得</w:t>
            </w:r>
            <w:r>
              <w:rPr>
                <w:rFonts w:hint="eastAsia"/>
              </w:rPr>
              <w:t>4</w:t>
            </w:r>
            <w:r>
              <w:rPr>
                <w:szCs w:val="21"/>
              </w:rPr>
              <w:t>分；评价一般得</w:t>
            </w:r>
            <w:r>
              <w:rPr>
                <w:rFonts w:hint="eastAsia"/>
              </w:rPr>
              <w:t>2</w:t>
            </w:r>
            <w:r>
              <w:rPr>
                <w:szCs w:val="21"/>
              </w:rPr>
              <w:t>分</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t>业   绩</w:t>
            </w:r>
          </w:p>
        </w:tc>
        <w:tc>
          <w:tcPr>
            <w:tcW w:w="1080" w:type="dxa"/>
            <w:noWrap/>
            <w:vAlign w:val="center"/>
          </w:tcPr>
          <w:p>
            <w:pPr>
              <w:jc w:val="center"/>
            </w:pPr>
            <w:r>
              <w:rPr>
                <w:rFonts w:hint="eastAsia"/>
              </w:rPr>
              <w:t>5</w:t>
            </w:r>
          </w:p>
        </w:tc>
        <w:tc>
          <w:tcPr>
            <w:tcW w:w="5400" w:type="dxa"/>
            <w:noWrap/>
            <w:vAlign w:val="center"/>
          </w:tcPr>
          <w:p>
            <w:r>
              <w:rPr>
                <w:szCs w:val="21"/>
              </w:rPr>
              <w:t>根据</w:t>
            </w:r>
            <w:r>
              <w:rPr>
                <w:rFonts w:hint="eastAsia"/>
                <w:szCs w:val="21"/>
              </w:rPr>
              <w:t>报价人近3</w:t>
            </w:r>
            <w:r>
              <w:rPr>
                <w:szCs w:val="21"/>
              </w:rPr>
              <w:t>年来与高校合作</w:t>
            </w:r>
            <w:r>
              <w:rPr>
                <w:rFonts w:hint="eastAsia"/>
                <w:szCs w:val="21"/>
              </w:rPr>
              <w:t>项目业绩进行评价</w:t>
            </w:r>
            <w:r>
              <w:rPr>
                <w:szCs w:val="21"/>
              </w:rPr>
              <w:t>（以合同为准），每份</w:t>
            </w:r>
            <w:r>
              <w:rPr>
                <w:rFonts w:hint="eastAsia"/>
                <w:szCs w:val="21"/>
              </w:rPr>
              <w:t>得</w:t>
            </w:r>
            <w:r>
              <w:rPr>
                <w:rFonts w:hint="eastAsia"/>
              </w:rPr>
              <w:t>1</w:t>
            </w:r>
            <w:r>
              <w:rPr>
                <w:szCs w:val="21"/>
              </w:rPr>
              <w:t>分，最多得</w:t>
            </w:r>
            <w:r>
              <w:rPr>
                <w:rFonts w:hint="eastAsia"/>
              </w:rPr>
              <w:t>5</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综合资质情况</w:t>
            </w:r>
          </w:p>
        </w:tc>
        <w:tc>
          <w:tcPr>
            <w:tcW w:w="108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5400" w:type="dxa"/>
            <w:noWrap/>
            <w:vAlign w:val="center"/>
          </w:tcPr>
          <w:p>
            <w:pPr>
              <w:widowControl/>
              <w:rPr>
                <w:rFonts w:ascii="宋体" w:hAnsi="宋体" w:cs="宋体"/>
                <w:kern w:val="0"/>
                <w:szCs w:val="21"/>
              </w:rPr>
            </w:pPr>
            <w:r>
              <w:rPr>
                <w:rFonts w:hint="eastAsia" w:ascii="宋体" w:hAnsi="宋体" w:cs="宋体"/>
                <w:kern w:val="0"/>
                <w:szCs w:val="21"/>
              </w:rPr>
              <w:t>1、 具有质量管理体系认证证书；</w:t>
            </w:r>
          </w:p>
          <w:p>
            <w:pPr>
              <w:widowControl/>
              <w:rPr>
                <w:rFonts w:ascii="宋体" w:hAnsi="宋体" w:cs="宋体"/>
                <w:kern w:val="0"/>
                <w:szCs w:val="21"/>
              </w:rPr>
            </w:pPr>
            <w:r>
              <w:rPr>
                <w:rFonts w:hint="eastAsia" w:ascii="宋体" w:hAnsi="宋体" w:cs="宋体"/>
                <w:kern w:val="0"/>
                <w:szCs w:val="21"/>
              </w:rPr>
              <w:t>2、 具有环境管理体系认证证书；</w:t>
            </w:r>
          </w:p>
          <w:p>
            <w:pPr>
              <w:widowControl/>
              <w:rPr>
                <w:rFonts w:ascii="宋体" w:hAnsi="宋体" w:cs="宋体"/>
                <w:kern w:val="0"/>
                <w:szCs w:val="21"/>
              </w:rPr>
            </w:pPr>
            <w:r>
              <w:rPr>
                <w:rFonts w:hint="eastAsia" w:ascii="宋体" w:hAnsi="宋体" w:cs="宋体"/>
                <w:kern w:val="0"/>
                <w:szCs w:val="21"/>
              </w:rPr>
              <w:t>3、 具有信息安全管理体系认证证书；</w:t>
            </w:r>
          </w:p>
          <w:p>
            <w:pPr>
              <w:widowControl/>
              <w:rPr>
                <w:rFonts w:ascii="宋体" w:hAnsi="宋体" w:cs="宋体"/>
                <w:kern w:val="0"/>
                <w:szCs w:val="21"/>
              </w:rPr>
            </w:pPr>
            <w:r>
              <w:rPr>
                <w:rFonts w:hint="eastAsia" w:ascii="宋体" w:hAnsi="宋体" w:cs="宋体"/>
                <w:kern w:val="0"/>
                <w:szCs w:val="21"/>
              </w:rPr>
              <w:t>4、 具有信息技术服务管理体系认证证书；</w:t>
            </w:r>
          </w:p>
          <w:p>
            <w:pPr>
              <w:widowControl/>
              <w:rPr>
                <w:rFonts w:ascii="宋体" w:hAnsi="宋体" w:cs="宋体"/>
                <w:kern w:val="0"/>
                <w:szCs w:val="21"/>
              </w:rPr>
            </w:pPr>
            <w:r>
              <w:rPr>
                <w:rFonts w:hint="eastAsia" w:ascii="宋体" w:hAnsi="宋体" w:cs="宋体"/>
                <w:kern w:val="0"/>
                <w:szCs w:val="21"/>
              </w:rPr>
              <w:t>5、 具有职业健康安全管理体系认证证书；</w:t>
            </w:r>
          </w:p>
          <w:p>
            <w:pPr>
              <w:widowControl/>
              <w:rPr>
                <w:rFonts w:ascii="宋体" w:hAnsi="宋体" w:cs="宋体"/>
                <w:kern w:val="0"/>
                <w:szCs w:val="21"/>
              </w:rPr>
            </w:pPr>
            <w:r>
              <w:rPr>
                <w:rFonts w:hint="eastAsia" w:ascii="宋体" w:hAnsi="宋体" w:cs="宋体"/>
                <w:kern w:val="0"/>
                <w:szCs w:val="21"/>
              </w:rPr>
              <w:t>以上证书每满足一项得2分，最高得10分，无得0分。</w:t>
            </w:r>
          </w:p>
          <w:p>
            <w:pPr>
              <w:widowControl/>
              <w:rPr>
                <w:rFonts w:ascii="宋体" w:hAnsi="宋体" w:cs="宋体"/>
                <w:kern w:val="0"/>
                <w:szCs w:val="21"/>
              </w:rPr>
            </w:pPr>
            <w:r>
              <w:rPr>
                <w:rFonts w:hint="eastAsia" w:ascii="宋体" w:hAnsi="宋体" w:cs="宋体"/>
                <w:kern w:val="0"/>
                <w:szCs w:val="21"/>
              </w:rPr>
              <w:t>（上述证明材料均需提供复印件并加盖投标人公章，且需在有效期内，否则不得分）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szCs w:val="21"/>
              </w:rPr>
            </w:pPr>
            <w:r>
              <w:rPr>
                <w:rFonts w:hint="eastAsia"/>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p>
      <w:pPr>
        <w:spacing w:line="560" w:lineRule="exact"/>
        <w:ind w:firstLine="562" w:firstLineChars="200"/>
        <w:rPr>
          <w:rFonts w:ascii="宋体" w:hAnsi="宋体"/>
          <w:b/>
          <w:bCs/>
          <w:kern w:val="0"/>
          <w:sz w:val="28"/>
          <w:szCs w:val="28"/>
        </w:rPr>
      </w:pPr>
    </w:p>
    <w:tbl>
      <w:tblPr>
        <w:tblStyle w:val="27"/>
        <w:tblW w:w="5096"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20"/>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Style w:val="30"/>
                <w:rFonts w:hint="eastAsia" w:ascii="宋体" w:hAnsi="宋体" w:cs="宋体"/>
                <w:kern w:val="0"/>
                <w:sz w:val="28"/>
                <w:szCs w:val="28"/>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Style w:val="30"/>
                <w:rFonts w:hint="eastAsia" w:ascii="宋体" w:hAnsi="宋体" w:cs="宋体"/>
                <w:kern w:val="0"/>
                <w:sz w:val="28"/>
                <w:szCs w:val="28"/>
              </w:rPr>
              <w:t>货物/服务名称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Style w:val="30"/>
                <w:rFonts w:hint="eastAsia" w:ascii="宋体" w:hAnsi="宋体" w:cs="宋体"/>
                <w:kern w:val="0"/>
                <w:sz w:val="28"/>
                <w:szCs w:val="28"/>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Style w:val="30"/>
                <w:rFonts w:hint="eastAsia" w:ascii="宋体" w:hAnsi="宋体" w:cs="宋体"/>
                <w:kern w:val="0"/>
                <w:sz w:val="28"/>
                <w:szCs w:val="28"/>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点签器</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2</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起点站</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3</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终点站</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4</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主站</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5</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HC卡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个</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400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6</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便携打印机</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7</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cs="宋体"/>
                <w:sz w:val="28"/>
                <w:szCs w:val="28"/>
              </w:rPr>
              <w:t>智能办公终端</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8</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hint="eastAsia" w:ascii="黑体" w:hAnsi="黑体" w:eastAsia="黑体" w:cs="宋体"/>
                <w:sz w:val="28"/>
                <w:szCs w:val="28"/>
              </w:rPr>
            </w:pPr>
            <w:r>
              <w:rPr>
                <w:rFonts w:hint="eastAsia" w:ascii="黑体" w:hAnsi="黑体" w:eastAsia="黑体" w:cs="宋体"/>
                <w:sz w:val="28"/>
                <w:szCs w:val="28"/>
              </w:rPr>
              <w:t>智能打印终端</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8"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9</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技术服务费</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1</w:t>
            </w:r>
          </w:p>
        </w:tc>
      </w:tr>
    </w:tbl>
    <w:p>
      <w:pPr>
        <w:spacing w:line="560" w:lineRule="exact"/>
        <w:ind w:firstLine="562" w:firstLineChars="200"/>
        <w:rPr>
          <w:rFonts w:ascii="宋体" w:hAnsi="宋体"/>
          <w:b/>
          <w:bCs/>
          <w:kern w:val="0"/>
          <w:sz w:val="28"/>
          <w:szCs w:val="28"/>
        </w:rPr>
      </w:pPr>
    </w:p>
    <w:p>
      <w:pPr>
        <w:spacing w:line="560" w:lineRule="exact"/>
        <w:ind w:firstLine="562" w:firstLineChars="200"/>
        <w:rPr>
          <w:rFonts w:ascii="宋体" w:hAnsi="宋体"/>
          <w:b/>
          <w:bCs/>
          <w:kern w:val="0"/>
          <w:sz w:val="28"/>
          <w:szCs w:val="28"/>
        </w:rPr>
      </w:pPr>
    </w:p>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tbl>
      <w:tblPr>
        <w:tblStyle w:val="27"/>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04"/>
        <w:gridCol w:w="1860"/>
        <w:gridCol w:w="6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503"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Style w:val="30"/>
                <w:rFonts w:hint="eastAsia" w:ascii="宋体" w:hAnsi="宋体" w:cs="宋体"/>
                <w:kern w:val="0"/>
                <w:sz w:val="28"/>
                <w:szCs w:val="28"/>
              </w:rPr>
              <w:t>序号</w:t>
            </w:r>
          </w:p>
        </w:tc>
        <w:tc>
          <w:tcPr>
            <w:tcW w:w="1035"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Style w:val="30"/>
                <w:rFonts w:hint="eastAsia" w:ascii="宋体" w:hAnsi="宋体" w:cs="宋体"/>
                <w:kern w:val="0"/>
                <w:sz w:val="28"/>
                <w:szCs w:val="28"/>
              </w:rPr>
              <w:t>货物/服务名称</w:t>
            </w:r>
          </w:p>
        </w:tc>
        <w:tc>
          <w:tcPr>
            <w:tcW w:w="3462"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Style w:val="30"/>
                <w:rFonts w:hint="eastAsia" w:ascii="宋体" w:hAnsi="宋体" w:cs="宋体"/>
                <w:kern w:val="0"/>
                <w:sz w:val="28"/>
                <w:szCs w:val="28"/>
              </w:rPr>
              <w:t>详细要求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1</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点签器</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▲1.采用指卡、免接触腕卡和点签相结合的模式，可实现接触式刷卡和免接触式刷卡两种专业比赛模式，计时精度可达0.1秒，使用开机棒开机；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2.采用点签充电设计节能环保，使用高性能可充电锂电池供电≤3小时充满，点签器可≥3年免维护。新款器材可以设置超级起点，即不使用清除站点，直接打起点即可比赛；</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3.带有显示屏，日常比赛训练使用方便快捷；</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4.根据赛事要求，免接触打卡可以三档感应距离自由调节；具有软硬件防冲突设置；</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5.专业定向赛式可使用远距离腕卡计时，并接入云端成绩系统时行成绩统计与分析，同时成绩大屏滚动展示；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6.具有远距离刷卡功能，专业比赛使用免接触式手环进行打卡；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7.具有2.4G通讯功能，直接使用主站进行时间校对，不需要购买校时器、对时器等，使用管理卡直接更改号码、更改站点类型（起点、终点、清除等）、备份数据调用等功能，不需要连接电脑使用蓝牙或NFC等操作；</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8.迷你轻量化设计；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9.防潮，防震，温度范围－40℃～＋80℃，具有物理防抢打设计；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10.具有多种工作模式，路线模式可直接判断运动员路线的有效性；</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▲11.任意点签（含起点、终点、清除），插上【主站/点签变换器】就可以作为主站使用；</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▲12.要求是与中国人民解放军国防科技大学军事基础教育学院军事教育系共同研发的产品，报价人承诺签订合同时提供相关证书；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2</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起点站</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1.采用指卡、免接触腕卡和点签相结合的模式，可实现接触式刷卡和免接触式刷卡两种专业比赛模式，计时精度可达0.1秒，使用开机棒开机；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2.采用点签充电设计节能环保，使用高性能可充电锂电池供电≤3小时充满，点签器≥3年免维护。新款器材可以设置超级起点，即不使用清除站点，直接打起点即可比赛；</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▲3.带有显示屏，日常比赛训练使用方便快捷；</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4.根据赛事要求，免接触打卡可以三档感应距离自由调节；具有软硬件防冲突设置；</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5.专业定向赛式可使用远距离腕卡计时，并接入云端成绩系统时行成绩统计与分析，同时成绩大屏滚动展示；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▲6.具有远距离刷卡功能，专业比赛使用免接触式手环进行打卡；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7.具有2.4G通讯功能，直接使用主站进行时间校对，不需要购买校时器、对时器等，使用管理卡直接更改号码、更改站点类型（起点、终点、清除等）、备份数据调用等功能，不需要连接电脑使用蓝牙或NFC等操作；</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8.迷你轻量化设计；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9.防潮，防震，温度范围－40℃～＋80℃，具有物理防抢打设计；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10.具有多种工作模式，路线模式可直接判断运动员路线的有效性；</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11.任意点签（含起点、终点、清除），插上【主站/点签变换器】就可以作为主站使用；</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12.要求是与中国人民解放军国防科技大学军事基础教育学院军事教育系共同研发的产品，报价人承诺签订合同时提供相关证书；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3</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终点站</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1.采用指卡、免接触腕卡和点签相结合的模式，可实现接触式刷卡和免接触式刷卡两种专业比赛模式，计时精度可达0.1秒，使用开机棒开机；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2.采用点签充电设计节能环保，使用高性能可充电锂电池供电≤3小时充满，点签器≥3年免维护。新款器材可以设置超级起点，即不使用清除站点，直接打起点即可比赛；</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3.带有显示屏，日常比赛训练使用方便快捷；</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4.根据赛事要求，免接触打卡可以三档感应距离自由调节；具有软硬件防冲突设置；</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5.专业定向赛式可使用远距离腕卡计时，并接入云端成绩系统时行成绩统计与分析，同时成绩大屏滚动展示；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▲6.具有远距离刷卡功能，专业比赛使用免接触式手环进行打卡；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7.具有2.4G通讯功能，直接使用主站进行时间校对，不需要购买校时器、对时器等，使用管理卡直接更改号码、更改站点类型（起点、终点、清除等）、备份数据调用等功能，不需要连接电脑使用蓝牙或NFC等操作；</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8.迷你轻量化设计；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9.防潮，防震，温度范围－40℃～＋80℃，具有物理防抢打设计；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10.具有多种工作模式，路线模式可直接判断运动员路线的有效性；</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▲11.任意点签（含起点、终点、清除），插上【主站/点签变换器】就可以作为主站使用；</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12.要求是与中国人民解放军国防科技大学军事基础教育学院军事教育系共同研发的产品，报价人承诺签订合同时提供相关证书；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4</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主站</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1.采用指卡、免接触腕卡和点签相结合的模式，可实现接触式刷卡和免接触式刷卡两种专业比赛模式，计时精度可达0.1秒，使用开机棒开机；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2.采用点签充电设计节能环保，使用高性能可充电锂电池供电≤3小时充满，点签器≥3年免维护。新款器材可以设置超级起点，即不使用清除站点，直接打起点即可比赛；</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3.带有显示屏，日常比赛训练使用方便快捷；</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4.根据赛事要求，免接触打卡可以三档感应距离自由调节；具有软硬件防冲突设置；</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5.专业定向赛式可使用远距离腕卡计时，并接入云端成绩系统时行成绩统计与分析，同时成绩大屏滚动展示；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6.具有远距离刷卡功能，专业比赛使用免接触式手环进行打卡；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7.具有2.4G通讯功能，直接使用主站进行时间校对，不需要购买校时器、对时器等，使用管理卡直接更改号码、更改站点类型（起点、终点、清除等）、备份数据调用等功能，不需要连接电脑使用蓝牙或NFC等操作；</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8.迷你轻量化设计；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9.防潮，防震，温度范围－40℃～＋80℃，具有物理防抢打设计；</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10.具有多种工作模式，路线模式可直接判断运动员路线的有效性；</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▲11.任意点签（含起点、终点、清除），插上【主站/点签变换器】就可以作为主站使用；</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▲12.要求是与中国人民解放军国防科技大学军事基础教育学院军事教育系共同研发的产品，报价人承诺签订合同时提供相关证书；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5</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HC卡</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计时芯片有指卡和腕卡两种形态，指卡外形尺寸约为32*26*3.8mm，两端弧形设计，小巧动感美观，配以黑色高弹高密松紧指带，内侧加棉，松紧自动调节，结实舒适不伤手，腕卡采用环保材质硅橡胶，直径65mm，戴于手腕上，要求橡胶材料有环保检测报告；</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2.可以将姓名和单位信息写入指卡，实现实名制，存储容量达到≥168个站点打卡数据；</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3.指卡编号不少于8位，确保指卡号码全球唯一性，具备3次DES密钥认证；</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4.防水，防潮，防腐蚀，温度范围－40℃～＋80℃，指卡弧度与点签器物理限位圈配合，确保进入限位圈指卡的唯一性，满足防抢打要求；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6</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便携打印机</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1.支持姓名，单位打印输出，热敏打印方式；</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2.打印机体积小,支持排序打印，方便携带，满足长时间待机；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3.可电池供电，亦可接电源直接工作；一次充电，待机时间不少于10个小时；</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4.轻便型与实用性相结合，可安装直径为40的大卷热敏打印纸（一次更换，可输出200-500人成绩，方便实用）支持汉字输出；</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5.支持姓名、单位打印输出，支持排序打印；体积超小、携带方便。要求不大于40分钟快速充电，携带方便（特别适合教学与训练使用）；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7</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智能办公终端</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1.显示屏≥13.5英寸</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2.处理器：≥第12代英特尔酷睿i5-1235U十核处理器</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3.内存和存储：≥8GB+256GB</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4.显卡: ≥英特尔锐巨显卡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8</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智能打印终端</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1.支持彩印、复印、扫描、双面打印</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2.最大支持幅面：≥A4</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3.支持无线打印</w:t>
            </w:r>
          </w:p>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4.自带供墨系统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3"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8"/>
                <w:szCs w:val="28"/>
              </w:rPr>
            </w:pPr>
            <w:r>
              <w:rPr>
                <w:rFonts w:hint="eastAsia" w:ascii="宋体" w:hAnsi="宋体" w:cs="宋体"/>
                <w:kern w:val="0"/>
                <w:sz w:val="28"/>
                <w:szCs w:val="28"/>
              </w:rPr>
              <w:t>9</w:t>
            </w:r>
          </w:p>
        </w:tc>
        <w:tc>
          <w:tcPr>
            <w:tcW w:w="1035"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center"/>
              <w:rPr>
                <w:rFonts w:ascii="黑体" w:hAnsi="黑体" w:eastAsia="黑体" w:cs="宋体"/>
                <w:sz w:val="28"/>
                <w:szCs w:val="28"/>
              </w:rPr>
            </w:pPr>
            <w:r>
              <w:rPr>
                <w:rFonts w:hint="eastAsia" w:ascii="黑体" w:hAnsi="黑体" w:eastAsia="黑体"/>
                <w:sz w:val="28"/>
                <w:szCs w:val="28"/>
              </w:rPr>
              <w:t>技术服务费</w:t>
            </w:r>
          </w:p>
        </w:tc>
        <w:tc>
          <w:tcPr>
            <w:tcW w:w="3462" w:type="pct"/>
            <w:tcBorders>
              <w:top w:val="nil"/>
              <w:left w:val="nil"/>
              <w:bottom w:val="single" w:color="000000" w:sz="4" w:space="0"/>
              <w:right w:val="single" w:color="000000" w:sz="4" w:space="0"/>
            </w:tcBorders>
            <w:shd w:val="clear" w:color="auto" w:fill="auto"/>
            <w:tcMar>
              <w:left w:w="70" w:type="dxa"/>
              <w:right w:w="70" w:type="dxa"/>
            </w:tcMar>
            <w:vAlign w:val="center"/>
          </w:tcPr>
          <w:p>
            <w:pPr>
              <w:jc w:val="left"/>
              <w:rPr>
                <w:rFonts w:ascii="黑体" w:hAnsi="黑体" w:eastAsia="黑体" w:cs="宋体"/>
                <w:sz w:val="28"/>
                <w:szCs w:val="28"/>
              </w:rPr>
            </w:pPr>
            <w:r>
              <w:rPr>
                <w:rFonts w:cs="宋体" w:asciiTheme="minorEastAsia" w:hAnsiTheme="minorEastAsia" w:eastAsiaTheme="minorEastAsia"/>
                <w:sz w:val="24"/>
              </w:rPr>
              <w:t>Ocad</w:t>
            </w:r>
            <w:r>
              <w:rPr>
                <w:rFonts w:hint="eastAsia" w:cs="宋体" w:asciiTheme="minorEastAsia" w:hAnsiTheme="minorEastAsia" w:eastAsiaTheme="minorEastAsia"/>
                <w:sz w:val="24"/>
              </w:rPr>
              <w:t>软件使用2年许可服务费、项目售后培训、第一次赛事活动前设备原厂技术人员需要到场提供技术支持、保障赛事顺利进行等服务。</w:t>
            </w:r>
          </w:p>
        </w:tc>
      </w:tr>
    </w:tbl>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自合同签订之日起20天内完成交货，确保正常运行使用。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质保期自安装验收合格之日起生效，时间为1年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 xml:space="preserve">服务响应速度在4小时之内,并在24小时内解决故障。 </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该项目验收合格后7个工作日内，将合同款100%转账支付给成交人。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sz w:val="18"/>
          <w:szCs w:val="18"/>
        </w:rPr>
      </w:pPr>
      <w:r>
        <w:rPr>
          <w:rFonts w:hint="eastAsia"/>
          <w:b/>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sz w:val="30"/>
          <w:szCs w:val="30"/>
        </w:rPr>
      </w:pPr>
    </w:p>
    <w:p>
      <w:pPr>
        <w:pStyle w:val="13"/>
        <w:jc w:val="left"/>
        <w:rPr>
          <w:rFonts w:hAnsi="宋体" w:cs="宋体"/>
          <w:bCs/>
          <w:sz w:val="30"/>
          <w:szCs w:val="30"/>
        </w:rPr>
      </w:pPr>
    </w:p>
    <w:p>
      <w:pPr>
        <w:pStyle w:val="13"/>
        <w:jc w:val="left"/>
        <w:rPr>
          <w:rFonts w:hAnsi="宋体" w:cs="宋体"/>
          <w:bCs/>
          <w:sz w:val="30"/>
          <w:szCs w:val="30"/>
        </w:rPr>
      </w:pPr>
    </w:p>
    <w:p>
      <w:pPr>
        <w:pStyle w:val="13"/>
        <w:jc w:val="left"/>
        <w:rPr>
          <w:rFonts w:hAnsi="宋体" w:cs="宋体"/>
          <w:bCs/>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szCs w:val="21"/>
        </w:rPr>
      </w:pPr>
      <w:r>
        <w:rPr>
          <w:rFonts w:hint="eastAsia" w:ascii="宋体" w:hAnsi="宋体"/>
          <w:sz w:val="32"/>
          <w:szCs w:val="32"/>
        </w:rPr>
        <w:t>报价人单位（盖章）：</w:t>
      </w:r>
    </w:p>
    <w:p>
      <w:pPr>
        <w:rPr>
          <w:rFonts w:ascii="宋体" w:hAnsi="宋体" w:cs="宋体"/>
          <w:bCs/>
          <w:szCs w:val="21"/>
        </w:rPr>
      </w:pPr>
      <w:r>
        <w:rPr>
          <w:rFonts w:hint="eastAsia" w:ascii="宋体" w:hAnsi="宋体" w:cs="宋体"/>
          <w:bCs/>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footerReference r:id="rId7" w:type="first"/>
      <w:headerReference r:id="rId3" w:type="default"/>
      <w:footerReference r:id="rId5" w:type="default"/>
      <w:headerReference r:id="rId4" w:type="even"/>
      <w:footerReference r:id="rId6"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2ECD8F-31B7-4CFA-83A5-408FFE13FE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3C79124-0129-416E-A57A-BCD0E962E8D3}"/>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DA38103C-BCF4-4733-A84B-A8E8F81213D2}"/>
  </w:font>
  <w:font w:name="楷体_GB2312">
    <w:panose1 w:val="02010609030101010101"/>
    <w:charset w:val="86"/>
    <w:family w:val="modern"/>
    <w:pitch w:val="default"/>
    <w:sig w:usb0="00000001" w:usb1="080E0000" w:usb2="00000000" w:usb3="00000000" w:csb0="00040000" w:csb1="00000000"/>
    <w:embedRegular r:id="rId4" w:fontKey="{68B77396-2838-42DE-8B91-C5DAAAAC9688}"/>
  </w:font>
  <w:font w:name="楷体">
    <w:panose1 w:val="02010609060101010101"/>
    <w:charset w:val="86"/>
    <w:family w:val="modern"/>
    <w:pitch w:val="default"/>
    <w:sig w:usb0="800002BF" w:usb1="38CF7CFA" w:usb2="00000016" w:usb3="00000000" w:csb0="00040001" w:csb1="00000000"/>
    <w:embedRegular r:id="rId5" w:fontKey="{CFD79D03-3737-4505-9823-50A7BFEC91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1AAD"/>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26C"/>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59B"/>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447"/>
    <w:rsid w:val="000F6F55"/>
    <w:rsid w:val="000F7828"/>
    <w:rsid w:val="000F790B"/>
    <w:rsid w:val="00100993"/>
    <w:rsid w:val="00100CE3"/>
    <w:rsid w:val="001023CC"/>
    <w:rsid w:val="00103163"/>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09F1"/>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1F9C"/>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018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87F68"/>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DB7"/>
    <w:rsid w:val="00392E2D"/>
    <w:rsid w:val="003939DC"/>
    <w:rsid w:val="00393F41"/>
    <w:rsid w:val="00394681"/>
    <w:rsid w:val="00394A16"/>
    <w:rsid w:val="00394E72"/>
    <w:rsid w:val="00395878"/>
    <w:rsid w:val="00395983"/>
    <w:rsid w:val="00395C2E"/>
    <w:rsid w:val="00395DCC"/>
    <w:rsid w:val="00395F15"/>
    <w:rsid w:val="00397A11"/>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4272"/>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3AE"/>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26D7"/>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1543"/>
    <w:rsid w:val="00671DFC"/>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4342"/>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358E"/>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6746"/>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5D08"/>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976B6"/>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3C68"/>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B7C44"/>
    <w:rsid w:val="00DC075B"/>
    <w:rsid w:val="00DC0B00"/>
    <w:rsid w:val="00DC0C6E"/>
    <w:rsid w:val="00DC0EC7"/>
    <w:rsid w:val="00DC1927"/>
    <w:rsid w:val="00DC1D1A"/>
    <w:rsid w:val="00DC252F"/>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4FD8"/>
    <w:rsid w:val="00E6594F"/>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0C13"/>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6E37CF4"/>
    <w:rsid w:val="07654F6A"/>
    <w:rsid w:val="079E325C"/>
    <w:rsid w:val="0A2F4D76"/>
    <w:rsid w:val="0BEE41F8"/>
    <w:rsid w:val="0D0015C5"/>
    <w:rsid w:val="0E6949B3"/>
    <w:rsid w:val="0F666038"/>
    <w:rsid w:val="0FEF4AD0"/>
    <w:rsid w:val="11FA2096"/>
    <w:rsid w:val="12254861"/>
    <w:rsid w:val="12B4052F"/>
    <w:rsid w:val="12EC524A"/>
    <w:rsid w:val="13071F04"/>
    <w:rsid w:val="13C52591"/>
    <w:rsid w:val="144A5260"/>
    <w:rsid w:val="14A66120"/>
    <w:rsid w:val="14E23522"/>
    <w:rsid w:val="168532DC"/>
    <w:rsid w:val="173373DC"/>
    <w:rsid w:val="1753107A"/>
    <w:rsid w:val="18DC1D83"/>
    <w:rsid w:val="18DD33E1"/>
    <w:rsid w:val="18EE0C00"/>
    <w:rsid w:val="1AE42B15"/>
    <w:rsid w:val="1E777908"/>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2046B-3A88-4F38-A67A-B03AB32A557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2063</Words>
  <Characters>11764</Characters>
  <Lines>98</Lines>
  <Paragraphs>27</Paragraphs>
  <TotalTime>180</TotalTime>
  <ScaleCrop>false</ScaleCrop>
  <LinksUpToDate>false</LinksUpToDate>
  <CharactersWithSpaces>13800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2023-11-29T11:07:02Z</dcterms:modified>
  <cp:revision>958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1D3C9213AC34469BBDF1724167B25F8F_13</vt:lpwstr>
  </property>
</Properties>
</file>