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1A9EE1A3">
      <w:pPr>
        <w:spacing w:line="760" w:lineRule="exact"/>
        <w:ind w:left="2884" w:leftChars="513" w:hanging="1807" w:hangingChars="500"/>
        <w:rPr>
          <w:rFonts w:ascii="宋体" w:hAnsi="宋体"/>
          <w:b/>
          <w:sz w:val="36"/>
          <w:u w:val="single"/>
        </w:rPr>
      </w:pPr>
      <w:r>
        <w:rPr>
          <w:rFonts w:hint="eastAsia"/>
          <w:b/>
          <w:sz w:val="36"/>
        </w:rPr>
        <w:t>项目</w:t>
      </w:r>
      <w:r>
        <w:rPr>
          <w:rFonts w:hint="eastAsia"/>
          <w:b/>
          <w:sz w:val="36"/>
          <w:szCs w:val="36"/>
        </w:rPr>
        <w:t>名称</w:t>
      </w:r>
      <w:r>
        <w:rPr>
          <w:b/>
          <w:sz w:val="36"/>
        </w:rPr>
        <w:t>:</w:t>
      </w:r>
      <w:r>
        <w:rPr>
          <w:rFonts w:hint="eastAsia" w:ascii="宋体" w:hAnsi="宋体"/>
          <w:b/>
          <w:sz w:val="36"/>
          <w:u w:val="single"/>
        </w:rPr>
        <w:t xml:space="preserve"> </w:t>
      </w:r>
      <w:r>
        <w:rPr>
          <w:rFonts w:hint="eastAsia" w:ascii="宋体" w:hAnsi="宋体"/>
          <w:b/>
          <w:sz w:val="36"/>
          <w:u w:val="single"/>
          <w:lang w:val="en-US" w:eastAsia="zh-CN"/>
        </w:rPr>
        <w:t>2027</w:t>
      </w:r>
      <w:r>
        <w:rPr>
          <w:rFonts w:hint="eastAsia" w:ascii="宋体" w:hAnsi="宋体"/>
          <w:b/>
          <w:sz w:val="36"/>
          <w:u w:val="single"/>
          <w:lang w:eastAsia="zh-CN"/>
        </w:rPr>
        <w:t>年研究生入学考试自命题科目答卷网上阅卷服务</w:t>
      </w:r>
      <w:r>
        <w:rPr>
          <w:rFonts w:hint="eastAsia" w:ascii="宋体" w:hAnsi="宋体"/>
          <w:b/>
          <w:sz w:val="36"/>
          <w:u w:val="single"/>
        </w:rPr>
        <w:t xml:space="preserve">          　</w:t>
      </w:r>
    </w:p>
    <w:p w14:paraId="3BBBD34C">
      <w:pPr>
        <w:spacing w:line="760" w:lineRule="exact"/>
        <w:ind w:firstLine="1084" w:firstLineChars="300"/>
        <w:rPr>
          <w:rFonts w:ascii="宋体" w:hAnsi="宋体"/>
          <w:b/>
          <w:sz w:val="36"/>
          <w:szCs w:val="36"/>
          <w:u w:val="single"/>
        </w:rPr>
      </w:pPr>
      <w:r>
        <w:rPr>
          <w:rFonts w:hint="eastAsia"/>
          <w:b/>
          <w:sz w:val="36"/>
          <w:szCs w:val="36"/>
        </w:rPr>
        <w:t>采购单位：</w:t>
      </w:r>
      <w:r>
        <w:rPr>
          <w:rFonts w:hint="eastAsia" w:ascii="宋体" w:hAnsi="宋体"/>
          <w:b/>
          <w:sz w:val="36"/>
          <w:u w:val="single"/>
        </w:rPr>
        <w:t xml:space="preserve"> </w:t>
      </w:r>
      <w:r>
        <w:rPr>
          <w:rFonts w:hint="eastAsia" w:ascii="宋体" w:hAnsi="宋体"/>
          <w:b/>
          <w:sz w:val="36"/>
          <w:u w:val="single"/>
          <w:lang w:val="en-US" w:eastAsia="zh-CN"/>
        </w:rPr>
        <w:t xml:space="preserve">招生考试部       </w:t>
      </w:r>
      <w:r>
        <w:rPr>
          <w:rFonts w:hint="eastAsia" w:ascii="宋体" w:hAnsi="宋体"/>
          <w:b/>
          <w:sz w:val="36"/>
          <w:u w:val="single"/>
        </w:rPr>
        <w:t xml:space="preserve">        </w:t>
      </w:r>
    </w:p>
    <w:p w14:paraId="41C40B6B">
      <w:pPr>
        <w:spacing w:line="760" w:lineRule="exact"/>
        <w:ind w:firstLine="1084" w:firstLineChars="300"/>
        <w:rPr>
          <w:b/>
          <w:sz w:val="36"/>
          <w:szCs w:val="36"/>
        </w:rPr>
      </w:pPr>
      <w:r>
        <w:rPr>
          <w:rFonts w:hint="eastAsia"/>
          <w:b/>
          <w:sz w:val="36"/>
          <w:szCs w:val="36"/>
        </w:rPr>
        <w:t>发布时间：</w:t>
      </w:r>
      <w:r>
        <w:rPr>
          <w:rFonts w:hint="eastAsia" w:ascii="宋体" w:hAnsi="宋体"/>
          <w:b/>
          <w:sz w:val="36"/>
          <w:u w:val="single"/>
        </w:rPr>
        <w:t xml:space="preserve"> </w:t>
      </w:r>
      <w:r>
        <w:rPr>
          <w:rFonts w:hint="eastAsia" w:ascii="宋体" w:hAnsi="宋体"/>
          <w:b/>
          <w:sz w:val="36"/>
          <w:u w:val="single"/>
          <w:lang w:val="en-US" w:eastAsia="zh-CN"/>
        </w:rPr>
        <w:t>2026年10月10日</w:t>
      </w:r>
      <w:r>
        <w:rPr>
          <w:rFonts w:hint="eastAsia" w:ascii="宋体" w:hAnsi="宋体"/>
          <w:b/>
          <w:sz w:val="36"/>
          <w:u w:val="single"/>
        </w:rPr>
        <w:t xml:space="preserve">          </w:t>
      </w:r>
    </w:p>
    <w:p w14:paraId="53DF9A24">
      <w:pPr>
        <w:spacing w:line="760" w:lineRule="exact"/>
        <w:ind w:firstLine="1084" w:firstLineChars="300"/>
        <w:rPr>
          <w:rFonts w:ascii="宋体" w:hAnsi="宋体"/>
          <w:b/>
          <w:sz w:val="36"/>
          <w:szCs w:val="36"/>
          <w:u w:val="single"/>
        </w:rPr>
      </w:pPr>
    </w:p>
    <w:p w14:paraId="350B3F0C">
      <w:pPr>
        <w:spacing w:line="1000" w:lineRule="exact"/>
        <w:jc w:val="center"/>
        <w:rPr>
          <w:rFonts w:ascii="黑体" w:eastAsia="黑体"/>
          <w:b/>
          <w:sz w:val="72"/>
          <w:szCs w:val="72"/>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9"/>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9"/>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9"/>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508103350"/>
      <w:bookmarkStart w:id="1" w:name="_Toc60236697"/>
      <w:bookmarkStart w:id="2" w:name="_Toc508103135"/>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508103351"/>
      <w:bookmarkStart w:id="5" w:name="_Toc60236698"/>
      <w:bookmarkStart w:id="6" w:name="_Toc16574"/>
      <w:r>
        <w:rPr>
          <w:rFonts w:hint="eastAsia"/>
        </w:rPr>
        <w:t>一、采购项目</w:t>
      </w:r>
      <w:bookmarkEnd w:id="4"/>
      <w:bookmarkEnd w:id="5"/>
      <w:r>
        <w:rPr>
          <w:rFonts w:hint="eastAsia"/>
        </w:rPr>
        <w:t>概况</w:t>
      </w:r>
      <w:bookmarkEnd w:id="6"/>
    </w:p>
    <w:p w14:paraId="0274625F">
      <w:pPr>
        <w:spacing w:line="560" w:lineRule="exact"/>
        <w:ind w:firstLine="560" w:firstLineChars="200"/>
        <w:rPr>
          <w:rFonts w:hint="default" w:ascii="宋体" w:hAnsi="宋体"/>
          <w:color w:val="auto"/>
          <w:sz w:val="28"/>
          <w:szCs w:val="28"/>
          <w:lang w:val="en-US"/>
        </w:rPr>
      </w:pPr>
      <w:r>
        <w:rPr>
          <w:rFonts w:hint="eastAsia" w:ascii="宋体" w:hAnsi="宋体"/>
          <w:color w:val="auto"/>
          <w:sz w:val="28"/>
          <w:szCs w:val="28"/>
          <w:lang w:val="en-US" w:eastAsia="zh-CN"/>
        </w:rPr>
        <w:t>为保障我校2027年硕士研究生招生考试（自命题科目）评卷工作安全有序完成，根据教育部《2027年硕士研究生工作管理规定》相关要求，计划采购2027年研究生入学考试自命题科目答卷网上阅卷服务。</w:t>
      </w:r>
    </w:p>
    <w:p w14:paraId="6C9B838E">
      <w:pPr>
        <w:spacing w:line="560" w:lineRule="exact"/>
        <w:ind w:firstLine="560" w:firstLineChars="200"/>
        <w:rPr>
          <w:rFonts w:ascii="宋体" w:hAnsi="宋体"/>
          <w:color w:val="auto"/>
          <w:sz w:val="28"/>
          <w:szCs w:val="28"/>
        </w:rPr>
      </w:pPr>
      <w:r>
        <w:rPr>
          <w:rFonts w:hint="eastAsia" w:ascii="宋体" w:hAnsi="宋体"/>
          <w:color w:val="auto"/>
          <w:sz w:val="28"/>
          <w:szCs w:val="28"/>
        </w:rPr>
        <w:t>本项目采购预算控制价</w:t>
      </w:r>
      <w:r>
        <w:rPr>
          <w:rFonts w:hint="eastAsia" w:ascii="宋体" w:hAnsi="宋体"/>
          <w:color w:val="auto"/>
          <w:sz w:val="28"/>
          <w:szCs w:val="28"/>
          <w:lang w:val="en-US" w:eastAsia="zh-CN"/>
        </w:rPr>
        <w:t>为</w:t>
      </w:r>
      <w:bookmarkStart w:id="31" w:name="_GoBack"/>
      <w:bookmarkEnd w:id="31"/>
      <w:r>
        <w:rPr>
          <w:rFonts w:hint="eastAsia" w:ascii="宋体" w:hAnsi="宋体"/>
          <w:color w:val="auto"/>
          <w:sz w:val="28"/>
          <w:szCs w:val="28"/>
          <w:lang w:val="en-US" w:eastAsia="zh-CN"/>
        </w:rPr>
        <w:t>7</w:t>
      </w:r>
      <w:r>
        <w:rPr>
          <w:rFonts w:hint="eastAsia" w:ascii="宋体" w:hAnsi="宋体"/>
          <w:color w:val="auto"/>
          <w:sz w:val="28"/>
          <w:szCs w:val="28"/>
        </w:rPr>
        <w:t>万元，</w:t>
      </w:r>
      <w:r>
        <w:rPr>
          <w:rFonts w:ascii="宋体" w:hAnsi="宋体"/>
          <w:color w:val="auto"/>
          <w:sz w:val="28"/>
          <w:szCs w:val="28"/>
        </w:rPr>
        <w:t>资金已到位。</w:t>
      </w:r>
    </w:p>
    <w:p w14:paraId="2C4934A7">
      <w:pPr>
        <w:pStyle w:val="3"/>
        <w:spacing w:line="560" w:lineRule="exact"/>
      </w:pPr>
      <w:bookmarkStart w:id="7" w:name="_Toc28829"/>
      <w:bookmarkStart w:id="8" w:name="_Toc60236699"/>
      <w:bookmarkStart w:id="9" w:name="_Toc508103352"/>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60236700"/>
      <w:bookmarkStart w:id="11" w:name="_Toc11839"/>
      <w:bookmarkStart w:id="12" w:name="_Toc508103353"/>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60236701"/>
      <w:bookmarkStart w:id="14" w:name="_Toc20873"/>
      <w:bookmarkStart w:id="15" w:name="_Toc508103354"/>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60236702"/>
      <w:bookmarkStart w:id="17" w:name="_Toc18253"/>
      <w:bookmarkStart w:id="18" w:name="_Toc508103355"/>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508103356"/>
      <w:bookmarkStart w:id="20" w:name="_Toc10890"/>
      <w:bookmarkStart w:id="21" w:name="_Toc60236703"/>
      <w:r>
        <w:rPr>
          <w:rFonts w:hint="eastAsia"/>
        </w:rPr>
        <w:t>六、评审</w:t>
      </w:r>
      <w:r>
        <w:t>方法</w:t>
      </w:r>
      <w:r>
        <w:rPr>
          <w:rFonts w:hint="eastAsia"/>
        </w:rPr>
        <w:t>及原则</w:t>
      </w:r>
      <w:bookmarkEnd w:id="19"/>
      <w:bookmarkEnd w:id="20"/>
      <w:bookmarkEnd w:id="21"/>
    </w:p>
    <w:p w14:paraId="2173A4FD">
      <w:pPr>
        <w:spacing w:line="560" w:lineRule="exact"/>
        <w:ind w:firstLine="560" w:firstLineChars="200"/>
        <w:rPr>
          <w:rFonts w:ascii="宋体" w:hAnsi="宋体"/>
          <w:b/>
          <w:bCs/>
          <w:sz w:val="28"/>
          <w:szCs w:val="28"/>
          <w:u w:val="single"/>
        </w:rPr>
      </w:pPr>
      <w:r>
        <w:rPr>
          <w:rFonts w:hint="eastAsia" w:ascii="宋体" w:hAnsi="宋体"/>
          <w:sz w:val="28"/>
          <w:szCs w:val="28"/>
        </w:rPr>
        <w:t>本项目采用评审方法</w:t>
      </w:r>
      <w:r>
        <w:rPr>
          <w:rFonts w:hint="eastAsia" w:ascii="宋体" w:hAnsi="宋体"/>
          <w:sz w:val="28"/>
          <w:szCs w:val="28"/>
          <w:lang w:eastAsia="zh-CN"/>
        </w:rPr>
        <w:t>：</w:t>
      </w:r>
      <w:r>
        <w:rPr>
          <w:rFonts w:hint="eastAsia" w:ascii="宋体" w:hAnsi="宋体"/>
          <w:sz w:val="28"/>
          <w:szCs w:val="28"/>
          <w:u w:val="single"/>
        </w:rPr>
        <w:t xml:space="preserve"> </w:t>
      </w:r>
      <w:r>
        <w:rPr>
          <w:rFonts w:hint="eastAsia" w:ascii="宋体" w:hAnsi="宋体"/>
          <w:b/>
          <w:bCs/>
          <w:sz w:val="28"/>
          <w:szCs w:val="28"/>
          <w:u w:val="single"/>
        </w:rPr>
        <w:t>评审小组对符合响应条件的供应商进行综合评审，综合得分最高</w:t>
      </w:r>
      <w:r>
        <w:rPr>
          <w:rFonts w:hint="eastAsia" w:ascii="宋体" w:hAnsi="宋体"/>
          <w:b/>
          <w:bCs/>
          <w:sz w:val="28"/>
          <w:szCs w:val="28"/>
          <w:u w:val="single"/>
          <w:lang w:val="en-US" w:eastAsia="zh-CN"/>
        </w:rPr>
        <w:t>者</w:t>
      </w:r>
      <w:r>
        <w:rPr>
          <w:rFonts w:hint="eastAsia" w:ascii="宋体" w:hAnsi="宋体"/>
          <w:b/>
          <w:bCs/>
          <w:sz w:val="28"/>
          <w:szCs w:val="28"/>
          <w:u w:val="single"/>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58874566">
      <w:pPr>
        <w:pStyle w:val="3"/>
        <w:numPr>
          <w:ilvl w:val="0"/>
          <w:numId w:val="2"/>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4BE2CB3">
      <w:pPr>
        <w:rPr>
          <w:rFonts w:ascii="宋体" w:hAnsi="宋体"/>
          <w:b/>
          <w:bCs/>
          <w:sz w:val="28"/>
          <w:szCs w:val="28"/>
        </w:rPr>
      </w:pPr>
      <w:r>
        <w:rPr>
          <w:rFonts w:hint="eastAsia" w:ascii="宋体" w:hAnsi="宋体"/>
          <w:b/>
          <w:bCs/>
          <w:sz w:val="28"/>
          <w:szCs w:val="28"/>
        </w:rPr>
        <w:br w:type="page"/>
      </w:r>
    </w:p>
    <w:p w14:paraId="5BF69F5C">
      <w:pPr>
        <w:spacing w:line="560" w:lineRule="exact"/>
        <w:ind w:firstLine="562" w:firstLineChars="200"/>
        <w:rPr>
          <w:rFonts w:ascii="宋体" w:hAnsi="宋体"/>
          <w:b/>
          <w:sz w:val="28"/>
          <w:szCs w:val="28"/>
        </w:rPr>
      </w:pPr>
      <w:r>
        <w:rPr>
          <w:rFonts w:hint="eastAsia" w:ascii="宋体" w:hAnsi="宋体"/>
          <w:b/>
          <w:sz w:val="28"/>
          <w:szCs w:val="28"/>
        </w:rPr>
        <w:t>附表2：</w:t>
      </w:r>
    </w:p>
    <w:p w14:paraId="58AE1073">
      <w:pPr>
        <w:spacing w:line="560" w:lineRule="exact"/>
        <w:ind w:firstLine="562" w:firstLineChars="200"/>
        <w:jc w:val="center"/>
        <w:rPr>
          <w:rFonts w:ascii="宋体" w:hAnsi="宋体"/>
          <w:b/>
          <w:bCs/>
          <w:sz w:val="28"/>
          <w:szCs w:val="28"/>
        </w:rPr>
      </w:pPr>
      <w:r>
        <w:rPr>
          <w:rFonts w:hint="eastAsia" w:ascii="宋体" w:hAnsi="宋体"/>
          <w:b/>
          <w:bCs/>
          <w:sz w:val="28"/>
          <w:szCs w:val="28"/>
        </w:rPr>
        <w:t>详细评审表</w:t>
      </w:r>
    </w:p>
    <w:tbl>
      <w:tblPr>
        <w:tblStyle w:val="28"/>
        <w:tblpPr w:leftFromText="180" w:rightFromText="180" w:vertAnchor="text" w:horzAnchor="margin" w:tblpXSpec="center" w:tblpY="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980"/>
        <w:gridCol w:w="1080"/>
        <w:gridCol w:w="5400"/>
      </w:tblGrid>
      <w:tr w14:paraId="0E73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28" w:type="dxa"/>
            <w:gridSpan w:val="2"/>
            <w:noWrap/>
            <w:vAlign w:val="center"/>
          </w:tcPr>
          <w:p w14:paraId="4F8DCE76">
            <w:pPr>
              <w:jc w:val="center"/>
              <w:rPr>
                <w:b/>
                <w:color w:val="000000"/>
                <w:sz w:val="28"/>
                <w:szCs w:val="28"/>
              </w:rPr>
            </w:pPr>
            <w:r>
              <w:rPr>
                <w:b/>
                <w:color w:val="000000"/>
                <w:sz w:val="28"/>
                <w:szCs w:val="28"/>
              </w:rPr>
              <w:t>评审因素</w:t>
            </w:r>
          </w:p>
        </w:tc>
        <w:tc>
          <w:tcPr>
            <w:tcW w:w="1080" w:type="dxa"/>
            <w:noWrap/>
            <w:vAlign w:val="center"/>
          </w:tcPr>
          <w:p w14:paraId="4AD3F8FA">
            <w:pPr>
              <w:jc w:val="center"/>
              <w:rPr>
                <w:b/>
                <w:color w:val="000000"/>
                <w:sz w:val="28"/>
                <w:szCs w:val="28"/>
              </w:rPr>
            </w:pPr>
            <w:r>
              <w:rPr>
                <w:rFonts w:hint="eastAsia"/>
                <w:b/>
                <w:color w:val="000000"/>
                <w:sz w:val="28"/>
                <w:szCs w:val="28"/>
              </w:rPr>
              <w:t>权重</w:t>
            </w:r>
          </w:p>
        </w:tc>
        <w:tc>
          <w:tcPr>
            <w:tcW w:w="5400" w:type="dxa"/>
            <w:noWrap/>
            <w:vAlign w:val="center"/>
          </w:tcPr>
          <w:p w14:paraId="440EEAD0">
            <w:pPr>
              <w:jc w:val="center"/>
              <w:rPr>
                <w:b/>
                <w:color w:val="000000"/>
                <w:sz w:val="28"/>
                <w:szCs w:val="28"/>
              </w:rPr>
            </w:pPr>
            <w:r>
              <w:rPr>
                <w:b/>
                <w:color w:val="000000"/>
                <w:sz w:val="28"/>
                <w:szCs w:val="28"/>
              </w:rPr>
              <w:t>评分细则</w:t>
            </w:r>
          </w:p>
        </w:tc>
      </w:tr>
      <w:tr w14:paraId="17E4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628" w:type="dxa"/>
            <w:gridSpan w:val="2"/>
            <w:noWrap/>
            <w:vAlign w:val="center"/>
          </w:tcPr>
          <w:p w14:paraId="221F1D0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报价</w:t>
            </w:r>
          </w:p>
          <w:p w14:paraId="5D0475DA">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（采用低价优先法）</w:t>
            </w:r>
          </w:p>
        </w:tc>
        <w:tc>
          <w:tcPr>
            <w:tcW w:w="1080" w:type="dxa"/>
            <w:noWrap/>
            <w:vAlign w:val="center"/>
          </w:tcPr>
          <w:p w14:paraId="0533E242">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10分</w:t>
            </w:r>
          </w:p>
        </w:tc>
        <w:tc>
          <w:tcPr>
            <w:tcW w:w="5400" w:type="dxa"/>
            <w:noWrap/>
            <w:vAlign w:val="center"/>
          </w:tcPr>
          <w:p w14:paraId="35BB515A">
            <w:pPr>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满足采购书要求且最终报价最低为评标基准价，其价格分为满分，其他报价人的价格分按以下公式计算：报价得分＝（评标基准价/最终报价）×</w:t>
            </w:r>
            <w:r>
              <w:rPr>
                <w:rFonts w:hint="eastAsia" w:ascii="宋体" w:hAnsi="宋体" w:eastAsia="宋体" w:cs="宋体"/>
                <w:color w:val="auto"/>
                <w:sz w:val="21"/>
                <w:szCs w:val="21"/>
                <w:lang w:val="en-US" w:eastAsia="zh-CN"/>
              </w:rPr>
              <w:t>XX</w:t>
            </w:r>
            <w:r>
              <w:rPr>
                <w:rFonts w:hint="eastAsia" w:ascii="宋体" w:hAnsi="宋体" w:eastAsia="宋体" w:cs="宋体"/>
                <w:color w:val="auto"/>
                <w:sz w:val="21"/>
                <w:szCs w:val="21"/>
              </w:rPr>
              <w:t>（取小数点后二位）</w:t>
            </w:r>
          </w:p>
        </w:tc>
      </w:tr>
      <w:tr w14:paraId="11D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648" w:type="dxa"/>
            <w:vMerge w:val="restart"/>
            <w:noWrap/>
            <w:textDirection w:val="tbRlV"/>
            <w:vAlign w:val="center"/>
          </w:tcPr>
          <w:p w14:paraId="372A70DD">
            <w:pPr>
              <w:ind w:left="113" w:right="113"/>
              <w:jc w:val="center"/>
              <w:rPr>
                <w:rFonts w:hint="eastAsia" w:ascii="宋体" w:hAnsi="宋体" w:eastAsia="宋体" w:cs="宋体"/>
                <w:color w:val="auto"/>
                <w:sz w:val="21"/>
                <w:szCs w:val="21"/>
              </w:rPr>
            </w:pPr>
            <w:r>
              <w:rPr>
                <w:rFonts w:hint="eastAsia" w:ascii="宋体" w:hAnsi="宋体" w:eastAsia="宋体" w:cs="宋体"/>
                <w:color w:val="auto"/>
                <w:sz w:val="21"/>
                <w:szCs w:val="21"/>
              </w:rPr>
              <w:t>技术因素</w:t>
            </w:r>
          </w:p>
        </w:tc>
        <w:tc>
          <w:tcPr>
            <w:tcW w:w="1980" w:type="dxa"/>
            <w:noWrap/>
            <w:vAlign w:val="center"/>
          </w:tcPr>
          <w:p w14:paraId="72C14B1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重要参数条款响应</w:t>
            </w:r>
          </w:p>
        </w:tc>
        <w:tc>
          <w:tcPr>
            <w:tcW w:w="1080" w:type="dxa"/>
            <w:noWrap/>
            <w:vAlign w:val="center"/>
          </w:tcPr>
          <w:p w14:paraId="06E398C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33分</w:t>
            </w:r>
          </w:p>
        </w:tc>
        <w:tc>
          <w:tcPr>
            <w:tcW w:w="5400" w:type="dxa"/>
            <w:noWrap/>
            <w:vAlign w:val="center"/>
          </w:tcPr>
          <w:p w14:paraId="5E18ED21">
            <w:pPr>
              <w:rPr>
                <w:rFonts w:hint="eastAsia" w:ascii="宋体" w:hAnsi="宋体" w:eastAsia="宋体" w:cs="宋体"/>
                <w:color w:val="auto"/>
                <w:sz w:val="21"/>
                <w:szCs w:val="21"/>
              </w:rPr>
            </w:pPr>
            <w:r>
              <w:rPr>
                <w:rFonts w:hint="eastAsia" w:ascii="宋体" w:hAnsi="宋体" w:eastAsia="宋体" w:cs="宋体"/>
                <w:color w:val="auto"/>
                <w:sz w:val="21"/>
                <w:szCs w:val="21"/>
              </w:rPr>
              <w:t>根据各供应商对《第二部分 采购需求书》中“具体技术(参数)要求”的标注“▲”的重要技术参数的响应情况进行评审（共</w:t>
            </w:r>
            <w:r>
              <w:rPr>
                <w:rFonts w:hint="eastAsia" w:ascii="宋体" w:hAnsi="宋体" w:eastAsia="宋体" w:cs="宋体"/>
                <w:color w:val="auto"/>
                <w:sz w:val="21"/>
                <w:szCs w:val="21"/>
                <w:lang w:val="en-US" w:eastAsia="zh-CN"/>
              </w:rPr>
              <w:t>22</w:t>
            </w:r>
            <w:r>
              <w:rPr>
                <w:rFonts w:hint="eastAsia" w:ascii="宋体" w:hAnsi="宋体" w:eastAsia="宋体" w:cs="宋体"/>
                <w:color w:val="auto"/>
                <w:sz w:val="21"/>
                <w:szCs w:val="21"/>
              </w:rPr>
              <w:t>项）：完全满足或优于磋商文件要求得2</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分，响应为“负偏离”的，每项扣</w:t>
            </w: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分，最低扣至0分止。</w:t>
            </w:r>
          </w:p>
        </w:tc>
      </w:tr>
      <w:tr w14:paraId="4DF1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C640C09">
            <w:pPr>
              <w:ind w:left="113" w:right="113"/>
              <w:jc w:val="center"/>
              <w:rPr>
                <w:rFonts w:hint="eastAsia" w:ascii="宋体" w:hAnsi="宋体" w:eastAsia="宋体" w:cs="宋体"/>
                <w:color w:val="auto"/>
                <w:sz w:val="21"/>
                <w:szCs w:val="21"/>
              </w:rPr>
            </w:pPr>
          </w:p>
        </w:tc>
        <w:tc>
          <w:tcPr>
            <w:tcW w:w="1980" w:type="dxa"/>
            <w:noWrap/>
            <w:vAlign w:val="center"/>
          </w:tcPr>
          <w:p w14:paraId="443F372F">
            <w:pPr>
              <w:jc w:val="center"/>
              <w:rPr>
                <w:rFonts w:hint="eastAsia" w:ascii="宋体" w:hAnsi="宋体" w:eastAsia="宋体" w:cs="宋体"/>
                <w:color w:val="auto"/>
                <w:sz w:val="21"/>
                <w:szCs w:val="21"/>
              </w:rPr>
            </w:pPr>
            <w:r>
              <w:rPr>
                <w:rFonts w:hint="eastAsia" w:ascii="宋体" w:hAnsi="宋体" w:eastAsia="宋体" w:cs="宋体"/>
                <w:color w:val="auto"/>
                <w:sz w:val="21"/>
                <w:szCs w:val="21"/>
              </w:rPr>
              <w:t>一般参数条款响应</w:t>
            </w:r>
          </w:p>
        </w:tc>
        <w:tc>
          <w:tcPr>
            <w:tcW w:w="1080" w:type="dxa"/>
            <w:noWrap/>
            <w:vAlign w:val="center"/>
          </w:tcPr>
          <w:p w14:paraId="0D490A02">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10分</w:t>
            </w:r>
          </w:p>
        </w:tc>
        <w:tc>
          <w:tcPr>
            <w:tcW w:w="5400" w:type="dxa"/>
            <w:noWrap/>
            <w:vAlign w:val="center"/>
          </w:tcPr>
          <w:p w14:paraId="7CE29A9B">
            <w:pPr>
              <w:widowControl/>
              <w:wordWrap w:val="0"/>
              <w:adjustRightInd w:val="0"/>
              <w:snapToGrid w:val="0"/>
              <w:spacing w:line="44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根据各供应商对《第二部分 采购需求书》中“具体技术(参数)要求”中的非标注“▲”及“★”的一般参数的响应情况进行评审：</w:t>
            </w:r>
          </w:p>
          <w:p w14:paraId="45DFA943">
            <w:pPr>
              <w:widowControl/>
              <w:wordWrap w:val="0"/>
              <w:adjustRightInd w:val="0"/>
              <w:snapToGrid w:val="0"/>
              <w:spacing w:line="44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每有一个评审单元中的任意一项一般参数响应为“负偏离”或不响应的，该小项</w:t>
            </w:r>
            <w:r>
              <w:rPr>
                <w:rFonts w:hint="eastAsia" w:ascii="宋体" w:hAnsi="宋体" w:eastAsia="宋体" w:cs="宋体"/>
                <w:color w:val="auto"/>
                <w:sz w:val="21"/>
                <w:szCs w:val="21"/>
                <w:lang w:val="en-US" w:eastAsia="zh-CN"/>
              </w:rPr>
              <w:t>扣1</w:t>
            </w:r>
            <w:r>
              <w:rPr>
                <w:rFonts w:hint="eastAsia" w:ascii="宋体" w:hAnsi="宋体" w:eastAsia="宋体" w:cs="宋体"/>
                <w:color w:val="auto"/>
                <w:sz w:val="21"/>
                <w:szCs w:val="21"/>
              </w:rPr>
              <w:t>分。</w:t>
            </w:r>
          </w:p>
          <w:p w14:paraId="78061732">
            <w:pPr>
              <w:rPr>
                <w:rFonts w:hint="eastAsia" w:ascii="宋体" w:hAnsi="宋体" w:eastAsia="宋体" w:cs="宋体"/>
                <w:color w:val="auto"/>
                <w:sz w:val="21"/>
                <w:szCs w:val="21"/>
              </w:rPr>
            </w:pPr>
            <w:r>
              <w:rPr>
                <w:rFonts w:hint="eastAsia" w:ascii="宋体" w:hAnsi="宋体" w:eastAsia="宋体" w:cs="宋体"/>
                <w:color w:val="auto"/>
                <w:sz w:val="21"/>
                <w:szCs w:val="21"/>
              </w:rPr>
              <w:t>本项</w:t>
            </w:r>
            <w:r>
              <w:rPr>
                <w:rFonts w:hint="eastAsia" w:ascii="宋体" w:hAnsi="宋体" w:eastAsia="宋体" w:cs="宋体"/>
                <w:color w:val="auto"/>
                <w:sz w:val="21"/>
                <w:szCs w:val="21"/>
                <w:lang w:val="en-US" w:eastAsia="zh-CN"/>
              </w:rPr>
              <w:t>最低</w:t>
            </w:r>
            <w:r>
              <w:rPr>
                <w:rFonts w:hint="eastAsia" w:ascii="宋体" w:hAnsi="宋体" w:eastAsia="宋体" w:cs="宋体"/>
                <w:color w:val="auto"/>
                <w:sz w:val="21"/>
                <w:szCs w:val="21"/>
              </w:rPr>
              <w:t>得</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最高10分</w:t>
            </w:r>
            <w:r>
              <w:rPr>
                <w:rFonts w:hint="eastAsia" w:ascii="宋体" w:hAnsi="宋体" w:eastAsia="宋体" w:cs="宋体"/>
                <w:color w:val="auto"/>
                <w:sz w:val="21"/>
                <w:szCs w:val="21"/>
              </w:rPr>
              <w:t>。</w:t>
            </w:r>
          </w:p>
        </w:tc>
      </w:tr>
      <w:tr w14:paraId="7BA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9211F93">
            <w:pPr>
              <w:ind w:left="113" w:right="113"/>
              <w:jc w:val="center"/>
              <w:rPr>
                <w:rFonts w:hint="eastAsia" w:ascii="宋体" w:hAnsi="宋体" w:eastAsia="宋体" w:cs="宋体"/>
                <w:color w:val="auto"/>
                <w:sz w:val="21"/>
                <w:szCs w:val="21"/>
              </w:rPr>
            </w:pPr>
          </w:p>
        </w:tc>
        <w:tc>
          <w:tcPr>
            <w:tcW w:w="1980" w:type="dxa"/>
            <w:noWrap/>
            <w:vAlign w:val="center"/>
          </w:tcPr>
          <w:p w14:paraId="5BC593C5">
            <w:pPr>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bidi="ar"/>
              </w:rPr>
              <w:t>实施方案</w:t>
            </w:r>
          </w:p>
        </w:tc>
        <w:tc>
          <w:tcPr>
            <w:tcW w:w="1080" w:type="dxa"/>
            <w:noWrap/>
            <w:vAlign w:val="center"/>
          </w:tcPr>
          <w:p w14:paraId="7A556BA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5分</w:t>
            </w:r>
          </w:p>
        </w:tc>
        <w:tc>
          <w:tcPr>
            <w:tcW w:w="5400" w:type="dxa"/>
            <w:noWrap/>
            <w:vAlign w:val="center"/>
          </w:tcPr>
          <w:p w14:paraId="4626021A">
            <w:pPr>
              <w:rPr>
                <w:rFonts w:hint="eastAsia" w:ascii="宋体" w:hAnsi="宋体" w:eastAsia="宋体" w:cs="宋体"/>
                <w:color w:val="auto"/>
                <w:sz w:val="21"/>
                <w:szCs w:val="21"/>
              </w:rPr>
            </w:pPr>
            <w:r>
              <w:rPr>
                <w:rFonts w:hint="eastAsia" w:ascii="宋体" w:hAnsi="宋体" w:eastAsia="宋体" w:cs="宋体"/>
                <w:color w:val="auto"/>
                <w:sz w:val="21"/>
                <w:szCs w:val="21"/>
              </w:rPr>
              <w:t>根据供应商针对本项目提供的</w:t>
            </w:r>
            <w:r>
              <w:rPr>
                <w:rFonts w:hint="eastAsia" w:ascii="宋体" w:hAnsi="宋体" w:eastAsia="宋体" w:cs="宋体"/>
                <w:color w:val="auto"/>
                <w:sz w:val="21"/>
                <w:szCs w:val="21"/>
                <w:lang w:eastAsia="zh-CN"/>
              </w:rPr>
              <w:t>实施方案</w:t>
            </w:r>
            <w:r>
              <w:rPr>
                <w:rFonts w:hint="eastAsia" w:ascii="宋体" w:hAnsi="宋体" w:eastAsia="宋体" w:cs="宋体"/>
                <w:color w:val="auto"/>
                <w:sz w:val="21"/>
                <w:szCs w:val="21"/>
              </w:rPr>
              <w:t>（包括但不限于</w:t>
            </w:r>
            <w:r>
              <w:rPr>
                <w:rFonts w:hint="eastAsia" w:ascii="宋体" w:hAnsi="宋体" w:eastAsia="宋体" w:cs="宋体"/>
                <w:color w:val="auto"/>
                <w:sz w:val="21"/>
                <w:szCs w:val="21"/>
                <w:lang w:eastAsia="zh-CN"/>
              </w:rPr>
              <w:t>项目概况、目标要求、工作内容、实施计划</w:t>
            </w:r>
            <w:r>
              <w:rPr>
                <w:rFonts w:hint="eastAsia" w:ascii="宋体" w:hAnsi="宋体" w:eastAsia="宋体" w:cs="宋体"/>
                <w:color w:val="auto"/>
                <w:sz w:val="21"/>
                <w:szCs w:val="21"/>
              </w:rPr>
              <w:t>等内容）由评委进行综合评定：</w:t>
            </w:r>
          </w:p>
          <w:p w14:paraId="77AE120E">
            <w:pPr>
              <w:rPr>
                <w:rFonts w:hint="eastAsia" w:ascii="宋体" w:hAnsi="宋体" w:eastAsia="宋体" w:cs="宋体"/>
                <w:color w:val="auto"/>
                <w:sz w:val="21"/>
                <w:szCs w:val="21"/>
              </w:rPr>
            </w:pPr>
            <w:r>
              <w:rPr>
                <w:rFonts w:hint="eastAsia" w:ascii="宋体" w:hAnsi="宋体" w:eastAsia="宋体" w:cs="宋体"/>
                <w:color w:val="auto"/>
                <w:sz w:val="21"/>
                <w:szCs w:val="21"/>
              </w:rPr>
              <w:t>（1）方案包含的要点齐全无缺漏项，内容与要点相符、每个要点均有展开详细的阐述且能够适用于本项目、无明显错误、无缺陷的得</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 xml:space="preserve">分； </w:t>
            </w:r>
          </w:p>
          <w:p w14:paraId="7BABEC51">
            <w:pPr>
              <w:rPr>
                <w:rFonts w:hint="eastAsia" w:ascii="宋体" w:hAnsi="宋体" w:eastAsia="宋体" w:cs="宋体"/>
                <w:color w:val="auto"/>
                <w:sz w:val="21"/>
                <w:szCs w:val="21"/>
              </w:rPr>
            </w:pPr>
            <w:r>
              <w:rPr>
                <w:rFonts w:hint="eastAsia" w:ascii="宋体" w:hAnsi="宋体" w:eastAsia="宋体" w:cs="宋体"/>
                <w:color w:val="auto"/>
                <w:sz w:val="21"/>
                <w:szCs w:val="21"/>
              </w:rPr>
              <w:t>（2）方案所包含的要点无缺漏项，内容有缺陷或方案阐述简短无展开阐述的得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 xml:space="preserve">分。 </w:t>
            </w:r>
          </w:p>
          <w:p w14:paraId="7DFF3B53">
            <w:pPr>
              <w:rPr>
                <w:rFonts w:hint="eastAsia" w:ascii="宋体" w:hAnsi="宋体" w:eastAsia="宋体" w:cs="宋体"/>
                <w:color w:val="auto"/>
                <w:sz w:val="21"/>
                <w:szCs w:val="21"/>
              </w:rPr>
            </w:pPr>
            <w:r>
              <w:rPr>
                <w:rFonts w:hint="eastAsia" w:ascii="宋体" w:hAnsi="宋体" w:eastAsia="宋体" w:cs="宋体"/>
                <w:color w:val="auto"/>
                <w:sz w:val="21"/>
                <w:szCs w:val="21"/>
              </w:rPr>
              <w:t>（3）方案所包含的要点有缺漏，内容有缺陷或方案阐述简短无展开阐述的得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分。 </w:t>
            </w:r>
          </w:p>
          <w:p w14:paraId="6D664B98">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（4）未提供不得分。 </w:t>
            </w:r>
          </w:p>
          <w:p w14:paraId="1B07261E">
            <w:pPr>
              <w:rPr>
                <w:rFonts w:hint="eastAsia" w:ascii="宋体" w:hAnsi="宋体" w:eastAsia="宋体" w:cs="宋体"/>
                <w:color w:val="auto"/>
                <w:sz w:val="21"/>
                <w:szCs w:val="21"/>
              </w:rPr>
            </w:pPr>
          </w:p>
        </w:tc>
      </w:tr>
      <w:tr w14:paraId="3AC3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2483B744">
            <w:pPr>
              <w:ind w:left="113" w:right="113"/>
              <w:jc w:val="center"/>
              <w:rPr>
                <w:rFonts w:hint="eastAsia" w:ascii="宋体" w:hAnsi="宋体" w:eastAsia="宋体" w:cs="宋体"/>
                <w:color w:val="auto"/>
                <w:sz w:val="21"/>
                <w:szCs w:val="21"/>
              </w:rPr>
            </w:pPr>
          </w:p>
        </w:tc>
        <w:tc>
          <w:tcPr>
            <w:tcW w:w="1980" w:type="dxa"/>
            <w:noWrap/>
            <w:vAlign w:val="center"/>
          </w:tcPr>
          <w:p w14:paraId="29557F49">
            <w:pPr>
              <w:jc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bidi="ar"/>
              </w:rPr>
              <w:t>实施难点和对策</w:t>
            </w:r>
          </w:p>
        </w:tc>
        <w:tc>
          <w:tcPr>
            <w:tcW w:w="1080" w:type="dxa"/>
            <w:noWrap/>
            <w:vAlign w:val="center"/>
          </w:tcPr>
          <w:p w14:paraId="3074E28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5分</w:t>
            </w:r>
          </w:p>
        </w:tc>
        <w:tc>
          <w:tcPr>
            <w:tcW w:w="5400" w:type="dxa"/>
            <w:noWrap/>
            <w:vAlign w:val="center"/>
          </w:tcPr>
          <w:p w14:paraId="0165DC7D">
            <w:pPr>
              <w:rPr>
                <w:rFonts w:hint="eastAsia" w:ascii="宋体" w:hAnsi="宋体" w:eastAsia="宋体" w:cs="宋体"/>
                <w:color w:val="auto"/>
                <w:sz w:val="21"/>
                <w:szCs w:val="21"/>
              </w:rPr>
            </w:pPr>
            <w:r>
              <w:rPr>
                <w:rFonts w:hint="eastAsia" w:ascii="宋体" w:hAnsi="宋体" w:eastAsia="宋体" w:cs="宋体"/>
                <w:color w:val="auto"/>
                <w:sz w:val="21"/>
                <w:szCs w:val="21"/>
              </w:rPr>
              <w:t>根据供应商针对本项目提供的实施难点和对策（包括但不限于工作重点、</w:t>
            </w:r>
            <w:r>
              <w:rPr>
                <w:rFonts w:hint="eastAsia" w:ascii="宋体" w:hAnsi="宋体" w:eastAsia="宋体" w:cs="宋体"/>
                <w:color w:val="auto"/>
                <w:sz w:val="21"/>
                <w:szCs w:val="21"/>
                <w:lang w:eastAsia="zh-CN"/>
              </w:rPr>
              <w:t>工作</w:t>
            </w:r>
            <w:r>
              <w:rPr>
                <w:rFonts w:hint="eastAsia" w:ascii="宋体" w:hAnsi="宋体" w:eastAsia="宋体" w:cs="宋体"/>
                <w:color w:val="auto"/>
                <w:sz w:val="21"/>
                <w:szCs w:val="21"/>
              </w:rPr>
              <w:t>难点和控制点的分析，以及提出相对应的管理措施）由评委进行综合评定：</w:t>
            </w:r>
          </w:p>
          <w:p w14:paraId="5D6413EB">
            <w:pPr>
              <w:rPr>
                <w:rFonts w:hint="eastAsia" w:ascii="宋体" w:hAnsi="宋体" w:eastAsia="宋体" w:cs="宋体"/>
                <w:color w:val="auto"/>
                <w:sz w:val="21"/>
                <w:szCs w:val="21"/>
              </w:rPr>
            </w:pPr>
            <w:r>
              <w:rPr>
                <w:rFonts w:hint="eastAsia" w:ascii="宋体" w:hAnsi="宋体" w:eastAsia="宋体" w:cs="宋体"/>
                <w:color w:val="auto"/>
                <w:sz w:val="21"/>
                <w:szCs w:val="21"/>
              </w:rPr>
              <w:t>（1）实施难点和对策包含的要点齐全无缺漏项，内容与要点相符、每个要点均有展开详细的阐述且能够适用于本项目、无明显错误、无缺陷的得</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分；</w:t>
            </w:r>
          </w:p>
          <w:p w14:paraId="0E215C2D">
            <w:pPr>
              <w:rPr>
                <w:rFonts w:hint="eastAsia" w:ascii="宋体" w:hAnsi="宋体" w:eastAsia="宋体" w:cs="宋体"/>
                <w:color w:val="auto"/>
                <w:sz w:val="21"/>
                <w:szCs w:val="21"/>
              </w:rPr>
            </w:pPr>
            <w:r>
              <w:rPr>
                <w:rFonts w:hint="eastAsia" w:ascii="宋体" w:hAnsi="宋体" w:eastAsia="宋体" w:cs="宋体"/>
                <w:color w:val="auto"/>
                <w:sz w:val="21"/>
                <w:szCs w:val="21"/>
              </w:rPr>
              <w:t>（2）实施难点和对策所包含的要点无缺漏项，内容有缺陷或要点阐述简短无展开阐述的得2</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点有缺漏，内容有缺陷或要点阐述简短无展开阐述的得1分。</w:t>
            </w:r>
          </w:p>
          <w:p w14:paraId="530E08A6">
            <w:pPr>
              <w:rPr>
                <w:rFonts w:hint="eastAsia" w:ascii="宋体" w:hAnsi="宋体" w:eastAsia="宋体" w:cs="宋体"/>
                <w:color w:val="auto"/>
                <w:sz w:val="21"/>
                <w:szCs w:val="21"/>
              </w:rPr>
            </w:pPr>
            <w:r>
              <w:rPr>
                <w:rFonts w:hint="eastAsia" w:ascii="宋体" w:hAnsi="宋体" w:eastAsia="宋体" w:cs="宋体"/>
                <w:color w:val="auto"/>
                <w:sz w:val="21"/>
                <w:szCs w:val="21"/>
              </w:rPr>
              <w:t>（4）未提供不得分。</w:t>
            </w:r>
          </w:p>
          <w:p w14:paraId="1E8D34EA">
            <w:pPr>
              <w:rPr>
                <w:rFonts w:hint="eastAsia" w:ascii="宋体" w:hAnsi="宋体" w:eastAsia="宋体" w:cs="宋体"/>
                <w:color w:val="auto"/>
                <w:sz w:val="21"/>
                <w:szCs w:val="21"/>
              </w:rPr>
            </w:pPr>
          </w:p>
        </w:tc>
      </w:tr>
      <w:tr w14:paraId="100A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47753010">
            <w:pPr>
              <w:ind w:left="113" w:right="113"/>
              <w:jc w:val="center"/>
              <w:rPr>
                <w:rFonts w:hint="eastAsia" w:ascii="宋体" w:hAnsi="宋体" w:eastAsia="宋体" w:cs="宋体"/>
                <w:color w:val="auto"/>
                <w:sz w:val="21"/>
                <w:szCs w:val="21"/>
              </w:rPr>
            </w:pPr>
          </w:p>
        </w:tc>
        <w:tc>
          <w:tcPr>
            <w:tcW w:w="1980" w:type="dxa"/>
            <w:noWrap/>
            <w:vAlign w:val="center"/>
          </w:tcPr>
          <w:p w14:paraId="43770490">
            <w:pPr>
              <w:pStyle w:val="106"/>
              <w:spacing w:line="360" w:lineRule="auto"/>
              <w:jc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数据安全及保密</w:t>
            </w:r>
          </w:p>
        </w:tc>
        <w:tc>
          <w:tcPr>
            <w:tcW w:w="1080" w:type="dxa"/>
            <w:noWrap/>
            <w:vAlign w:val="center"/>
          </w:tcPr>
          <w:p w14:paraId="02A6B018">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bidi="ar"/>
              </w:rPr>
              <w:t>3分</w:t>
            </w:r>
          </w:p>
        </w:tc>
        <w:tc>
          <w:tcPr>
            <w:tcW w:w="5400" w:type="dxa"/>
            <w:noWrap/>
            <w:vAlign w:val="top"/>
          </w:tcPr>
          <w:p w14:paraId="28644145">
            <w:pPr>
              <w:spacing w:line="360"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1.具有完备的数据安全管理措施，确保所有的数据操作都有日志与记录，评卷数据处理轨迹回溯查询的得1.5分，不满足或没有相关内容的不得分；（提供承诺函，格式自拟）</w:t>
            </w:r>
          </w:p>
          <w:p w14:paraId="15B0D2D8">
            <w:pPr>
              <w:spacing w:line="360" w:lineRule="auto"/>
              <w:jc w:val="both"/>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2.具有可靠的数据安全防篡改机制，便于大数据快速交互的得1.5分，不满足或没有相关内容的不得分。（提供承诺函，格式自拟）</w:t>
            </w:r>
          </w:p>
        </w:tc>
      </w:tr>
      <w:tr w14:paraId="5D25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C6EA118">
            <w:pPr>
              <w:ind w:left="113" w:right="113"/>
              <w:jc w:val="center"/>
              <w:rPr>
                <w:rFonts w:hint="eastAsia" w:ascii="宋体" w:hAnsi="宋体" w:eastAsia="宋体" w:cs="宋体"/>
                <w:color w:val="auto"/>
                <w:sz w:val="21"/>
                <w:szCs w:val="21"/>
              </w:rPr>
            </w:pPr>
          </w:p>
        </w:tc>
        <w:tc>
          <w:tcPr>
            <w:tcW w:w="1980" w:type="dxa"/>
            <w:shd w:val="clear" w:color="auto" w:fill="FFFFFF"/>
            <w:noWrap/>
            <w:vAlign w:val="center"/>
          </w:tcPr>
          <w:p w14:paraId="04B5FFB6">
            <w:pPr>
              <w:widowControl/>
              <w:adjustRightInd w:val="0"/>
              <w:snapToGrid w:val="0"/>
              <w:spacing w:line="360" w:lineRule="auto"/>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应急预案</w:t>
            </w:r>
          </w:p>
        </w:tc>
        <w:tc>
          <w:tcPr>
            <w:tcW w:w="1080" w:type="dxa"/>
            <w:shd w:val="clear" w:color="auto" w:fill="FFFFFF"/>
            <w:noWrap/>
            <w:vAlign w:val="center"/>
          </w:tcPr>
          <w:p w14:paraId="333DE422">
            <w:pPr>
              <w:widowControl/>
              <w:adjustRightInd w:val="0"/>
              <w:snapToGrid w:val="0"/>
              <w:spacing w:line="360" w:lineRule="auto"/>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5分</w:t>
            </w:r>
          </w:p>
        </w:tc>
        <w:tc>
          <w:tcPr>
            <w:tcW w:w="5400" w:type="dxa"/>
            <w:shd w:val="clear" w:color="auto" w:fill="FFFFFF"/>
            <w:noWrap/>
            <w:vAlign w:val="top"/>
          </w:tcPr>
          <w:p w14:paraId="2FBBAC8A">
            <w:pPr>
              <w:spacing w:line="360"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根据供应商针对本项目提供的应急预案（包括但不限于综合应急预案、专项应急预案和现场处置方案等内容）由评委进行综合评定：</w:t>
            </w:r>
          </w:p>
          <w:p w14:paraId="285A1DCB">
            <w:pPr>
              <w:spacing w:line="360"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（1）应急预案包含的要点齐全无缺漏项，内容与要点相符、每个要点均有展开详细的阐述且能够适用于本项目、无明显错误、无缺陷的得5分；</w:t>
            </w:r>
          </w:p>
          <w:p w14:paraId="6F74E113">
            <w:pPr>
              <w:spacing w:line="360"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（2）应急预案所包含的要点无缺漏项，内容有缺陷或要点阐述简短无展开阐述的得3分。 </w:t>
            </w:r>
          </w:p>
          <w:p w14:paraId="7E6A6AB2">
            <w:pPr>
              <w:spacing w:line="360"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w:t>
            </w:r>
            <w:r>
              <w:rPr>
                <w:rFonts w:hint="eastAsia" w:ascii="宋体" w:hAnsi="宋体" w:eastAsia="宋体" w:cs="宋体"/>
                <w:color w:val="auto"/>
                <w:sz w:val="21"/>
                <w:szCs w:val="21"/>
                <w:lang w:eastAsia="zh-CN"/>
              </w:rPr>
              <w:t>应急预案</w:t>
            </w:r>
            <w:r>
              <w:rPr>
                <w:rFonts w:hint="eastAsia" w:ascii="宋体" w:hAnsi="宋体" w:eastAsia="宋体" w:cs="宋体"/>
                <w:color w:val="auto"/>
                <w:kern w:val="0"/>
                <w:sz w:val="21"/>
                <w:szCs w:val="21"/>
                <w:lang w:val="en-US" w:eastAsia="zh-CN" w:bidi="ar"/>
              </w:rPr>
              <w:t xml:space="preserve">所包含的要点有缺漏，内容有缺陷或要点阐述简短无展开阐述的得1分。 </w:t>
            </w:r>
          </w:p>
          <w:p w14:paraId="78AF644A">
            <w:pPr>
              <w:spacing w:line="360"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（4）未提供不得分。 </w:t>
            </w:r>
          </w:p>
        </w:tc>
      </w:tr>
      <w:tr w14:paraId="1DBE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480A02E8">
            <w:pPr>
              <w:ind w:left="113" w:right="113"/>
              <w:jc w:val="center"/>
              <w:rPr>
                <w:rFonts w:hint="eastAsia" w:ascii="宋体" w:hAnsi="宋体" w:eastAsia="宋体" w:cs="宋体"/>
                <w:color w:val="auto"/>
                <w:sz w:val="21"/>
                <w:szCs w:val="21"/>
              </w:rPr>
            </w:pPr>
          </w:p>
        </w:tc>
        <w:tc>
          <w:tcPr>
            <w:tcW w:w="1980" w:type="dxa"/>
            <w:noWrap/>
            <w:vAlign w:val="center"/>
          </w:tcPr>
          <w:p w14:paraId="62F5353F">
            <w:pPr>
              <w:jc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质量管理方案</w:t>
            </w:r>
          </w:p>
        </w:tc>
        <w:tc>
          <w:tcPr>
            <w:tcW w:w="1080" w:type="dxa"/>
            <w:noWrap/>
            <w:vAlign w:val="center"/>
          </w:tcPr>
          <w:p w14:paraId="6C2863B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5分</w:t>
            </w:r>
          </w:p>
        </w:tc>
        <w:tc>
          <w:tcPr>
            <w:tcW w:w="5400" w:type="dxa"/>
            <w:noWrap/>
            <w:vAlign w:val="center"/>
          </w:tcPr>
          <w:p w14:paraId="28BCDC10">
            <w:pPr>
              <w:rPr>
                <w:rFonts w:hint="eastAsia" w:ascii="宋体" w:hAnsi="宋体" w:eastAsia="宋体" w:cs="宋体"/>
                <w:color w:val="auto"/>
                <w:sz w:val="21"/>
                <w:szCs w:val="21"/>
              </w:rPr>
            </w:pPr>
            <w:r>
              <w:rPr>
                <w:rFonts w:hint="eastAsia" w:ascii="宋体" w:hAnsi="宋体" w:eastAsia="宋体" w:cs="宋体"/>
                <w:color w:val="auto"/>
                <w:sz w:val="21"/>
                <w:szCs w:val="21"/>
              </w:rPr>
              <w:t>根据供应商针对本项目提供的质量管理方案（包括但不限于质量检验阶段、统计质量阶段、管理标准化阶段、全面质量管理阶段等内容）由评委进行综合评定：</w:t>
            </w:r>
          </w:p>
          <w:p w14:paraId="6555230D">
            <w:pPr>
              <w:rPr>
                <w:rFonts w:hint="eastAsia" w:ascii="宋体" w:hAnsi="宋体" w:eastAsia="宋体" w:cs="宋体"/>
                <w:color w:val="auto"/>
                <w:sz w:val="21"/>
                <w:szCs w:val="21"/>
              </w:rPr>
            </w:pPr>
            <w:r>
              <w:rPr>
                <w:rFonts w:hint="eastAsia" w:ascii="宋体" w:hAnsi="宋体" w:eastAsia="宋体" w:cs="宋体"/>
                <w:color w:val="auto"/>
                <w:sz w:val="21"/>
                <w:szCs w:val="21"/>
              </w:rPr>
              <w:t>（1）方案包含的要点齐全无缺漏项，内容与要点相符、每个要点均有展开详细的阐述且能够适用于本项目、无明显错误、无缺陷的得</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 xml:space="preserve">分； </w:t>
            </w:r>
          </w:p>
          <w:p w14:paraId="17B09F20">
            <w:pPr>
              <w:rPr>
                <w:rFonts w:hint="eastAsia" w:ascii="宋体" w:hAnsi="宋体" w:eastAsia="宋体" w:cs="宋体"/>
                <w:color w:val="auto"/>
                <w:sz w:val="21"/>
                <w:szCs w:val="21"/>
              </w:rPr>
            </w:pPr>
            <w:r>
              <w:rPr>
                <w:rFonts w:hint="eastAsia" w:ascii="宋体" w:hAnsi="宋体" w:eastAsia="宋体" w:cs="宋体"/>
                <w:color w:val="auto"/>
                <w:sz w:val="21"/>
                <w:szCs w:val="21"/>
              </w:rPr>
              <w:t>（2）方案所包含的要点无缺漏项，内容有缺陷或方案阐述简短无展开阐述的得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 xml:space="preserve">分。 </w:t>
            </w:r>
          </w:p>
          <w:p w14:paraId="35FB1618">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（3）方案所包含的要点有缺漏，内容有缺陷或方案阐述简短无展开阐述的得0.5分。 </w:t>
            </w:r>
          </w:p>
          <w:p w14:paraId="0E7F5005">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（4）未提供不得分。 </w:t>
            </w:r>
          </w:p>
        </w:tc>
      </w:tr>
      <w:tr w14:paraId="6FE6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48" w:type="dxa"/>
            <w:vMerge w:val="restart"/>
            <w:noWrap/>
            <w:textDirection w:val="tbRlV"/>
            <w:vAlign w:val="center"/>
          </w:tcPr>
          <w:p w14:paraId="42435249">
            <w:pPr>
              <w:ind w:left="113" w:leftChars="54" w:right="113" w:firstLine="525" w:firstLineChars="250"/>
              <w:rPr>
                <w:rFonts w:hint="eastAsia" w:ascii="宋体" w:hAnsi="宋体" w:eastAsia="宋体" w:cs="宋体"/>
                <w:color w:val="auto"/>
                <w:sz w:val="21"/>
                <w:szCs w:val="21"/>
              </w:rPr>
            </w:pPr>
            <w:r>
              <w:rPr>
                <w:rFonts w:hint="eastAsia" w:ascii="宋体" w:hAnsi="宋体" w:eastAsia="宋体" w:cs="宋体"/>
                <w:color w:val="auto"/>
                <w:sz w:val="21"/>
                <w:szCs w:val="21"/>
              </w:rPr>
              <w:t>商务因素</w:t>
            </w:r>
          </w:p>
        </w:tc>
        <w:tc>
          <w:tcPr>
            <w:tcW w:w="1980" w:type="dxa"/>
            <w:noWrap/>
            <w:vAlign w:val="center"/>
          </w:tcPr>
          <w:p w14:paraId="22A26C07">
            <w:pPr>
              <w:keepNext w:val="0"/>
              <w:keepLines w:val="0"/>
              <w:pageBreakBefore w:val="0"/>
              <w:widowControl/>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bidi="ar"/>
              </w:rPr>
              <w:t>信息安全管理体系认证证书</w:t>
            </w:r>
          </w:p>
        </w:tc>
        <w:tc>
          <w:tcPr>
            <w:tcW w:w="1080" w:type="dxa"/>
            <w:noWrap/>
            <w:vAlign w:val="center"/>
          </w:tcPr>
          <w:p w14:paraId="0F1D426B">
            <w:pPr>
              <w:keepNext w:val="0"/>
              <w:keepLines w:val="0"/>
              <w:pageBreakBefore w:val="0"/>
              <w:widowControl/>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bidi="ar"/>
              </w:rPr>
              <w:t>分</w:t>
            </w:r>
          </w:p>
        </w:tc>
        <w:tc>
          <w:tcPr>
            <w:tcW w:w="5400" w:type="dxa"/>
            <w:noWrap/>
            <w:vAlign w:val="center"/>
          </w:tcPr>
          <w:p w14:paraId="6F46C92C">
            <w:pPr>
              <w:keepNext w:val="0"/>
              <w:keepLines w:val="0"/>
              <w:pageBreakBefore w:val="0"/>
              <w:widowControl/>
              <w:kinsoku/>
              <w:wordWrap/>
              <w:overflowPunct/>
              <w:topLinePunct w:val="0"/>
              <w:bidi w:val="0"/>
              <w:adjustRightInd w:val="0"/>
              <w:snapToGrid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bidi="ar"/>
              </w:rPr>
              <w:t>供应商具有有效的信息安全管理体系认证证书得</w:t>
            </w: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eastAsia="zh-CN" w:bidi="ar"/>
              </w:rPr>
              <w:t>分。</w:t>
            </w:r>
            <w:r>
              <w:rPr>
                <w:rFonts w:hint="eastAsia" w:ascii="宋体" w:hAnsi="宋体" w:eastAsia="宋体" w:cs="宋体"/>
                <w:color w:val="auto"/>
                <w:kern w:val="0"/>
                <w:sz w:val="21"/>
                <w:szCs w:val="21"/>
                <w:lang w:bidi="ar"/>
              </w:rPr>
              <w:t>（提供清晰证书复印件并加盖供应商公章，未按照要求提供或不清晰无法辨认的不得分）</w:t>
            </w:r>
          </w:p>
        </w:tc>
      </w:tr>
      <w:tr w14:paraId="0490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48" w:type="dxa"/>
            <w:vMerge w:val="continue"/>
            <w:noWrap/>
            <w:textDirection w:val="tbRlV"/>
            <w:vAlign w:val="center"/>
          </w:tcPr>
          <w:p w14:paraId="4F05EB4A">
            <w:pPr>
              <w:ind w:left="113" w:right="113"/>
              <w:jc w:val="center"/>
              <w:rPr>
                <w:rFonts w:hint="eastAsia" w:ascii="宋体" w:hAnsi="宋体" w:eastAsia="宋体" w:cs="宋体"/>
                <w:color w:val="auto"/>
                <w:sz w:val="21"/>
                <w:szCs w:val="21"/>
              </w:rPr>
            </w:pPr>
          </w:p>
        </w:tc>
        <w:tc>
          <w:tcPr>
            <w:tcW w:w="1980" w:type="dxa"/>
            <w:noWrap/>
            <w:vAlign w:val="center"/>
          </w:tcPr>
          <w:p w14:paraId="38917D30">
            <w:pPr>
              <w:keepNext w:val="0"/>
              <w:keepLines w:val="0"/>
              <w:pageBreakBefore w:val="0"/>
              <w:widowControl/>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bidi="ar"/>
              </w:rPr>
              <w:t>质量管理体系认证证书</w:t>
            </w:r>
          </w:p>
        </w:tc>
        <w:tc>
          <w:tcPr>
            <w:tcW w:w="1080" w:type="dxa"/>
            <w:noWrap/>
            <w:vAlign w:val="center"/>
          </w:tcPr>
          <w:p w14:paraId="3A9E38A0">
            <w:pPr>
              <w:keepNext w:val="0"/>
              <w:keepLines w:val="0"/>
              <w:pageBreakBefore w:val="0"/>
              <w:widowControl/>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1分</w:t>
            </w:r>
          </w:p>
        </w:tc>
        <w:tc>
          <w:tcPr>
            <w:tcW w:w="5400" w:type="dxa"/>
            <w:noWrap/>
            <w:vAlign w:val="center"/>
          </w:tcPr>
          <w:p w14:paraId="7FB947A2">
            <w:pPr>
              <w:keepNext w:val="0"/>
              <w:keepLines w:val="0"/>
              <w:pageBreakBefore w:val="0"/>
              <w:widowControl/>
              <w:kinsoku/>
              <w:wordWrap/>
              <w:overflowPunct/>
              <w:topLinePunct w:val="0"/>
              <w:bidi w:val="0"/>
              <w:adjustRightInd w:val="0"/>
              <w:snapToGrid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bidi="ar"/>
              </w:rPr>
              <w:t>具有有效的质量管理体系认证证书得</w:t>
            </w: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eastAsia="zh-CN" w:bidi="ar"/>
              </w:rPr>
              <w:t>分。</w:t>
            </w:r>
            <w:r>
              <w:rPr>
                <w:rFonts w:hint="eastAsia" w:ascii="宋体" w:hAnsi="宋体" w:eastAsia="宋体" w:cs="宋体"/>
                <w:color w:val="auto"/>
                <w:kern w:val="0"/>
                <w:sz w:val="21"/>
                <w:szCs w:val="21"/>
                <w:lang w:bidi="ar"/>
              </w:rPr>
              <w:t>（提供清晰证书复印件并加盖供应商公章，未按照要求提供或不清晰无法辨认的不得分）</w:t>
            </w:r>
          </w:p>
        </w:tc>
      </w:tr>
      <w:tr w14:paraId="734B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C79ECA6">
            <w:pPr>
              <w:ind w:left="113" w:right="113"/>
              <w:jc w:val="center"/>
              <w:rPr>
                <w:rFonts w:hint="eastAsia" w:ascii="宋体" w:hAnsi="宋体" w:eastAsia="宋体" w:cs="宋体"/>
                <w:color w:val="auto"/>
                <w:sz w:val="21"/>
                <w:szCs w:val="21"/>
              </w:rPr>
            </w:pPr>
          </w:p>
        </w:tc>
        <w:tc>
          <w:tcPr>
            <w:tcW w:w="1980" w:type="dxa"/>
            <w:noWrap/>
            <w:vAlign w:val="center"/>
          </w:tcPr>
          <w:p w14:paraId="5DADB15E">
            <w:pPr>
              <w:keepNext w:val="0"/>
              <w:keepLines w:val="0"/>
              <w:pageBreakBefore w:val="0"/>
              <w:widowControl/>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bidi="ar"/>
              </w:rPr>
              <w:t>题库、网上阅卷相关软件的计算机软件著作权登记证书</w:t>
            </w:r>
          </w:p>
        </w:tc>
        <w:tc>
          <w:tcPr>
            <w:tcW w:w="1080" w:type="dxa"/>
            <w:noWrap/>
            <w:vAlign w:val="center"/>
          </w:tcPr>
          <w:p w14:paraId="4B25DCCC">
            <w:pPr>
              <w:keepNext w:val="0"/>
              <w:keepLines w:val="0"/>
              <w:pageBreakBefore w:val="0"/>
              <w:widowControl/>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4分</w:t>
            </w:r>
          </w:p>
        </w:tc>
        <w:tc>
          <w:tcPr>
            <w:tcW w:w="5400" w:type="dxa"/>
            <w:noWrap/>
            <w:vAlign w:val="center"/>
          </w:tcPr>
          <w:p w14:paraId="65152F46">
            <w:pPr>
              <w:keepNext w:val="0"/>
              <w:keepLines w:val="0"/>
              <w:pageBreakBefore w:val="0"/>
              <w:widowControl/>
              <w:numPr>
                <w:ilvl w:val="0"/>
                <w:numId w:val="3"/>
              </w:numPr>
              <w:kinsoku/>
              <w:wordWrap/>
              <w:overflowPunct/>
              <w:topLinePunct w:val="0"/>
              <w:bidi w:val="0"/>
              <w:adjustRightInd w:val="0"/>
              <w:snapToGrid w:val="0"/>
              <w:spacing w:line="360" w:lineRule="auto"/>
              <w:jc w:val="left"/>
              <w:textAlignment w:val="auto"/>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同时具有题库、网上阅卷相关软件的计算机软件著作权登记证书得2分。</w:t>
            </w:r>
          </w:p>
          <w:p w14:paraId="277F72EE">
            <w:pPr>
              <w:keepNext w:val="0"/>
              <w:keepLines w:val="0"/>
              <w:pageBreakBefore w:val="0"/>
              <w:widowControl/>
              <w:numPr>
                <w:ilvl w:val="0"/>
                <w:numId w:val="3"/>
              </w:numPr>
              <w:kinsoku/>
              <w:wordWrap/>
              <w:overflowPunct/>
              <w:topLinePunct w:val="0"/>
              <w:bidi w:val="0"/>
              <w:adjustRightInd w:val="0"/>
              <w:snapToGrid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具有自动调用数据进行分拣批量打印</w:t>
            </w:r>
            <w:r>
              <w:rPr>
                <w:rFonts w:hint="eastAsia" w:ascii="宋体" w:hAnsi="宋体" w:eastAsia="宋体" w:cs="宋体"/>
                <w:color w:val="auto"/>
                <w:kern w:val="0"/>
                <w:sz w:val="21"/>
                <w:szCs w:val="21"/>
                <w:lang w:val="en-US" w:eastAsia="zh-CN" w:bidi="ar"/>
              </w:rPr>
              <w:t>相关证书的得2分</w:t>
            </w:r>
            <w:r>
              <w:rPr>
                <w:rFonts w:hint="eastAsia" w:ascii="宋体" w:hAnsi="宋体" w:eastAsia="宋体" w:cs="宋体"/>
                <w:color w:val="auto"/>
                <w:kern w:val="0"/>
                <w:sz w:val="21"/>
                <w:szCs w:val="21"/>
                <w:lang w:bidi="ar"/>
              </w:rPr>
              <w:t>（提供清晰证书复印件并加盖供应商公章，未按照要求提供或不清晰无法辨认的不得分）</w:t>
            </w:r>
          </w:p>
        </w:tc>
      </w:tr>
      <w:tr w14:paraId="57C9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110876B">
            <w:pPr>
              <w:ind w:left="113" w:right="113"/>
              <w:jc w:val="center"/>
              <w:rPr>
                <w:rFonts w:hint="eastAsia" w:ascii="宋体" w:hAnsi="宋体" w:eastAsia="宋体" w:cs="宋体"/>
                <w:color w:val="auto"/>
                <w:sz w:val="21"/>
                <w:szCs w:val="21"/>
              </w:rPr>
            </w:pPr>
          </w:p>
        </w:tc>
        <w:tc>
          <w:tcPr>
            <w:tcW w:w="1980" w:type="dxa"/>
            <w:noWrap/>
            <w:vAlign w:val="center"/>
          </w:tcPr>
          <w:p w14:paraId="00050FF2">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kern w:val="21"/>
                <w:sz w:val="21"/>
                <w:szCs w:val="21"/>
              </w:rPr>
              <w:t>安全等级</w:t>
            </w:r>
          </w:p>
        </w:tc>
        <w:tc>
          <w:tcPr>
            <w:tcW w:w="1080" w:type="dxa"/>
            <w:noWrap/>
            <w:vAlign w:val="center"/>
          </w:tcPr>
          <w:p w14:paraId="0194E14A">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kern w:val="21"/>
                <w:sz w:val="21"/>
                <w:szCs w:val="21"/>
                <w:lang w:val="en-US" w:eastAsia="zh-CN"/>
              </w:rPr>
              <w:t>5分</w:t>
            </w:r>
          </w:p>
        </w:tc>
        <w:tc>
          <w:tcPr>
            <w:tcW w:w="5400" w:type="dxa"/>
            <w:noWrap/>
            <w:vAlign w:val="center"/>
          </w:tcPr>
          <w:p w14:paraId="6254D2FA">
            <w:pPr>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21"/>
                <w:sz w:val="21"/>
                <w:szCs w:val="21"/>
              </w:rPr>
              <w:t>提供考试系统的安全等级保护三级备案证明和网络安全等级保护等级测评报告得</w:t>
            </w:r>
            <w:r>
              <w:rPr>
                <w:rFonts w:hint="eastAsia" w:ascii="宋体" w:hAnsi="宋体" w:eastAsia="宋体" w:cs="宋体"/>
                <w:color w:val="auto"/>
                <w:kern w:val="21"/>
                <w:sz w:val="21"/>
                <w:szCs w:val="21"/>
                <w:lang w:val="en-US" w:eastAsia="zh-CN"/>
              </w:rPr>
              <w:t>5</w:t>
            </w:r>
            <w:r>
              <w:rPr>
                <w:rFonts w:hint="eastAsia" w:ascii="宋体" w:hAnsi="宋体" w:eastAsia="宋体" w:cs="宋体"/>
                <w:color w:val="auto"/>
                <w:kern w:val="21"/>
                <w:sz w:val="21"/>
                <w:szCs w:val="21"/>
              </w:rPr>
              <w:t>分，不提供或提供不全不得分。</w:t>
            </w:r>
          </w:p>
        </w:tc>
      </w:tr>
      <w:tr w14:paraId="4415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78534A20">
            <w:pPr>
              <w:ind w:left="113" w:right="113"/>
              <w:jc w:val="center"/>
              <w:rPr>
                <w:rFonts w:hint="eastAsia" w:ascii="宋体" w:hAnsi="宋体" w:eastAsia="宋体" w:cs="宋体"/>
                <w:color w:val="auto"/>
                <w:sz w:val="21"/>
                <w:szCs w:val="21"/>
              </w:rPr>
            </w:pPr>
          </w:p>
        </w:tc>
        <w:tc>
          <w:tcPr>
            <w:tcW w:w="1980" w:type="dxa"/>
            <w:shd w:val="clear" w:color="auto" w:fill="FFFFFF"/>
            <w:noWrap/>
            <w:vAlign w:val="center"/>
          </w:tcPr>
          <w:p w14:paraId="5157B854">
            <w:pPr>
              <w:keepNext w:val="0"/>
              <w:keepLines w:val="0"/>
              <w:pageBreakBefore w:val="0"/>
              <w:widowControl/>
              <w:kinsoku/>
              <w:wordWrap/>
              <w:overflowPunct/>
              <w:topLinePunct w:val="0"/>
              <w:bidi w:val="0"/>
              <w:spacing w:line="360" w:lineRule="auto"/>
              <w:jc w:val="center"/>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21"/>
                <w:sz w:val="21"/>
                <w:szCs w:val="21"/>
                <w:lang w:val="en-US" w:eastAsia="zh-CN"/>
              </w:rPr>
              <w:t>有</w:t>
            </w:r>
            <w:r>
              <w:rPr>
                <w:rFonts w:hint="eastAsia" w:ascii="宋体" w:hAnsi="宋体" w:eastAsia="宋体" w:cs="宋体"/>
                <w:color w:val="auto"/>
                <w:kern w:val="21"/>
                <w:sz w:val="21"/>
                <w:szCs w:val="21"/>
                <w:lang w:eastAsia="zh-CN"/>
              </w:rPr>
              <w:t>效业绩证明</w:t>
            </w:r>
          </w:p>
        </w:tc>
        <w:tc>
          <w:tcPr>
            <w:tcW w:w="1080" w:type="dxa"/>
            <w:shd w:val="clear" w:color="auto" w:fill="FFFFFF"/>
            <w:noWrap/>
            <w:vAlign w:val="center"/>
          </w:tcPr>
          <w:p w14:paraId="0756F095">
            <w:pPr>
              <w:keepNext w:val="0"/>
              <w:keepLines w:val="0"/>
              <w:pageBreakBefore w:val="0"/>
              <w:widowControl/>
              <w:kinsoku/>
              <w:wordWrap/>
              <w:overflowPunct/>
              <w:topLinePunct w:val="0"/>
              <w:bidi w:val="0"/>
              <w:spacing w:line="360" w:lineRule="auto"/>
              <w:jc w:val="center"/>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21"/>
                <w:sz w:val="21"/>
                <w:szCs w:val="21"/>
                <w:lang w:val="en-US" w:eastAsia="zh-CN"/>
              </w:rPr>
              <w:t>10分</w:t>
            </w:r>
          </w:p>
        </w:tc>
        <w:tc>
          <w:tcPr>
            <w:tcW w:w="5400" w:type="dxa"/>
            <w:shd w:val="clear" w:color="auto" w:fill="FFFFFF"/>
            <w:noWrap/>
            <w:vAlign w:val="center"/>
          </w:tcPr>
          <w:p w14:paraId="08B82929">
            <w:pPr>
              <w:pStyle w:val="106"/>
              <w:keepNext w:val="0"/>
              <w:keepLines w:val="0"/>
              <w:pageBreakBefore w:val="0"/>
              <w:kinsoku/>
              <w:wordWrap/>
              <w:overflowPunct/>
              <w:topLinePunct w:val="0"/>
              <w:bidi w:val="0"/>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21"/>
                <w:sz w:val="21"/>
                <w:szCs w:val="21"/>
                <w:lang w:eastAsia="zh-CN"/>
              </w:rPr>
              <w:t>供应商提供</w:t>
            </w:r>
            <w:r>
              <w:rPr>
                <w:rFonts w:hint="eastAsia" w:ascii="宋体" w:hAnsi="宋体" w:eastAsia="宋体" w:cs="宋体"/>
                <w:color w:val="auto"/>
                <w:kern w:val="21"/>
                <w:sz w:val="21"/>
                <w:szCs w:val="21"/>
                <w:lang w:val="en-US" w:eastAsia="zh-CN"/>
              </w:rPr>
              <w:t>近3</w:t>
            </w:r>
            <w:r>
              <w:rPr>
                <w:rFonts w:hint="eastAsia" w:ascii="宋体" w:hAnsi="宋体" w:eastAsia="宋体" w:cs="宋体"/>
                <w:color w:val="auto"/>
                <w:kern w:val="21"/>
                <w:sz w:val="21"/>
                <w:szCs w:val="21"/>
                <w:lang w:eastAsia="zh-CN"/>
              </w:rPr>
              <w:t>年</w:t>
            </w:r>
            <w:r>
              <w:rPr>
                <w:rFonts w:hint="eastAsia" w:ascii="宋体" w:hAnsi="宋体" w:eastAsia="宋体" w:cs="宋体"/>
                <w:color w:val="auto"/>
                <w:kern w:val="21"/>
                <w:sz w:val="21"/>
                <w:szCs w:val="21"/>
              </w:rPr>
              <w:t>（202</w:t>
            </w:r>
            <w:r>
              <w:rPr>
                <w:rFonts w:hint="eastAsia" w:ascii="宋体" w:hAnsi="宋体" w:eastAsia="宋体" w:cs="宋体"/>
                <w:color w:val="auto"/>
                <w:kern w:val="21"/>
                <w:sz w:val="21"/>
                <w:szCs w:val="21"/>
                <w:lang w:val="en-US" w:eastAsia="zh-CN"/>
              </w:rPr>
              <w:t>3</w:t>
            </w:r>
            <w:r>
              <w:rPr>
                <w:rFonts w:hint="eastAsia" w:ascii="宋体" w:hAnsi="宋体" w:eastAsia="宋体" w:cs="宋体"/>
                <w:color w:val="auto"/>
                <w:kern w:val="21"/>
                <w:sz w:val="21"/>
                <w:szCs w:val="21"/>
              </w:rPr>
              <w:t>年1月1日至今</w:t>
            </w:r>
            <w:r>
              <w:rPr>
                <w:rFonts w:hint="eastAsia" w:ascii="宋体" w:hAnsi="宋体" w:eastAsia="宋体" w:cs="宋体"/>
                <w:color w:val="auto"/>
                <w:kern w:val="21"/>
                <w:sz w:val="21"/>
                <w:szCs w:val="21"/>
                <w:lang w:eastAsia="zh-CN"/>
              </w:rPr>
              <w:t>）内</w:t>
            </w:r>
            <w:r>
              <w:rPr>
                <w:rFonts w:hint="eastAsia" w:ascii="宋体" w:hAnsi="宋体" w:eastAsia="宋体" w:cs="宋体"/>
                <w:color w:val="auto"/>
                <w:kern w:val="21"/>
                <w:sz w:val="21"/>
                <w:szCs w:val="21"/>
                <w:lang w:val="en-US" w:eastAsia="zh-CN"/>
              </w:rPr>
              <w:t>与研究生自命题扫描阅卷</w:t>
            </w:r>
            <w:r>
              <w:rPr>
                <w:rFonts w:hint="eastAsia" w:ascii="宋体" w:hAnsi="宋体" w:eastAsia="宋体" w:cs="宋体"/>
                <w:color w:val="auto"/>
                <w:kern w:val="21"/>
                <w:sz w:val="21"/>
                <w:szCs w:val="21"/>
                <w:lang w:eastAsia="zh-CN"/>
              </w:rPr>
              <w:t>服务</w:t>
            </w:r>
            <w:r>
              <w:rPr>
                <w:rFonts w:hint="eastAsia" w:ascii="宋体" w:hAnsi="宋体" w:eastAsia="宋体" w:cs="宋体"/>
                <w:color w:val="auto"/>
                <w:kern w:val="21"/>
                <w:sz w:val="21"/>
                <w:szCs w:val="21"/>
                <w:lang w:val="en-US" w:eastAsia="zh-CN"/>
              </w:rPr>
              <w:t>相关的</w:t>
            </w:r>
            <w:r>
              <w:rPr>
                <w:rFonts w:hint="eastAsia" w:ascii="宋体" w:hAnsi="宋体" w:eastAsia="宋体" w:cs="宋体"/>
                <w:color w:val="auto"/>
                <w:kern w:val="21"/>
                <w:sz w:val="21"/>
                <w:szCs w:val="21"/>
                <w:lang w:eastAsia="zh-CN"/>
              </w:rPr>
              <w:t>业绩，提供有效业绩证明材料。</w:t>
            </w:r>
            <w:r>
              <w:rPr>
                <w:rFonts w:hint="eastAsia" w:ascii="宋体" w:hAnsi="宋体" w:eastAsia="宋体" w:cs="宋体"/>
                <w:color w:val="auto"/>
                <w:kern w:val="21"/>
                <w:sz w:val="21"/>
                <w:szCs w:val="21"/>
                <w:lang w:val="en-US" w:eastAsia="zh-CN"/>
              </w:rPr>
              <w:t>每提供一份</w:t>
            </w:r>
            <w:r>
              <w:rPr>
                <w:rFonts w:hint="eastAsia" w:ascii="宋体" w:hAnsi="宋体" w:eastAsia="宋体" w:cs="宋体"/>
                <w:color w:val="auto"/>
                <w:kern w:val="21"/>
                <w:sz w:val="21"/>
                <w:szCs w:val="21"/>
                <w:lang w:eastAsia="zh-CN"/>
              </w:rPr>
              <w:t>得</w:t>
            </w:r>
            <w:r>
              <w:rPr>
                <w:rFonts w:hint="eastAsia" w:ascii="宋体" w:hAnsi="宋体" w:eastAsia="宋体" w:cs="宋体"/>
                <w:color w:val="auto"/>
                <w:kern w:val="21"/>
                <w:sz w:val="21"/>
                <w:szCs w:val="21"/>
                <w:lang w:val="en-US" w:eastAsia="zh-CN"/>
              </w:rPr>
              <w:t>1</w:t>
            </w:r>
            <w:r>
              <w:rPr>
                <w:rFonts w:hint="eastAsia" w:ascii="宋体" w:hAnsi="宋体" w:eastAsia="宋体" w:cs="宋体"/>
                <w:color w:val="auto"/>
                <w:kern w:val="21"/>
                <w:sz w:val="21"/>
                <w:szCs w:val="21"/>
                <w:lang w:eastAsia="zh-CN"/>
              </w:rPr>
              <w:t>分，</w:t>
            </w:r>
            <w:r>
              <w:rPr>
                <w:rFonts w:hint="eastAsia" w:ascii="宋体" w:hAnsi="宋体" w:eastAsia="宋体" w:cs="宋体"/>
                <w:color w:val="auto"/>
                <w:kern w:val="21"/>
                <w:sz w:val="21"/>
                <w:szCs w:val="21"/>
                <w:lang w:val="en-US" w:eastAsia="zh-CN"/>
              </w:rPr>
              <w:t>最高得10分</w:t>
            </w:r>
            <w:r>
              <w:rPr>
                <w:rFonts w:hint="eastAsia" w:ascii="宋体" w:hAnsi="宋体" w:eastAsia="宋体" w:cs="宋体"/>
                <w:color w:val="auto"/>
                <w:kern w:val="21"/>
                <w:sz w:val="21"/>
                <w:szCs w:val="21"/>
                <w:lang w:eastAsia="zh-CN"/>
              </w:rPr>
              <w:t>。</w:t>
            </w:r>
            <w:r>
              <w:rPr>
                <w:rFonts w:hint="eastAsia" w:ascii="宋体" w:hAnsi="宋体" w:eastAsia="宋体" w:cs="宋体"/>
                <w:color w:val="auto"/>
                <w:kern w:val="21"/>
                <w:sz w:val="21"/>
                <w:szCs w:val="21"/>
                <w:lang w:val="en-US" w:eastAsia="zh-CN"/>
              </w:rPr>
              <w:t>（需提供合同复印件加盖公章作为</w:t>
            </w:r>
            <w:r>
              <w:rPr>
                <w:rFonts w:hint="eastAsia" w:ascii="宋体" w:hAnsi="宋体" w:eastAsia="宋体" w:cs="宋体"/>
                <w:color w:val="auto"/>
                <w:kern w:val="21"/>
                <w:sz w:val="21"/>
                <w:szCs w:val="21"/>
                <w:lang w:eastAsia="zh-CN"/>
              </w:rPr>
              <w:t>业绩</w:t>
            </w:r>
            <w:r>
              <w:rPr>
                <w:rFonts w:hint="eastAsia" w:ascii="宋体" w:hAnsi="宋体" w:eastAsia="宋体" w:cs="宋体"/>
                <w:color w:val="auto"/>
                <w:kern w:val="21"/>
                <w:sz w:val="21"/>
                <w:szCs w:val="21"/>
                <w:lang w:val="en-US" w:eastAsia="zh-CN"/>
              </w:rPr>
              <w:t>证明材料）</w:t>
            </w:r>
          </w:p>
        </w:tc>
      </w:tr>
      <w:tr w14:paraId="6AD1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58CC459F">
            <w:pPr>
              <w:ind w:left="113" w:right="113"/>
              <w:jc w:val="center"/>
              <w:rPr>
                <w:rFonts w:hint="eastAsia" w:ascii="宋体" w:hAnsi="宋体" w:eastAsia="宋体" w:cs="宋体"/>
                <w:color w:val="auto"/>
                <w:sz w:val="21"/>
                <w:szCs w:val="21"/>
              </w:rPr>
            </w:pPr>
          </w:p>
        </w:tc>
        <w:tc>
          <w:tcPr>
            <w:tcW w:w="1980" w:type="dxa"/>
            <w:noWrap/>
            <w:vAlign w:val="center"/>
          </w:tcPr>
          <w:p w14:paraId="7BB43142">
            <w:pPr>
              <w:pStyle w:val="107"/>
              <w:keepNext w:val="0"/>
              <w:keepLines w:val="0"/>
              <w:pageBreakBefore w:val="0"/>
              <w:kinsoku/>
              <w:wordWrap/>
              <w:overflowPunct/>
              <w:topLinePunct w:val="0"/>
              <w:bidi w:val="0"/>
              <w:spacing w:line="360" w:lineRule="auto"/>
              <w:jc w:val="center"/>
              <w:textAlignment w:val="auto"/>
              <w:rPr>
                <w:rFonts w:hint="eastAsia" w:ascii="宋体" w:hAnsi="宋体" w:eastAsia="宋体" w:cs="宋体"/>
                <w:color w:val="auto"/>
                <w:kern w:val="21"/>
                <w:sz w:val="21"/>
                <w:szCs w:val="21"/>
              </w:rPr>
            </w:pPr>
            <w:r>
              <w:rPr>
                <w:rFonts w:hint="eastAsia" w:ascii="宋体" w:hAnsi="宋体" w:eastAsia="宋体" w:cs="宋体"/>
                <w:color w:val="auto"/>
                <w:sz w:val="21"/>
                <w:szCs w:val="21"/>
              </w:rPr>
              <w:t>售后服务方案</w:t>
            </w:r>
          </w:p>
        </w:tc>
        <w:tc>
          <w:tcPr>
            <w:tcW w:w="1080" w:type="dxa"/>
            <w:noWrap/>
            <w:vAlign w:val="center"/>
          </w:tcPr>
          <w:p w14:paraId="07289142">
            <w:pPr>
              <w:pStyle w:val="107"/>
              <w:keepNext w:val="0"/>
              <w:keepLines w:val="0"/>
              <w:pageBreakBefore w:val="0"/>
              <w:kinsoku/>
              <w:wordWrap/>
              <w:overflowPunct/>
              <w:topLinePunct w:val="0"/>
              <w:bidi w:val="0"/>
              <w:spacing w:line="360" w:lineRule="auto"/>
              <w:jc w:val="center"/>
              <w:textAlignment w:val="auto"/>
              <w:rPr>
                <w:rFonts w:hint="eastAsia" w:ascii="宋体" w:hAnsi="宋体" w:eastAsia="宋体" w:cs="宋体"/>
                <w:color w:val="auto"/>
                <w:kern w:val="21"/>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w:t>
            </w:r>
          </w:p>
        </w:tc>
        <w:tc>
          <w:tcPr>
            <w:tcW w:w="5400" w:type="dxa"/>
            <w:noWrap/>
            <w:vAlign w:val="center"/>
          </w:tcPr>
          <w:p w14:paraId="2BFC9782">
            <w:pPr>
              <w:pStyle w:val="107"/>
              <w:keepNext w:val="0"/>
              <w:keepLines w:val="0"/>
              <w:pageBreakBefore w:val="0"/>
              <w:kinsoku/>
              <w:wordWrap/>
              <w:overflowPunct/>
              <w:topLinePunct w:val="0"/>
              <w:bidi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根据供应商提供的售后服务承诺方案（包括但不限于售后服务内容、响应方式、售后服务人员、售后服务机构情况等方面）由评委进行</w:t>
            </w:r>
            <w:r>
              <w:rPr>
                <w:rFonts w:hint="eastAsia" w:ascii="宋体" w:hAnsi="宋体" w:eastAsia="宋体" w:cs="宋体"/>
                <w:color w:val="auto"/>
                <w:sz w:val="21"/>
                <w:szCs w:val="21"/>
                <w:lang w:val="en-US" w:eastAsia="zh-CN"/>
              </w:rPr>
              <w:t>评分</w:t>
            </w:r>
            <w:r>
              <w:rPr>
                <w:rFonts w:hint="eastAsia" w:ascii="宋体" w:hAnsi="宋体" w:eastAsia="宋体" w:cs="宋体"/>
                <w:color w:val="auto"/>
                <w:sz w:val="21"/>
                <w:szCs w:val="21"/>
              </w:rPr>
              <w:t>：</w:t>
            </w:r>
          </w:p>
          <w:p w14:paraId="2F27BDAA">
            <w:pPr>
              <w:pStyle w:val="107"/>
              <w:keepNext w:val="0"/>
              <w:keepLines w:val="0"/>
              <w:pageBreakBefore w:val="0"/>
              <w:kinsoku/>
              <w:wordWrap/>
              <w:overflowPunct/>
              <w:topLinePunct w:val="0"/>
              <w:bidi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（1）方案包含的要点齐全无缺漏项，内容与要点相符、每个要点均有展开详细的阐述且能够适用于本项目、无明显错误、无缺陷的得3分；</w:t>
            </w:r>
          </w:p>
          <w:p w14:paraId="69227414">
            <w:pPr>
              <w:pStyle w:val="107"/>
              <w:keepNext w:val="0"/>
              <w:keepLines w:val="0"/>
              <w:pageBreakBefore w:val="0"/>
              <w:kinsoku/>
              <w:wordWrap/>
              <w:overflowPunct/>
              <w:topLinePunct w:val="0"/>
              <w:bidi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（2）方案所包含的要点无缺漏项，内容有缺陷或方案阐述简短无展开阐述的得2分。</w:t>
            </w:r>
          </w:p>
          <w:p w14:paraId="1A4AB68A">
            <w:pPr>
              <w:pStyle w:val="107"/>
              <w:keepNext w:val="0"/>
              <w:keepLines w:val="0"/>
              <w:pageBreakBefore w:val="0"/>
              <w:kinsoku/>
              <w:wordWrap/>
              <w:overflowPunct/>
              <w:topLinePunct w:val="0"/>
              <w:bidi w:val="0"/>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（3）方案所包含的要点有缺漏，内容有缺陷或方案阐述简短无展开阐述的得1分。</w:t>
            </w:r>
          </w:p>
          <w:p w14:paraId="260E600E">
            <w:pPr>
              <w:pStyle w:val="107"/>
              <w:keepNext w:val="0"/>
              <w:keepLines w:val="0"/>
              <w:pageBreakBefore w:val="0"/>
              <w:kinsoku/>
              <w:wordWrap/>
              <w:overflowPunct/>
              <w:topLinePunct w:val="0"/>
              <w:bidi w:val="0"/>
              <w:spacing w:line="360" w:lineRule="auto"/>
              <w:jc w:val="left"/>
              <w:textAlignment w:val="auto"/>
              <w:rPr>
                <w:rFonts w:hint="eastAsia" w:ascii="宋体" w:hAnsi="宋体" w:eastAsia="宋体" w:cs="宋体"/>
                <w:color w:val="auto"/>
                <w:kern w:val="21"/>
                <w:sz w:val="21"/>
                <w:szCs w:val="21"/>
              </w:rPr>
            </w:pPr>
            <w:r>
              <w:rPr>
                <w:rFonts w:hint="eastAsia" w:ascii="宋体" w:hAnsi="宋体" w:eastAsia="宋体" w:cs="宋体"/>
                <w:color w:val="auto"/>
                <w:sz w:val="21"/>
                <w:szCs w:val="21"/>
              </w:rPr>
              <w:t xml:space="preserve">（4）未提供不得分。 </w:t>
            </w:r>
          </w:p>
        </w:tc>
      </w:tr>
      <w:tr w14:paraId="1D34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8" w:type="dxa"/>
            <w:gridSpan w:val="4"/>
            <w:noWrap/>
            <w:vAlign w:val="center"/>
          </w:tcPr>
          <w:p w14:paraId="714C5223">
            <w:pPr>
              <w:rPr>
                <w:rFonts w:hint="eastAsia" w:ascii="宋体" w:hAnsi="宋体" w:eastAsia="宋体" w:cs="宋体"/>
                <w:color w:val="auto"/>
                <w:sz w:val="21"/>
                <w:szCs w:val="21"/>
              </w:rPr>
            </w:pPr>
            <w:r>
              <w:rPr>
                <w:rFonts w:hint="eastAsia" w:ascii="宋体" w:hAnsi="宋体" w:eastAsia="宋体" w:cs="宋体"/>
                <w:color w:val="auto"/>
                <w:sz w:val="21"/>
                <w:szCs w:val="21"/>
              </w:rPr>
              <w:t>备注：评分细则中如需要报价人提供证明材料的，供应商应在报价文件中提交证明材料。</w:t>
            </w:r>
          </w:p>
        </w:tc>
      </w:tr>
    </w:tbl>
    <w:p w14:paraId="28CB7534">
      <w:pPr>
        <w:spacing w:line="400" w:lineRule="exact"/>
        <w:ind w:firstLine="480" w:firstLineChars="200"/>
        <w:rPr>
          <w:rFonts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402E8AF9">
      <w:pPr>
        <w:pStyle w:val="2"/>
      </w:pPr>
      <w:bookmarkStart w:id="23" w:name="_Toc60236707"/>
      <w:r>
        <w:rPr>
          <w:rFonts w:hint="eastAsia"/>
        </w:rPr>
        <w:br w:type="page"/>
      </w:r>
      <w:bookmarkStart w:id="24" w:name="_Toc5254"/>
      <w:r>
        <w:rPr>
          <w:rFonts w:hint="eastAsia"/>
        </w:rPr>
        <w:t>第二部分</w:t>
      </w:r>
      <w:bookmarkEnd w:id="23"/>
      <w:r>
        <w:rPr>
          <w:rFonts w:hint="eastAsia"/>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8"/>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7"/>
        <w:gridCol w:w="4947"/>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1"/>
                <w:rFonts w:hint="eastAsia" w:ascii="宋体" w:hAnsi="宋体" w:cs="宋体"/>
                <w:color w:val="333333"/>
                <w:kern w:val="0"/>
                <w:sz w:val="24"/>
              </w:rPr>
              <w:t>序号</w:t>
            </w:r>
          </w:p>
        </w:tc>
        <w:tc>
          <w:tcPr>
            <w:tcW w:w="2700"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1"/>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1"/>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1"/>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6"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3F6783D">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2700" w:type="pct"/>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widowControl/>
              <w:spacing w:line="560" w:lineRule="exact"/>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网上阅卷技术服务</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ascii="宋体" w:hAnsi="宋体" w:cs="宋体"/>
                <w:sz w:val="24"/>
              </w:rPr>
            </w:pPr>
            <w:r>
              <w:rPr>
                <w:rFonts w:hint="eastAsia" w:ascii="宋体" w:hAnsi="宋体" w:eastAsia="宋体" w:cs="宋体"/>
                <w:sz w:val="28"/>
                <w:szCs w:val="28"/>
                <w:lang w:val="en-US" w:eastAsia="zh-CN"/>
              </w:rPr>
              <w:t>项</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ascii="宋体" w:hAnsi="宋体" w:cs="宋体"/>
                <w:sz w:val="24"/>
              </w:rPr>
            </w:pPr>
            <w:r>
              <w:rPr>
                <w:rFonts w:hint="eastAsia" w:ascii="宋体" w:hAnsi="宋体" w:eastAsia="宋体" w:cs="宋体"/>
                <w:sz w:val="28"/>
                <w:szCs w:val="28"/>
                <w:lang w:val="en-US" w:eastAsia="zh-CN"/>
              </w:rPr>
              <w:t>1</w:t>
            </w:r>
          </w:p>
        </w:tc>
      </w:tr>
      <w:tr w14:paraId="7D0D53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6"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47D1D7AE">
            <w:pPr>
              <w:widowControl/>
              <w:spacing w:line="560" w:lineRule="exact"/>
              <w:jc w:val="center"/>
              <w:rPr>
                <w:rFonts w:ascii="宋体" w:hAnsi="宋体" w:cs="宋体"/>
                <w:sz w:val="24"/>
              </w:rPr>
            </w:pPr>
            <w:r>
              <w:rPr>
                <w:rFonts w:hint="eastAsia" w:ascii="宋体" w:hAnsi="宋体" w:cs="宋体"/>
                <w:color w:val="333333"/>
                <w:kern w:val="0"/>
                <w:sz w:val="24"/>
              </w:rPr>
              <w:t>2</w:t>
            </w:r>
          </w:p>
        </w:tc>
        <w:tc>
          <w:tcPr>
            <w:tcW w:w="2700" w:type="pct"/>
            <w:tcBorders>
              <w:top w:val="nil"/>
              <w:left w:val="nil"/>
              <w:bottom w:val="single" w:color="000000" w:sz="4" w:space="0"/>
              <w:right w:val="single" w:color="000000" w:sz="4" w:space="0"/>
            </w:tcBorders>
            <w:shd w:val="clear" w:color="auto" w:fill="auto"/>
            <w:tcMar>
              <w:left w:w="70" w:type="dxa"/>
              <w:right w:w="70" w:type="dxa"/>
            </w:tcMar>
            <w:vAlign w:val="center"/>
          </w:tcPr>
          <w:p w14:paraId="4541D643">
            <w:pPr>
              <w:widowControl/>
              <w:spacing w:line="560" w:lineRule="exact"/>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图像采集器</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501D18C9">
            <w:pPr>
              <w:widowControl/>
              <w:spacing w:line="560" w:lineRule="exact"/>
              <w:jc w:val="center"/>
              <w:rPr>
                <w:rFonts w:ascii="宋体" w:hAnsi="宋体" w:cs="宋体"/>
                <w:sz w:val="24"/>
              </w:rPr>
            </w:pPr>
            <w:r>
              <w:rPr>
                <w:rFonts w:hint="eastAsia" w:ascii="宋体" w:hAnsi="宋体" w:eastAsia="宋体" w:cs="宋体"/>
                <w:sz w:val="28"/>
                <w:szCs w:val="28"/>
                <w:lang w:val="en-US" w:eastAsia="zh-CN"/>
              </w:rPr>
              <w:t>台</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24328C89">
            <w:pPr>
              <w:widowControl/>
              <w:spacing w:line="560" w:lineRule="exact"/>
              <w:jc w:val="center"/>
              <w:rPr>
                <w:rFonts w:ascii="宋体" w:hAnsi="宋体" w:cs="宋体"/>
                <w:sz w:val="24"/>
              </w:rPr>
            </w:pPr>
            <w:r>
              <w:rPr>
                <w:rFonts w:hint="eastAsia" w:ascii="宋体" w:hAnsi="宋体" w:cs="宋体"/>
                <w:sz w:val="28"/>
                <w:szCs w:val="28"/>
                <w:lang w:val="en-US" w:eastAsia="zh-CN"/>
              </w:rPr>
              <w:t>1</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p w14:paraId="310948C6">
      <w:pPr>
        <w:spacing w:line="560" w:lineRule="exact"/>
        <w:ind w:firstLine="560" w:firstLineChars="200"/>
        <w:rPr>
          <w:rFonts w:hint="eastAsia" w:ascii="宋体" w:hAnsi="宋体"/>
          <w:kern w:val="0"/>
          <w:sz w:val="28"/>
          <w:szCs w:val="28"/>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tbl>
      <w:tblPr>
        <w:tblStyle w:val="28"/>
        <w:tblW w:w="4967"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84"/>
        <w:gridCol w:w="1434"/>
        <w:gridCol w:w="6809"/>
      </w:tblGrid>
      <w:tr w14:paraId="237CD9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383"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56EE82">
            <w:pPr>
              <w:widowControl/>
              <w:spacing w:line="560" w:lineRule="exact"/>
              <w:jc w:val="center"/>
              <w:rPr>
                <w:rFonts w:ascii="宋体" w:hAnsi="宋体" w:cs="宋体"/>
                <w:sz w:val="24"/>
              </w:rPr>
            </w:pPr>
            <w:r>
              <w:rPr>
                <w:rStyle w:val="31"/>
                <w:rFonts w:hint="eastAsia" w:ascii="宋体" w:hAnsi="宋体" w:cs="宋体"/>
                <w:color w:val="333333"/>
                <w:kern w:val="0"/>
                <w:sz w:val="24"/>
              </w:rPr>
              <w:t>序号</w:t>
            </w:r>
          </w:p>
        </w:tc>
        <w:tc>
          <w:tcPr>
            <w:tcW w:w="803"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C1934DC">
            <w:pPr>
              <w:widowControl/>
              <w:spacing w:line="560" w:lineRule="exact"/>
              <w:jc w:val="center"/>
              <w:rPr>
                <w:rFonts w:ascii="宋体" w:hAnsi="宋体" w:cs="宋体"/>
                <w:sz w:val="24"/>
              </w:rPr>
            </w:pPr>
            <w:r>
              <w:rPr>
                <w:rStyle w:val="31"/>
                <w:rFonts w:hint="eastAsia" w:ascii="宋体" w:hAnsi="宋体" w:cs="宋体"/>
                <w:color w:val="333333"/>
                <w:kern w:val="0"/>
                <w:sz w:val="24"/>
              </w:rPr>
              <w:t>物资名称</w:t>
            </w:r>
          </w:p>
        </w:tc>
        <w:tc>
          <w:tcPr>
            <w:tcW w:w="3812"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163E574F">
            <w:pPr>
              <w:widowControl/>
              <w:spacing w:line="560" w:lineRule="exact"/>
              <w:jc w:val="center"/>
              <w:rPr>
                <w:rFonts w:ascii="宋体" w:hAnsi="宋体" w:cs="宋体"/>
                <w:sz w:val="24"/>
              </w:rPr>
            </w:pPr>
            <w:r>
              <w:rPr>
                <w:rFonts w:hint="eastAsia" w:ascii="宋体" w:hAnsi="宋体" w:cs="宋体"/>
                <w:sz w:val="24"/>
              </w:rPr>
              <w:t>具体技术指标及性能要求</w:t>
            </w:r>
          </w:p>
        </w:tc>
      </w:tr>
      <w:tr w14:paraId="6B1EEB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383"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D8A13E1">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803" w:type="pct"/>
            <w:tcBorders>
              <w:top w:val="nil"/>
              <w:left w:val="nil"/>
              <w:bottom w:val="single" w:color="000000" w:sz="4" w:space="0"/>
              <w:right w:val="single" w:color="000000" w:sz="4" w:space="0"/>
            </w:tcBorders>
            <w:shd w:val="clear" w:color="auto" w:fill="auto"/>
            <w:tcMar>
              <w:left w:w="70" w:type="dxa"/>
              <w:right w:w="70" w:type="dxa"/>
            </w:tcMar>
            <w:vAlign w:val="center"/>
          </w:tcPr>
          <w:p w14:paraId="22E67009">
            <w:pPr>
              <w:widowControl/>
              <w:spacing w:line="560" w:lineRule="exact"/>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网上阅卷技术服务</w:t>
            </w:r>
          </w:p>
        </w:tc>
        <w:tc>
          <w:tcPr>
            <w:tcW w:w="3812" w:type="pct"/>
            <w:tcBorders>
              <w:top w:val="nil"/>
              <w:left w:val="nil"/>
              <w:bottom w:val="single" w:color="000000" w:sz="4" w:space="0"/>
              <w:right w:val="single" w:color="000000" w:sz="4" w:space="0"/>
            </w:tcBorders>
            <w:shd w:val="clear" w:color="auto" w:fill="auto"/>
            <w:tcMar>
              <w:left w:w="70" w:type="dxa"/>
              <w:right w:w="70" w:type="dxa"/>
            </w:tcMar>
            <w:vAlign w:val="center"/>
          </w:tcPr>
          <w:p w14:paraId="7927C69A">
            <w:pPr>
              <w:pStyle w:val="103"/>
              <w:spacing w:line="560" w:lineRule="exact"/>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成交供应商应当能够为</w:t>
            </w:r>
            <w:r>
              <w:rPr>
                <w:rFonts w:hint="eastAsia" w:ascii="宋体" w:hAnsi="宋体" w:eastAsia="宋体" w:cs="宋体"/>
                <w:sz w:val="28"/>
                <w:szCs w:val="28"/>
                <w:lang w:eastAsia="zh-CN"/>
              </w:rPr>
              <w:t>2027</w:t>
            </w:r>
            <w:r>
              <w:rPr>
                <w:rFonts w:hint="eastAsia" w:ascii="宋体" w:hAnsi="宋体" w:eastAsia="宋体" w:cs="宋体"/>
                <w:sz w:val="28"/>
                <w:szCs w:val="28"/>
              </w:rPr>
              <w:t>年研究生招生考试自命题试卷网上阅卷提供以下</w:t>
            </w:r>
            <w:r>
              <w:rPr>
                <w:rFonts w:hint="eastAsia" w:ascii="宋体" w:hAnsi="宋体" w:eastAsia="宋体" w:cs="宋体"/>
                <w:sz w:val="28"/>
                <w:szCs w:val="28"/>
                <w:lang w:val="en-US" w:eastAsia="zh-CN"/>
              </w:rPr>
              <w:t>技术/</w:t>
            </w:r>
            <w:r>
              <w:rPr>
                <w:rFonts w:hint="eastAsia" w:ascii="宋体" w:hAnsi="宋体" w:eastAsia="宋体" w:cs="宋体"/>
                <w:sz w:val="28"/>
                <w:szCs w:val="28"/>
              </w:rPr>
              <w:t>服务</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成交后采购人可根据实际情况可要求供应商进行技术演示，不能满足或部分不满足技术要求的，按无效响应处理</w:t>
            </w:r>
            <w:r>
              <w:rPr>
                <w:rFonts w:hint="eastAsia" w:ascii="宋体" w:hAnsi="宋体" w:eastAsia="宋体" w:cs="宋体"/>
                <w:sz w:val="28"/>
                <w:szCs w:val="28"/>
                <w:lang w:eastAsia="zh-CN"/>
              </w:rPr>
              <w:t>）：</w:t>
            </w:r>
          </w:p>
          <w:p w14:paraId="775ECB97">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条码印制技术要求</w:t>
            </w:r>
          </w:p>
          <w:p w14:paraId="1E854C44">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印刷材质要求为不干胶标签纸。条码编码规则由采购方提供，条码单包含姓名、考生编号、科目、考点、场次、座次、时间等信息。</w:t>
            </w:r>
          </w:p>
          <w:p w14:paraId="317CE197">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答题纸变量印刷技术要求</w:t>
            </w:r>
          </w:p>
          <w:p w14:paraId="142215C0">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2.1根据学校提供的数据进行变量印制，含条码和答题卡。</w:t>
            </w:r>
          </w:p>
          <w:p w14:paraId="70F70019">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2.2答题卡文字、图片印制清晰，墨色均匀，版面整洁。</w:t>
            </w:r>
          </w:p>
          <w:p w14:paraId="2D7BA9D1">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▲2.3能提供基于数据自动调用的分拣批量打印方法，实现无人工干预直接生成打印文件，数码印刷系统自动调用打印机完成批量打印分拣。</w:t>
            </w:r>
          </w:p>
          <w:p w14:paraId="143EB680">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2.4能将答题卡PDF文档、卷袋信息PDF模板按要求合并为一个大型PDF文档，并检测PDF文档的准确性；然后在打印机成功打印文档后，检测打印物装袋的准确性。数据校验主要是对《考生数据库》与《考场信息表》两张excel表格进行校对。在文档转换过程中，根据提供“答题卡PDF模板”，需要程序将其转换为“考场打印PDF文档”。</w:t>
            </w:r>
          </w:p>
          <w:p w14:paraId="7B5FB077">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2.5进行数据检查校对，核对两张excel表中的考场数据、课程代码数据是否正确。并通过两个excel表中的考场编号数据，监测两表之间是否存在矛盾数据。比如在 《考场信息表》中A考场标号显示那排课程E，在《考生数据库》中却没有。</w:t>
            </w:r>
          </w:p>
          <w:p w14:paraId="0F27538F">
            <w:pPr>
              <w:pStyle w:val="103"/>
              <w:spacing w:line="560" w:lineRule="exact"/>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rPr>
              <w:t>答题卡识别</w:t>
            </w:r>
            <w:r>
              <w:rPr>
                <w:rFonts w:hint="eastAsia" w:ascii="宋体" w:hAnsi="宋体" w:eastAsia="宋体" w:cs="宋体"/>
                <w:sz w:val="28"/>
                <w:szCs w:val="28"/>
                <w:lang w:val="en-US" w:eastAsia="zh-CN"/>
              </w:rPr>
              <w:t>技术</w:t>
            </w:r>
          </w:p>
          <w:p w14:paraId="15AB18A1">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▲3.1 根据采购方提供的数据进行答题卡印制，含条码和答题卡。自动识别考生及答题卡信息，实现考生信息与答题卡信息自动匹配。</w:t>
            </w:r>
          </w:p>
          <w:p w14:paraId="59C34A6C">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3.2识别系统兼容所有答题卡，同时支持精确定位和模糊定位，裁切系统同时支持物理裁切和不裁切，支持任意位置包括不同页面上的试题进行组合；</w:t>
            </w:r>
          </w:p>
          <w:p w14:paraId="5DEC7F7A">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3.3自动探测和识别条形码类型、位置和方位；并支持所有一维条形码；</w:t>
            </w:r>
          </w:p>
          <w:p w14:paraId="650DBD5B">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扫描识别技术</w:t>
            </w:r>
          </w:p>
          <w:p w14:paraId="192AA793">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▲4.1 支持答题卡主客观题混排，可以实现单面、双面混排。</w:t>
            </w:r>
          </w:p>
          <w:p w14:paraId="4BC7C712">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4.2 识别系统兼容所有答题卡，同时支持精确定位和模糊定位，裁切系统同时支持物理裁切和不裁切，支持任意位置包括不同页面上的试题进行组合。</w:t>
            </w:r>
          </w:p>
          <w:p w14:paraId="2D7363D5">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4.3 答题卡扫描和识别、阅卷可以同步进行也可以异步进行；系统数据库不涉及到版权纠纷问题。</w:t>
            </w:r>
          </w:p>
          <w:p w14:paraId="625160A6">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4.4 支持200个以上科目试卷混合扫描，且自动根据扫描结果判断所属科目。</w:t>
            </w:r>
          </w:p>
          <w:p w14:paraId="2ED4E120">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4.5 支持扫描数据快速查漏功能，严格防止试卷漏扫情况发生。</w:t>
            </w:r>
          </w:p>
          <w:p w14:paraId="4C4CAE0F">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4.6提供缺考缺页扫描统计功能，便于学校与实际扫描数量进行二次校对，生成完整的计划考生数、实考数、缺考数考生名单。</w:t>
            </w:r>
          </w:p>
          <w:p w14:paraId="55EB9FA5">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4.7支持答题卡扫描数据需归档保存到采购方提供的服务器，并提供查询检索功能。</w:t>
            </w:r>
          </w:p>
          <w:p w14:paraId="2CD66A3C">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▲4.8支持客观题专卡定制需求，满足全科目的适配标准，最大客观题数量支持215题，A4题卡制作；</w:t>
            </w:r>
          </w:p>
          <w:p w14:paraId="1463F6F9">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4.9支持针对专卡的设计、排版、纸张(80g)、卡格式制作、打包、快递（除新疆、内蒙、西藏、青海、甘肃、宁夏偏远地区)、扫描识别等内容</w:t>
            </w:r>
          </w:p>
          <w:p w14:paraId="3E09C08C">
            <w:pPr>
              <w:pStyle w:val="103"/>
              <w:spacing w:line="560" w:lineRule="exact"/>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5.试卷评阅技术</w:t>
            </w:r>
          </w:p>
          <w:p w14:paraId="56FEB8EE">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 评卷过程中自动屏蔽考生的考号、姓名等个人信息，支持鼠标和数字键盘、轨迹标识等多种打分数模式；</w:t>
            </w:r>
          </w:p>
          <w:p w14:paraId="76307168">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▲5.2 在轨迹打分中可以支持常见的正确(√)、错误(×)之外，还支持轨迹给分点，在轨迹给分时，针对连续点击或同坐标点击时，有办法规避老师误操作多次给分的问题。打分的过程中，老师可以根据自己的需要，调节轨迹分值的大小，并支持打分的轨迹在系统中可以随时调阅查询，及转存图片输出存档。</w:t>
            </w:r>
          </w:p>
          <w:p w14:paraId="13F69DFC">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5.3 同时支持200个以上的科目同时在线阅卷，同时并发正常评卷的用户数量不能低于300个；</w:t>
            </w:r>
          </w:p>
          <w:p w14:paraId="443842DC">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▲5.4 支持智能辅助条码检测，帮助判断考生条码粘贴与页码的顺序是否一致，提示异常给人工进行处理，同时支持系统对粘贴错误的条码进行序号调整，以便顺序阅卷；</w:t>
            </w:r>
          </w:p>
          <w:p w14:paraId="51A2290D">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5.5 支持系智能辅助作答检测，帮助判断考生每页是否存在作答，在评卷时给出信息提示，避免老师漏评；</w:t>
            </w:r>
          </w:p>
          <w:p w14:paraId="6C16C16D">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5.6 支持灵活阅卷账号分配，允许一个账号评阅任意个科目；支持设置账号在同一个科目中的给分权限。</w:t>
            </w:r>
          </w:p>
          <w:p w14:paraId="6115CAFF">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5.7 需支持多评及仲载功能，如果多个给分差值超过设定标准时，会要求评卷组长或负责人进行仲裁并可以查看原评卷人的轨迹给分结果，仲裁方式要求可以支持按题组设置阈值、小题仲裁，可针对同一科目，分别设置不能类型的仲裁方式，同时可以针对多评结果分值中0分与空分、非空分进行仲裁设置，不受阈值限制。</w:t>
            </w:r>
          </w:p>
          <w:p w14:paraId="5D89E757">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5.8 在系统正式评卷给分前，可以安排人员选定科目进行试评，并在试评阶段可以查看相关的成绩数据，包括且不局限于：平均分、最高分、最低分等。</w:t>
            </w:r>
          </w:p>
          <w:p w14:paraId="593938B6">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▲5.9评卷参数设置灵活，可以按科目、题目等维度进行设置，支持整卷评，分题评，多大题小题组合评，试卷展示时可以根据科目自由设置对切或全卷展示；</w:t>
            </w:r>
          </w:p>
          <w:p w14:paraId="32F9DE91">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5.10 支持对阅卷的总体进度、各题进度、个人进度、评卷误差的实时监控；对有问题的试题进行实时处理；支持对评卷教师的评卷质量管理，包括对各题评阅的平均分及给分曲线、阅卷速度等。</w:t>
            </w:r>
          </w:p>
          <w:p w14:paraId="34D72C12">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5.11 能根据评卷老师的要求灵活地设置给分板，满足各种给分要求，同时支持针对单题设置给分次数，给分次数可以严格限定：小于等于、等于、大于等于，评卷员在阅卷时，需要严格按学院要求，给出步骤分或最终分值。</w:t>
            </w:r>
          </w:p>
          <w:p w14:paraId="6E191FD2">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5.12试卷的分组参数支持批量设置，也支持单个手动修改，特别是科组长可以根据需求灵活的调整，调整的方案要简单易上手；</w:t>
            </w:r>
          </w:p>
          <w:p w14:paraId="5CAFFF83">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5.13支持考试后分析报表能够以Excel等格式导出，同时考虑到科目较多的问题，可以支持单科目多维度报表导出，也能支持本次考试所有科目的一键批量导出；能够统计每个阅卷老师阅卷工作量、有效卷量、速度、平均分等。</w:t>
            </w:r>
          </w:p>
          <w:p w14:paraId="10EE4764">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5.14支持试卷检查过程组长进行打回操作处理，打回时可以填写打回原因或理由，同时评卷员获取打回卷时，可以看到打回原因及上次给分的轨迹，确认清楚后再进行重新给分，同时系统能针对打回卷进行打回前分值及打回后的分值差查询与统计；</w:t>
            </w:r>
          </w:p>
          <w:p w14:paraId="0ACD87CC">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▲5.15针对研究生阅卷的情况降低误评，可以设置分题复核及全卷复核，复核标识及复核人有记录可查，并在复核发生问题时可以单题、多题打回操作；</w:t>
            </w:r>
          </w:p>
          <w:p w14:paraId="791AF4A9">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 5.16在评卷过程针对作答错误0分、空白作答的空分题有办法标记或区分，针对空分可以自动标注题号，以帮助复核老师检查特殊分值具体的原因，以避免漏评误判；</w:t>
            </w:r>
          </w:p>
          <w:p w14:paraId="68F1928B">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5.17为了便于复核老师的操作，复核时，能清晰的找到对应每题的给分点，每个给分点都应该用突出显示的方式展现给复核老师；</w:t>
            </w:r>
          </w:p>
          <w:p w14:paraId="274F6EF1">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5.18支持多评试卷在全卷复核时，可以进行多评的轨迹查询定位，需要以不同的颜色区分及标识不同人的结分结果在同一试卷上，及多人结分轨迹重合时，系统能自动进行位移区分开，便于复核查阅，同时支持轨迹双向定位，可以通过给分板定位轨迹，也可以通过评分轨迹定位题目归属，复核过程中，针对异常卷可以直接标记，后续统一处理；</w:t>
            </w:r>
          </w:p>
          <w:p w14:paraId="67FCE51C">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▲5.19对已处理的问题卷有历史记录查看功能，能查看哪部分试卷、老师提交过问题卷，问题卷的类型及处理人等记录；</w:t>
            </w:r>
          </w:p>
          <w:p w14:paraId="7A3FEA0E">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▲5.20支持选做题处理，某科目下有10选8或5选2之类的选做题，在阅卷，评卷老师按实际作答情况给出分值，由系统自动按选做标准进行合分，对于多选做或少选的试卷系统会给出统计，便于人工检查；</w:t>
            </w:r>
          </w:p>
          <w:p w14:paraId="33E1B2CA">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5.21阅卷完成的试卷可以添加阅卷轨迹及试卷总览的水印，导出学生作答试卷图片存档，便于学校用于上级单位进行存档检查；</w:t>
            </w:r>
          </w:p>
          <w:p w14:paraId="3A485353">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5.22针对多评试卷存档时，需要全部还原多评的轨迹给分结果，并同时用颜色区分及标识不同人的结分结果在同一张试卷上；</w:t>
            </w:r>
          </w:p>
          <w:p w14:paraId="56638C50">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5.23具有完善安全方案，保证网上评卷过程中的安全；具有分数质量的后期检查功能及各科目成绩以及主、客观题分数的完整性数据校验检查功能。</w:t>
            </w:r>
          </w:p>
          <w:p w14:paraId="37AC16D4">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5.24成绩公示后，学校在收到学生查分申请时，系统能支持批量查分查阅功能，一次调出所有申请查分试卷，试卷上需展示出试卷给分明细及总分，由相关老师核实分数是否正常。</w:t>
            </w:r>
          </w:p>
          <w:p w14:paraId="259135E5">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招考质量分析系统</w:t>
            </w:r>
          </w:p>
          <w:p w14:paraId="70AEECE7">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6.1针对自命题科目进行相关的试卷特征量、试题难度、区分度、差异系数等指征分析，同时按科目生成相关的excel、PDF等分析报告；</w:t>
            </w:r>
          </w:p>
          <w:p w14:paraId="21C0459D">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6.2能针对各科目进行相关多年度招考质量比对分析，给出年度变化分析；</w:t>
            </w:r>
          </w:p>
          <w:p w14:paraId="5B0165B8">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6.3能结合国家线、自划线、复试</w:t>
            </w:r>
            <w:r>
              <w:rPr>
                <w:rFonts w:hint="eastAsia" w:ascii="宋体" w:hAnsi="宋体" w:eastAsia="宋体" w:cs="宋体"/>
                <w:sz w:val="28"/>
                <w:szCs w:val="28"/>
                <w:lang w:eastAsia="zh"/>
              </w:rPr>
              <w:t>线</w:t>
            </w:r>
            <w:r>
              <w:rPr>
                <w:rFonts w:hint="eastAsia" w:ascii="宋体" w:hAnsi="宋体" w:eastAsia="宋体" w:cs="宋体"/>
                <w:sz w:val="28"/>
                <w:szCs w:val="28"/>
              </w:rPr>
              <w:t>，给出具体的过线情况分析；</w:t>
            </w:r>
          </w:p>
          <w:p w14:paraId="1B5A231B">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服务要求</w:t>
            </w:r>
          </w:p>
          <w:p w14:paraId="03F45AFD">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7.1 完成与扫描阅卷的技术服务对接工作。组织和安排答题卡扫描的操作人员，并完成相应的扫描服务工作，提供现场教师评卷的技术指导工作并完成评卷服务。</w:t>
            </w:r>
          </w:p>
          <w:p w14:paraId="74B7F2BA">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7.2 答题卡、卷贴数码印刷内容完整准确无误、不缺页、不缺份数、不缺袋、不装错袋、无破损。</w:t>
            </w:r>
          </w:p>
          <w:p w14:paraId="1672B363">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7.3 答题卡扫描准确无误、无遗漏。</w:t>
            </w:r>
          </w:p>
          <w:p w14:paraId="5EACB8CF">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7.4 评卷前做好扫描数据校验、答案设置、评卷员账号分配、操作培训等所有准备工作。</w:t>
            </w:r>
          </w:p>
          <w:p w14:paraId="177E9921">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▲7.5 提供成绩统计分析服务。</w:t>
            </w:r>
          </w:p>
          <w:p w14:paraId="2EC8FD66">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7.6 提供答题卡扫描卷保存及查询服务。</w:t>
            </w:r>
          </w:p>
          <w:p w14:paraId="3D14A9B8">
            <w:pPr>
              <w:pStyle w:val="103"/>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7.7 完成相关的数据处理工作。评卷结果和统计分析达到学校要求，完整、准确。</w:t>
            </w:r>
          </w:p>
          <w:p w14:paraId="32C7D285">
            <w:pPr>
              <w:pStyle w:val="103"/>
              <w:spacing w:line="560" w:lineRule="exact"/>
              <w:ind w:firstLine="560" w:firstLineChars="200"/>
              <w:rPr>
                <w:rFonts w:hint="eastAsia" w:ascii="宋体" w:hAnsi="宋体" w:cs="宋体"/>
                <w:sz w:val="24"/>
              </w:rPr>
            </w:pPr>
            <w:r>
              <w:rPr>
                <w:rFonts w:hint="eastAsia" w:ascii="宋体" w:hAnsi="宋体" w:eastAsia="宋体" w:cs="宋体"/>
                <w:sz w:val="28"/>
                <w:szCs w:val="28"/>
              </w:rPr>
              <w:t>▲7.8 要确保评卷结果（包括评卷分数、评卷轨迹等）的正确和完整，并保证评卷过程的安全保密。</w:t>
            </w:r>
          </w:p>
        </w:tc>
      </w:tr>
      <w:tr w14:paraId="4EE370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383"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57077FFD">
            <w:pPr>
              <w:widowControl/>
              <w:spacing w:line="560" w:lineRule="exact"/>
              <w:jc w:val="center"/>
              <w:rPr>
                <w:rFonts w:ascii="宋体" w:hAnsi="宋体" w:cs="宋体"/>
                <w:sz w:val="24"/>
              </w:rPr>
            </w:pPr>
            <w:r>
              <w:rPr>
                <w:rFonts w:hint="eastAsia" w:ascii="宋体" w:hAnsi="宋体" w:cs="宋体"/>
                <w:color w:val="333333"/>
                <w:kern w:val="0"/>
                <w:sz w:val="24"/>
              </w:rPr>
              <w:t>2</w:t>
            </w:r>
          </w:p>
        </w:tc>
        <w:tc>
          <w:tcPr>
            <w:tcW w:w="803" w:type="pct"/>
            <w:tcBorders>
              <w:top w:val="nil"/>
              <w:left w:val="nil"/>
              <w:bottom w:val="single" w:color="000000" w:sz="4" w:space="0"/>
              <w:right w:val="single" w:color="000000" w:sz="4" w:space="0"/>
            </w:tcBorders>
            <w:shd w:val="clear" w:color="auto" w:fill="auto"/>
            <w:tcMar>
              <w:left w:w="70" w:type="dxa"/>
              <w:right w:w="70" w:type="dxa"/>
            </w:tcMar>
            <w:vAlign w:val="center"/>
          </w:tcPr>
          <w:p w14:paraId="1C77B513">
            <w:pPr>
              <w:widowControl/>
              <w:spacing w:line="560" w:lineRule="exact"/>
              <w:jc w:val="center"/>
              <w:rPr>
                <w:rFonts w:hint="default" w:ascii="宋体" w:hAnsi="宋体" w:eastAsia="宋体" w:cs="宋体"/>
                <w:kern w:val="2"/>
                <w:sz w:val="28"/>
                <w:szCs w:val="28"/>
                <w:lang w:val="en-US" w:eastAsia="zh-CN" w:bidi="ar-SA"/>
              </w:rPr>
            </w:pPr>
            <w:r>
              <w:rPr>
                <w:rFonts w:hint="eastAsia" w:ascii="宋体" w:hAnsi="宋体" w:cs="宋体"/>
                <w:sz w:val="28"/>
                <w:szCs w:val="28"/>
                <w:lang w:val="en-US" w:eastAsia="zh-CN"/>
              </w:rPr>
              <w:t>图像采集器</w:t>
            </w:r>
          </w:p>
        </w:tc>
        <w:tc>
          <w:tcPr>
            <w:tcW w:w="3812" w:type="pct"/>
            <w:tcBorders>
              <w:top w:val="nil"/>
              <w:left w:val="nil"/>
              <w:bottom w:val="single" w:color="000000" w:sz="4" w:space="0"/>
              <w:right w:val="single" w:color="000000" w:sz="4" w:space="0"/>
            </w:tcBorders>
            <w:shd w:val="clear" w:color="auto" w:fill="auto"/>
            <w:tcMar>
              <w:left w:w="70" w:type="dxa"/>
              <w:right w:w="70" w:type="dxa"/>
            </w:tcMar>
            <w:vAlign w:val="center"/>
          </w:tcPr>
          <w:p w14:paraId="17900E6E">
            <w:pPr>
              <w:widowControl/>
              <w:numPr>
                <w:ilvl w:val="0"/>
                <w:numId w:val="4"/>
              </w:numPr>
              <w:spacing w:line="560" w:lineRule="exact"/>
              <w:ind w:left="425" w:hanging="425"/>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CPU:八核及以上</w:t>
            </w:r>
          </w:p>
          <w:p w14:paraId="15CCE8FA">
            <w:pPr>
              <w:widowControl/>
              <w:numPr>
                <w:ilvl w:val="0"/>
                <w:numId w:val="4"/>
              </w:numPr>
              <w:spacing w:line="560" w:lineRule="exact"/>
              <w:ind w:left="425" w:hanging="425"/>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内存:32G及以上</w:t>
            </w:r>
          </w:p>
          <w:p w14:paraId="4F548B2F">
            <w:pPr>
              <w:widowControl/>
              <w:numPr>
                <w:ilvl w:val="0"/>
                <w:numId w:val="4"/>
              </w:numPr>
              <w:spacing w:line="560" w:lineRule="exact"/>
              <w:ind w:left="425" w:hanging="425"/>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硬盘:1T SSD及以上</w:t>
            </w:r>
          </w:p>
          <w:p w14:paraId="64A564D5">
            <w:pPr>
              <w:widowControl/>
              <w:numPr>
                <w:ilvl w:val="0"/>
                <w:numId w:val="4"/>
              </w:numPr>
              <w:spacing w:line="560" w:lineRule="exact"/>
              <w:ind w:left="425" w:hanging="425"/>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操作系统:win10 64位系统及以上</w:t>
            </w:r>
          </w:p>
          <w:p w14:paraId="1CFBA18D">
            <w:pPr>
              <w:widowControl/>
              <w:numPr>
                <w:ilvl w:val="0"/>
                <w:numId w:val="4"/>
              </w:numPr>
              <w:spacing w:line="560" w:lineRule="exact"/>
              <w:ind w:left="425" w:hanging="425"/>
              <w:jc w:val="both"/>
              <w:rPr>
                <w:rFonts w:hint="eastAsia" w:ascii="仿宋" w:hAnsi="仿宋" w:eastAsia="仿宋" w:cs="仿宋"/>
                <w:color w:val="auto"/>
                <w:kern w:val="0"/>
                <w:sz w:val="32"/>
                <w:szCs w:val="32"/>
                <w:lang w:val="en-US" w:eastAsia="zh-CN" w:bidi="ar-SA"/>
              </w:rPr>
            </w:pPr>
            <w:r>
              <w:rPr>
                <w:rFonts w:hint="eastAsia" w:ascii="宋体" w:hAnsi="宋体" w:cs="宋体"/>
                <w:sz w:val="28"/>
                <w:szCs w:val="28"/>
                <w:lang w:val="en-US" w:eastAsia="zh-CN"/>
              </w:rPr>
              <w:t>在线并发要求：</w:t>
            </w:r>
            <w:r>
              <w:rPr>
                <w:rFonts w:hint="eastAsia" w:ascii="宋体" w:hAnsi="宋体" w:eastAsia="宋体" w:cs="宋体"/>
                <w:sz w:val="28"/>
                <w:szCs w:val="28"/>
              </w:rPr>
              <w:t>支持200个以上的科目同时在线阅卷，</w:t>
            </w:r>
            <w:r>
              <w:rPr>
                <w:rFonts w:hint="eastAsia" w:ascii="宋体" w:hAnsi="宋体" w:cs="宋体"/>
                <w:sz w:val="28"/>
                <w:szCs w:val="28"/>
                <w:lang w:val="en-US" w:eastAsia="zh-CN"/>
              </w:rPr>
              <w:t>支持</w:t>
            </w:r>
            <w:r>
              <w:rPr>
                <w:rFonts w:hint="eastAsia" w:ascii="宋体" w:hAnsi="宋体" w:eastAsia="宋体" w:cs="宋体"/>
                <w:sz w:val="28"/>
                <w:szCs w:val="28"/>
              </w:rPr>
              <w:t>同时并发正常评卷的用户数量不能低于300个</w:t>
            </w:r>
          </w:p>
        </w:tc>
      </w:tr>
    </w:tbl>
    <w:p w14:paraId="2635B233">
      <w:pPr>
        <w:spacing w:line="560" w:lineRule="exact"/>
        <w:ind w:firstLine="560" w:firstLineChars="200"/>
        <w:rPr>
          <w:rFonts w:hint="eastAsia" w:ascii="宋体" w:hAnsi="宋体"/>
          <w:kern w:val="0"/>
          <w:sz w:val="28"/>
          <w:szCs w:val="28"/>
        </w:rPr>
      </w:pPr>
    </w:p>
    <w:p w14:paraId="455A524D">
      <w:pPr>
        <w:pStyle w:val="3"/>
        <w:spacing w:line="560" w:lineRule="exact"/>
        <w:rPr>
          <w:rFonts w:ascii="宋体" w:hAnsi="宋体" w:cs="宋体"/>
          <w:sz w:val="24"/>
        </w:rPr>
      </w:pPr>
      <w:bookmarkStart w:id="26" w:name="_Toc17787"/>
      <w:bookmarkStart w:id="27" w:name="_Toc60236709"/>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D56DAA5">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lang w:val="en-US" w:eastAsia="zh-CN"/>
        </w:rPr>
        <w:t>2027年1月31日前完成本项目技术服务（或根据采购方要求时间完成）</w:t>
      </w:r>
      <w:r>
        <w:rPr>
          <w:rFonts w:hint="eastAsia" w:ascii="宋体" w:hAnsi="宋体"/>
          <w:bCs/>
          <w:sz w:val="28"/>
          <w:szCs w:val="28"/>
        </w:rPr>
        <w:t>。</w:t>
      </w:r>
    </w:p>
    <w:p w14:paraId="083D250B">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交付地点：广东财经大学</w:t>
      </w:r>
      <w:r>
        <w:rPr>
          <w:rFonts w:hint="eastAsia" w:ascii="宋体" w:hAnsi="宋体"/>
          <w:bCs/>
          <w:sz w:val="28"/>
          <w:szCs w:val="28"/>
          <w:lang w:val="en-US" w:eastAsia="zh-CN"/>
        </w:rPr>
        <w:t>广州</w:t>
      </w:r>
      <w:r>
        <w:rPr>
          <w:rFonts w:hint="eastAsia" w:ascii="宋体" w:hAnsi="宋体"/>
          <w:bCs/>
          <w:sz w:val="28"/>
          <w:szCs w:val="28"/>
        </w:rPr>
        <w:t>校区。</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w:t>
      </w:r>
      <w:r>
        <w:rPr>
          <w:rFonts w:hint="eastAsia" w:ascii="宋体" w:hAnsi="宋体"/>
          <w:sz w:val="28"/>
          <w:szCs w:val="28"/>
          <w:lang w:val="en-US" w:eastAsia="zh-CN"/>
        </w:rPr>
        <w:t>广州</w:t>
      </w:r>
      <w:r>
        <w:rPr>
          <w:rFonts w:hint="eastAsia" w:ascii="宋体" w:hAnsi="宋体"/>
          <w:sz w:val="28"/>
          <w:szCs w:val="28"/>
        </w:rPr>
        <w:t>校区）完成</w:t>
      </w:r>
      <w:r>
        <w:rPr>
          <w:rFonts w:hint="eastAsia" w:ascii="宋体" w:hAnsi="宋体" w:cs="宋体"/>
          <w:sz w:val="28"/>
          <w:szCs w:val="28"/>
        </w:rPr>
        <w:t>。</w:t>
      </w:r>
    </w:p>
    <w:p w14:paraId="41E879BD">
      <w:pPr>
        <w:numPr>
          <w:ilvl w:val="0"/>
          <w:numId w:val="5"/>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3D28195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w:t>
      </w:r>
      <w:r>
        <w:rPr>
          <w:rFonts w:hint="eastAsia" w:ascii="宋体" w:hAnsi="宋体"/>
          <w:sz w:val="28"/>
          <w:szCs w:val="28"/>
          <w:lang w:val="en-US" w:eastAsia="zh-CN"/>
        </w:rPr>
        <w:t>技术服务</w:t>
      </w:r>
      <w:r>
        <w:rPr>
          <w:rFonts w:hint="eastAsia" w:ascii="宋体" w:hAnsi="宋体"/>
          <w:sz w:val="28"/>
          <w:szCs w:val="28"/>
        </w:rPr>
        <w:t>验收合格之日起生效，时间为</w:t>
      </w:r>
      <w:r>
        <w:rPr>
          <w:rFonts w:hint="eastAsia" w:ascii="宋体" w:hAnsi="宋体"/>
          <w:sz w:val="28"/>
          <w:szCs w:val="28"/>
          <w:lang w:val="en-US" w:eastAsia="zh-CN"/>
        </w:rPr>
        <w:t xml:space="preserve"> 1年  </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4CC1577F">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w:t>
      </w:r>
      <w:r>
        <w:rPr>
          <w:rFonts w:hint="eastAsia" w:ascii="宋体" w:hAnsi="宋体"/>
          <w:sz w:val="28"/>
          <w:szCs w:val="28"/>
          <w:lang w:val="en-US" w:eastAsia="zh-CN"/>
        </w:rPr>
        <w:t>2</w:t>
      </w:r>
      <w:r>
        <w:rPr>
          <w:rFonts w:hint="eastAsia" w:ascii="宋体" w:hAnsi="宋体"/>
          <w:sz w:val="28"/>
          <w:szCs w:val="28"/>
        </w:rPr>
        <w:t>小时之内,并在</w:t>
      </w:r>
      <w:r>
        <w:rPr>
          <w:rFonts w:hint="eastAsia" w:ascii="宋体" w:hAnsi="宋体"/>
          <w:sz w:val="28"/>
          <w:szCs w:val="28"/>
          <w:lang w:val="en-US" w:eastAsia="zh-CN"/>
        </w:rPr>
        <w:t>24小时</w:t>
      </w:r>
      <w:r>
        <w:rPr>
          <w:rFonts w:hint="eastAsia" w:ascii="宋体" w:hAnsi="宋体"/>
          <w:sz w:val="28"/>
          <w:szCs w:val="28"/>
        </w:rPr>
        <w:t>内解决故障。</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4C5138B1">
      <w:pPr>
        <w:spacing w:line="560" w:lineRule="exact"/>
        <w:ind w:firstLine="638" w:firstLineChars="228"/>
        <w:rPr>
          <w:rFonts w:hint="eastAsia" w:ascii="宋体" w:hAnsi="宋体"/>
          <w:sz w:val="28"/>
          <w:szCs w:val="28"/>
        </w:rPr>
      </w:pPr>
      <w:r>
        <w:rPr>
          <w:rFonts w:hint="eastAsia" w:ascii="宋体" w:hAnsi="宋体"/>
          <w:color w:val="auto"/>
          <w:sz w:val="28"/>
          <w:szCs w:val="28"/>
        </w:rPr>
        <w:t>该服务项目为非一次性付款的项目，约定按分阶段付款，即</w:t>
      </w:r>
      <w:r>
        <w:rPr>
          <w:rFonts w:hint="eastAsia" w:ascii="宋体" w:hAnsi="宋体"/>
          <w:color w:val="auto"/>
          <w:sz w:val="28"/>
          <w:szCs w:val="28"/>
          <w:lang w:eastAsia="zh-CN"/>
        </w:rPr>
        <w:t>：</w:t>
      </w:r>
      <w:r>
        <w:rPr>
          <w:rFonts w:hint="eastAsia" w:ascii="宋体" w:hAnsi="宋体"/>
          <w:sz w:val="28"/>
          <w:szCs w:val="28"/>
          <w:lang w:val="en-US" w:eastAsia="zh-CN"/>
        </w:rPr>
        <w:t>合同签订后支付首款5万元给成交人，</w:t>
      </w:r>
      <w:r>
        <w:rPr>
          <w:rFonts w:hint="eastAsia" w:ascii="宋体" w:hAnsi="宋体"/>
          <w:sz w:val="28"/>
          <w:szCs w:val="28"/>
        </w:rPr>
        <w:t>项目验收合格后，将合同</w:t>
      </w:r>
      <w:r>
        <w:rPr>
          <w:rFonts w:hint="eastAsia" w:ascii="宋体" w:hAnsi="宋体"/>
          <w:sz w:val="28"/>
          <w:szCs w:val="28"/>
          <w:lang w:val="en-US" w:eastAsia="zh-CN"/>
        </w:rPr>
        <w:t>剩余尾</w:t>
      </w:r>
      <w:r>
        <w:rPr>
          <w:rFonts w:hint="eastAsia" w:ascii="宋体" w:hAnsi="宋体"/>
          <w:sz w:val="28"/>
          <w:szCs w:val="28"/>
        </w:rPr>
        <w:t>款转账支付给成交人。</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6"/>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6"/>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6"/>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73B48CC3">
      <w:pPr>
        <w:spacing w:line="560" w:lineRule="exact"/>
        <w:ind w:firstLine="638" w:firstLineChars="228"/>
        <w:rPr>
          <w:rFonts w:ascii="宋体" w:hAnsi="宋体"/>
          <w:color w:val="FF0000"/>
          <w:kern w:val="0"/>
          <w:sz w:val="28"/>
          <w:szCs w:val="28"/>
        </w:rPr>
      </w:pP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13543213"/>
      <w:bookmarkStart w:id="29" w:name="_Toc60236710"/>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4"/>
        <w:rPr>
          <w:rFonts w:ascii="Calibri" w:hAnsi="Calibri"/>
          <w:b/>
          <w:sz w:val="32"/>
          <w:szCs w:val="32"/>
        </w:rPr>
      </w:pPr>
    </w:p>
    <w:p w14:paraId="6B4517EA">
      <w:pPr>
        <w:pStyle w:val="14"/>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2575A7E8">
      <w:pPr>
        <w:rPr>
          <w:rFonts w:ascii="宋体" w:hAnsi="宋体" w:cs="宋体"/>
          <w:b/>
          <w:bCs/>
          <w:spacing w:val="30"/>
          <w:sz w:val="44"/>
          <w:szCs w:val="44"/>
        </w:rPr>
      </w:pPr>
      <w:r>
        <w:rPr>
          <w:rFonts w:hint="eastAsia" w:ascii="宋体" w:hAnsi="宋体" w:cs="宋体"/>
          <w:b/>
          <w:bCs/>
          <w:spacing w:val="30"/>
          <w:sz w:val="44"/>
          <w:szCs w:val="44"/>
        </w:rPr>
        <w:br w:type="page"/>
      </w: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7"/>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7"/>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8"/>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4"/>
        <w:jc w:val="left"/>
        <w:rPr>
          <w:rFonts w:hAnsi="宋体" w:cs="宋体"/>
          <w:bCs/>
          <w:color w:val="000000"/>
          <w:sz w:val="30"/>
          <w:szCs w:val="30"/>
        </w:rPr>
      </w:pPr>
    </w:p>
    <w:p w14:paraId="35377E22">
      <w:pPr>
        <w:pStyle w:val="14"/>
        <w:jc w:val="left"/>
        <w:rPr>
          <w:rFonts w:hAnsi="宋体" w:cs="宋体"/>
          <w:bCs/>
          <w:color w:val="000000"/>
          <w:sz w:val="30"/>
          <w:szCs w:val="30"/>
        </w:rPr>
      </w:pPr>
    </w:p>
    <w:p w14:paraId="395B9DFE">
      <w:pPr>
        <w:pStyle w:val="14"/>
        <w:jc w:val="left"/>
        <w:rPr>
          <w:rFonts w:hAnsi="宋体" w:cs="宋体"/>
          <w:bCs/>
          <w:color w:val="000000"/>
          <w:sz w:val="30"/>
          <w:szCs w:val="30"/>
        </w:rPr>
      </w:pPr>
    </w:p>
    <w:p w14:paraId="3C7D3E94">
      <w:pPr>
        <w:pStyle w:val="14"/>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8"/>
        <w:tblW w:w="9348" w:type="dxa"/>
        <w:jc w:val="center"/>
        <w:tblLayout w:type="fixed"/>
        <w:tblCellMar>
          <w:top w:w="0" w:type="dxa"/>
          <w:left w:w="30" w:type="dxa"/>
          <w:bottom w:w="0" w:type="dxa"/>
          <w:right w:w="30" w:type="dxa"/>
        </w:tblCellMar>
      </w:tblPr>
      <w:tblGrid>
        <w:gridCol w:w="2229"/>
        <w:gridCol w:w="7119"/>
      </w:tblGrid>
      <w:tr w14:paraId="36448E44">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4"/>
        <w:spacing w:line="480" w:lineRule="exact"/>
        <w:rPr>
          <w:rFonts w:hAnsi="宋体"/>
          <w:sz w:val="28"/>
          <w:szCs w:val="28"/>
        </w:rPr>
      </w:pPr>
      <w:r>
        <w:rPr>
          <w:rFonts w:hint="eastAsia" w:hAnsi="宋体"/>
          <w:sz w:val="28"/>
          <w:szCs w:val="28"/>
        </w:rPr>
        <w:t>注：</w:t>
      </w:r>
    </w:p>
    <w:p w14:paraId="30AFD033">
      <w:pPr>
        <w:pStyle w:val="14"/>
        <w:numPr>
          <w:ilvl w:val="0"/>
          <w:numId w:val="9"/>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4"/>
        <w:numPr>
          <w:ilvl w:val="0"/>
          <w:numId w:val="9"/>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4"/>
        <w:numPr>
          <w:ilvl w:val="0"/>
          <w:numId w:val="9"/>
        </w:numPr>
        <w:spacing w:line="0" w:lineRule="atLeast"/>
        <w:rPr>
          <w:rFonts w:hAnsi="宋体"/>
          <w:sz w:val="28"/>
          <w:szCs w:val="28"/>
        </w:rPr>
      </w:pPr>
      <w:r>
        <w:rPr>
          <w:rFonts w:hint="eastAsia"/>
          <w:sz w:val="28"/>
          <w:szCs w:val="28"/>
        </w:rPr>
        <w:t>填写此表时不得改变表格的形式。</w:t>
      </w:r>
    </w:p>
    <w:p w14:paraId="589BA7AA">
      <w:pPr>
        <w:pStyle w:val="14"/>
        <w:numPr>
          <w:ilvl w:val="0"/>
          <w:numId w:val="9"/>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4"/>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4"/>
        <w:jc w:val="left"/>
        <w:rPr>
          <w:rFonts w:ascii="Times New Roman" w:hAnsi="Times New Roman"/>
          <w:szCs w:val="21"/>
        </w:rPr>
      </w:pPr>
    </w:p>
    <w:tbl>
      <w:tblPr>
        <w:tblStyle w:val="28"/>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4"/>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4"/>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4"/>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4"/>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4"/>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4"/>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4"/>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4"/>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4"/>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4"/>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4"/>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4"/>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4"/>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4"/>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4"/>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4"/>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4"/>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4"/>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4"/>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4"/>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4"/>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4"/>
              <w:jc w:val="left"/>
              <w:rPr>
                <w:rFonts w:hAnsi="宋体"/>
                <w:b/>
                <w:kern w:val="2"/>
                <w:sz w:val="24"/>
              </w:rPr>
            </w:pPr>
            <w:r>
              <w:rPr>
                <w:rFonts w:hint="eastAsia" w:hAnsi="宋体"/>
                <w:b/>
                <w:kern w:val="2"/>
                <w:sz w:val="24"/>
              </w:rPr>
              <w:t xml:space="preserve"> 人民币：</w:t>
            </w:r>
          </w:p>
        </w:tc>
      </w:tr>
    </w:tbl>
    <w:p w14:paraId="2E4BD209">
      <w:pPr>
        <w:pStyle w:val="14"/>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4"/>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4"/>
        <w:spacing w:line="0" w:lineRule="atLeast"/>
        <w:ind w:left="336"/>
        <w:rPr>
          <w:rFonts w:hAnsi="宋体"/>
          <w:sz w:val="28"/>
          <w:szCs w:val="28"/>
        </w:rPr>
      </w:pPr>
      <w:r>
        <w:rPr>
          <w:rFonts w:hint="eastAsia" w:hAnsi="宋体"/>
          <w:sz w:val="28"/>
          <w:szCs w:val="28"/>
        </w:rPr>
        <w:t>3、对于报价免费的项目必须标明“免费”。</w:t>
      </w:r>
    </w:p>
    <w:p w14:paraId="6EFD8CC1">
      <w:pPr>
        <w:pStyle w:val="14"/>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4"/>
        <w:jc w:val="left"/>
        <w:rPr>
          <w:rFonts w:ascii="Times New Roman" w:hAnsi="Times New Roman"/>
          <w:szCs w:val="21"/>
        </w:rPr>
      </w:pPr>
    </w:p>
    <w:p w14:paraId="43015700">
      <w:pPr>
        <w:pStyle w:val="14"/>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8"/>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8"/>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10"/>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10"/>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10"/>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10"/>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10"/>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10"/>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10"/>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1"/>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10"/>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10"/>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8"/>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2A58F4-D795-4D04-B4CE-23CCDC9936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0204369-F77D-4E6C-82A7-E254FCDE2B01}"/>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3" w:fontKey="{05443225-CA31-4607-B733-C9499743E96E}"/>
  </w:font>
  <w:font w:name="方正小标宋_GBK">
    <w:panose1 w:val="02000000000000000000"/>
    <w:charset w:val="86"/>
    <w:family w:val="auto"/>
    <w:pitch w:val="default"/>
    <w:sig w:usb0="A00002BF" w:usb1="38CF7CFA" w:usb2="00082016" w:usb3="00000000" w:csb0="00040001" w:csb1="00000000"/>
    <w:embedRegular r:id="rId4" w:fontKey="{19C8C721-5CB4-4837-98BB-DC08B9422D49}"/>
  </w:font>
  <w:font w:name="楷体_GB2312">
    <w:panose1 w:val="02010609030101010101"/>
    <w:charset w:val="86"/>
    <w:family w:val="modern"/>
    <w:pitch w:val="default"/>
    <w:sig w:usb0="00000001" w:usb1="080E0000" w:usb2="00000000" w:usb3="00000000" w:csb0="00040000" w:csb1="00000000"/>
    <w:embedRegular r:id="rId5" w:fontKey="{4DEB2A71-6C96-4F19-81AE-52D7A7D7892F}"/>
  </w:font>
  <w:font w:name="楷体">
    <w:panose1 w:val="02010609060101010101"/>
    <w:charset w:val="86"/>
    <w:family w:val="auto"/>
    <w:pitch w:val="default"/>
    <w:sig w:usb0="800002BF" w:usb1="38CF7CFA" w:usb2="00000016" w:usb3="00000000" w:csb0="00040001" w:csb1="00000000"/>
    <w:embedRegular r:id="rId6" w:fontKey="{6A951CB1-202D-4493-ACA0-76C98C3B5E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7"/>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FCCBED">
                          <w:pPr>
                            <w:pStyle w:val="17"/>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7FCCBED">
                    <w:pPr>
                      <w:pStyle w:val="17"/>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679C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72679C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7"/>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EB0048">
                          <w:pPr>
                            <w:pStyle w:val="17"/>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8EB0048">
                    <w:pPr>
                      <w:pStyle w:val="17"/>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7"/>
      <w:ind w:right="360"/>
      <w:rPr>
        <w:u w:val="single"/>
      </w:rPr>
    </w:pPr>
  </w:p>
  <w:p w14:paraId="375423FE">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8"/>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50C872">
                          <w:pPr>
                            <w:pStyle w:val="1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F50C872">
                    <w:pPr>
                      <w:pStyle w:val="18"/>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0E2D29E"/>
    <w:multiLevelType w:val="singleLevel"/>
    <w:tmpl w:val="B0E2D29E"/>
    <w:lvl w:ilvl="0" w:tentative="0">
      <w:start w:val="1"/>
      <w:numFmt w:val="decimal"/>
      <w:lvlText w:val="%1."/>
      <w:lvlJc w:val="left"/>
      <w:pPr>
        <w:ind w:left="425" w:hanging="425"/>
      </w:pPr>
      <w:rPr>
        <w:rFonts w:hint="default"/>
      </w:rPr>
    </w:lvl>
  </w:abstractNum>
  <w:abstractNum w:abstractNumId="3">
    <w:nsid w:val="B103DA9E"/>
    <w:multiLevelType w:val="singleLevel"/>
    <w:tmpl w:val="B103DA9E"/>
    <w:lvl w:ilvl="0" w:tentative="0">
      <w:start w:val="3"/>
      <w:numFmt w:val="chineseCounting"/>
      <w:suff w:val="nothing"/>
      <w:lvlText w:val="（%1）"/>
      <w:lvlJc w:val="left"/>
      <w:rPr>
        <w:rFonts w:hint="eastAsia"/>
      </w:rPr>
    </w:lvl>
  </w:abstractNum>
  <w:abstractNum w:abstractNumId="4">
    <w:nsid w:val="E91F1F3E"/>
    <w:multiLevelType w:val="singleLevel"/>
    <w:tmpl w:val="E91F1F3E"/>
    <w:lvl w:ilvl="0" w:tentative="0">
      <w:start w:val="7"/>
      <w:numFmt w:val="chineseCounting"/>
      <w:suff w:val="nothing"/>
      <w:lvlText w:val="%1、"/>
      <w:lvlJc w:val="left"/>
      <w:rPr>
        <w:rFonts w:hint="eastAsia"/>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407E65F9"/>
    <w:multiLevelType w:val="multilevel"/>
    <w:tmpl w:val="407E65F9"/>
    <w:lvl w:ilvl="0" w:tentative="0">
      <w:start w:val="0"/>
      <w:numFmt w:val="decimal"/>
      <w:pStyle w:val="94"/>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C3C74AC"/>
    <w:multiLevelType w:val="singleLevel"/>
    <w:tmpl w:val="5C3C74AC"/>
    <w:lvl w:ilvl="0" w:tentative="0">
      <w:start w:val="1"/>
      <w:numFmt w:val="chineseCounting"/>
      <w:suff w:val="nothing"/>
      <w:lvlText w:val="%1、"/>
      <w:lvlJc w:val="left"/>
      <w:rPr>
        <w:rFonts w:hint="eastAsia"/>
      </w:rPr>
    </w:lvl>
  </w:abstractNum>
  <w:abstractNum w:abstractNumId="9">
    <w:nsid w:val="6290C874"/>
    <w:multiLevelType w:val="singleLevel"/>
    <w:tmpl w:val="6290C874"/>
    <w:lvl w:ilvl="0" w:tentative="0">
      <w:start w:val="1"/>
      <w:numFmt w:val="decimal"/>
      <w:lvlText w:val="%1."/>
      <w:lvlJc w:val="left"/>
      <w:pPr>
        <w:tabs>
          <w:tab w:val="left" w:pos="312"/>
        </w:tabs>
      </w:pPr>
    </w:lvl>
  </w:abstractNum>
  <w:num w:numId="1">
    <w:abstractNumId w:val="6"/>
  </w:num>
  <w:num w:numId="2">
    <w:abstractNumId w:val="4"/>
  </w:num>
  <w:num w:numId="3">
    <w:abstractNumId w:val="9"/>
  </w:num>
  <w:num w:numId="4">
    <w:abstractNumId w:val="2"/>
  </w:num>
  <w:num w:numId="5">
    <w:abstractNumId w:val="3"/>
  </w:num>
  <w:num w:numId="6">
    <w:abstractNumId w:val="1"/>
  </w:num>
  <w:num w:numId="7">
    <w:abstractNumId w:val="8"/>
  </w:num>
  <w:num w:numId="8">
    <w:abstractNumId w:val="0"/>
  </w:num>
  <w:num w:numId="9">
    <w:abstractNumId w:val="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trackRevisions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8DC1D83"/>
    <w:rsid w:val="18DD33E1"/>
    <w:rsid w:val="18EE0C00"/>
    <w:rsid w:val="1982778E"/>
    <w:rsid w:val="1AE42B15"/>
    <w:rsid w:val="1E30080F"/>
    <w:rsid w:val="20BC39CA"/>
    <w:rsid w:val="213E5304"/>
    <w:rsid w:val="21E00F42"/>
    <w:rsid w:val="245F6E0F"/>
    <w:rsid w:val="24905418"/>
    <w:rsid w:val="263B5217"/>
    <w:rsid w:val="27192484"/>
    <w:rsid w:val="27C423D8"/>
    <w:rsid w:val="28E13EA5"/>
    <w:rsid w:val="291150CE"/>
    <w:rsid w:val="2E2429AD"/>
    <w:rsid w:val="2E7F096C"/>
    <w:rsid w:val="2E950643"/>
    <w:rsid w:val="305B2BFC"/>
    <w:rsid w:val="311763F2"/>
    <w:rsid w:val="3237724D"/>
    <w:rsid w:val="32C61B83"/>
    <w:rsid w:val="344B05CF"/>
    <w:rsid w:val="34683033"/>
    <w:rsid w:val="35B77661"/>
    <w:rsid w:val="36583023"/>
    <w:rsid w:val="3713274F"/>
    <w:rsid w:val="38425089"/>
    <w:rsid w:val="39A6093D"/>
    <w:rsid w:val="3BF75747"/>
    <w:rsid w:val="3C3521E4"/>
    <w:rsid w:val="3D832EB5"/>
    <w:rsid w:val="3EB43B95"/>
    <w:rsid w:val="3F0535D6"/>
    <w:rsid w:val="401A05CF"/>
    <w:rsid w:val="40652603"/>
    <w:rsid w:val="42532A81"/>
    <w:rsid w:val="43FE5546"/>
    <w:rsid w:val="442F0A64"/>
    <w:rsid w:val="44FE771E"/>
    <w:rsid w:val="453D2E2E"/>
    <w:rsid w:val="455B5F6E"/>
    <w:rsid w:val="4678338B"/>
    <w:rsid w:val="476B2D91"/>
    <w:rsid w:val="48833F13"/>
    <w:rsid w:val="4ADD6003"/>
    <w:rsid w:val="4B005085"/>
    <w:rsid w:val="4BEB2A35"/>
    <w:rsid w:val="4C9204F0"/>
    <w:rsid w:val="4CF43B89"/>
    <w:rsid w:val="4DBA5FA6"/>
    <w:rsid w:val="4DD5065C"/>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3DE1809"/>
    <w:rsid w:val="742D0AEA"/>
    <w:rsid w:val="750157C1"/>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0"/>
    <w:pPr>
      <w:keepNext/>
      <w:keepLines/>
      <w:spacing w:line="720" w:lineRule="exact"/>
      <w:jc w:val="center"/>
      <w:outlineLvl w:val="0"/>
    </w:pPr>
    <w:rPr>
      <w:b/>
      <w:bCs/>
      <w:kern w:val="44"/>
      <w:sz w:val="44"/>
      <w:szCs w:val="44"/>
    </w:rPr>
  </w:style>
  <w:style w:type="paragraph" w:styleId="3">
    <w:name w:val="heading 2"/>
    <w:basedOn w:val="1"/>
    <w:next w:val="1"/>
    <w:link w:val="49"/>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3"/>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8"/>
    <w:qFormat/>
    <w:uiPriority w:val="9"/>
    <w:pPr>
      <w:keepNext/>
      <w:keepLines/>
      <w:spacing w:before="280" w:after="290" w:line="376" w:lineRule="auto"/>
      <w:outlineLvl w:val="3"/>
    </w:pPr>
    <w:rPr>
      <w:rFonts w:ascii="Cambria" w:hAnsi="Cambria"/>
      <w:b/>
      <w:bCs/>
      <w:kern w:val="0"/>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8"/>
    <w:qFormat/>
    <w:uiPriority w:val="0"/>
    <w:pPr>
      <w:ind w:firstLine="420"/>
    </w:pPr>
    <w:rPr>
      <w:rFonts w:ascii="Calibri" w:hAnsi="Calibri"/>
      <w:kern w:val="0"/>
      <w:sz w:val="20"/>
      <w:szCs w:val="20"/>
    </w:rPr>
  </w:style>
  <w:style w:type="paragraph" w:styleId="7">
    <w:name w:val="Document Map"/>
    <w:basedOn w:val="1"/>
    <w:link w:val="62"/>
    <w:semiHidden/>
    <w:qFormat/>
    <w:uiPriority w:val="0"/>
    <w:pPr>
      <w:shd w:val="clear" w:color="auto" w:fill="000080"/>
    </w:pPr>
    <w:rPr>
      <w:kern w:val="0"/>
      <w:sz w:val="20"/>
    </w:rPr>
  </w:style>
  <w:style w:type="paragraph" w:styleId="8">
    <w:name w:val="annotation text"/>
    <w:basedOn w:val="1"/>
    <w:next w:val="9"/>
    <w:link w:val="65"/>
    <w:qFormat/>
    <w:uiPriority w:val="0"/>
    <w:pPr>
      <w:spacing w:line="280" w:lineRule="exact"/>
      <w:jc w:val="left"/>
    </w:pPr>
    <w:rPr>
      <w:sz w:val="24"/>
    </w:rPr>
  </w:style>
  <w:style w:type="paragraph" w:styleId="9">
    <w:name w:val="Balloon Text"/>
    <w:basedOn w:val="1"/>
    <w:link w:val="42"/>
    <w:semiHidden/>
    <w:qFormat/>
    <w:uiPriority w:val="0"/>
    <w:pPr>
      <w:adjustRightInd w:val="0"/>
      <w:snapToGrid w:val="0"/>
    </w:pPr>
    <w:rPr>
      <w:sz w:val="28"/>
      <w:szCs w:val="18"/>
    </w:rPr>
  </w:style>
  <w:style w:type="paragraph" w:styleId="10">
    <w:name w:val="Body Text"/>
    <w:basedOn w:val="1"/>
    <w:qFormat/>
    <w:uiPriority w:val="0"/>
    <w:pPr>
      <w:spacing w:after="120"/>
    </w:pPr>
  </w:style>
  <w:style w:type="paragraph" w:styleId="11">
    <w:name w:val="Body Text Indent"/>
    <w:basedOn w:val="1"/>
    <w:link w:val="56"/>
    <w:qFormat/>
    <w:uiPriority w:val="0"/>
    <w:pPr>
      <w:ind w:firstLine="570"/>
    </w:pPr>
    <w:rPr>
      <w:rFonts w:ascii="宋体" w:hAnsi="宋体"/>
      <w:kern w:val="0"/>
      <w:sz w:val="24"/>
    </w:rPr>
  </w:style>
  <w:style w:type="paragraph" w:styleId="12">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3">
    <w:name w:val="toc 3"/>
    <w:basedOn w:val="1"/>
    <w:next w:val="1"/>
    <w:qFormat/>
    <w:uiPriority w:val="39"/>
    <w:pPr>
      <w:ind w:left="840" w:leftChars="400"/>
    </w:pPr>
  </w:style>
  <w:style w:type="paragraph" w:styleId="14">
    <w:name w:val="Plain Text"/>
    <w:basedOn w:val="1"/>
    <w:link w:val="43"/>
    <w:qFormat/>
    <w:uiPriority w:val="0"/>
    <w:rPr>
      <w:rFonts w:ascii="宋体" w:hAnsi="Courier New"/>
      <w:kern w:val="0"/>
      <w:sz w:val="20"/>
    </w:rPr>
  </w:style>
  <w:style w:type="paragraph" w:styleId="15">
    <w:name w:val="Date"/>
    <w:basedOn w:val="1"/>
    <w:next w:val="1"/>
    <w:link w:val="40"/>
    <w:qFormat/>
    <w:uiPriority w:val="0"/>
    <w:pPr>
      <w:ind w:left="100" w:leftChars="2500"/>
    </w:pPr>
    <w:rPr>
      <w:kern w:val="0"/>
      <w:sz w:val="28"/>
    </w:rPr>
  </w:style>
  <w:style w:type="paragraph" w:styleId="16">
    <w:name w:val="Body Text Indent 2"/>
    <w:basedOn w:val="1"/>
    <w:link w:val="60"/>
    <w:qFormat/>
    <w:uiPriority w:val="0"/>
    <w:pPr>
      <w:spacing w:line="300" w:lineRule="auto"/>
      <w:ind w:firstLine="540" w:firstLineChars="225"/>
    </w:pPr>
    <w:rPr>
      <w:rFonts w:ascii="宋体" w:hAnsi="宋体"/>
      <w:color w:val="000000"/>
      <w:kern w:val="0"/>
      <w:sz w:val="24"/>
    </w:rPr>
  </w:style>
  <w:style w:type="paragraph" w:styleId="17">
    <w:name w:val="footer"/>
    <w:basedOn w:val="1"/>
    <w:link w:val="57"/>
    <w:qFormat/>
    <w:uiPriority w:val="0"/>
    <w:pPr>
      <w:tabs>
        <w:tab w:val="center" w:pos="4153"/>
        <w:tab w:val="right" w:pos="8306"/>
      </w:tabs>
      <w:snapToGrid w:val="0"/>
      <w:jc w:val="left"/>
    </w:pPr>
    <w:rPr>
      <w:kern w:val="0"/>
      <w:sz w:val="18"/>
      <w:szCs w:val="18"/>
    </w:rPr>
  </w:style>
  <w:style w:type="paragraph" w:styleId="18">
    <w:name w:val="header"/>
    <w:basedOn w:val="1"/>
    <w:link w:val="52"/>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9">
    <w:name w:val="toc 1"/>
    <w:basedOn w:val="1"/>
    <w:next w:val="1"/>
    <w:qFormat/>
    <w:uiPriority w:val="39"/>
  </w:style>
  <w:style w:type="paragraph" w:styleId="20">
    <w:name w:val="index heading"/>
    <w:basedOn w:val="1"/>
    <w:next w:val="21"/>
    <w:semiHidden/>
    <w:qFormat/>
    <w:uiPriority w:val="0"/>
    <w:rPr>
      <w:szCs w:val="20"/>
    </w:rPr>
  </w:style>
  <w:style w:type="paragraph" w:styleId="21">
    <w:name w:val="index 1"/>
    <w:basedOn w:val="1"/>
    <w:next w:val="1"/>
    <w:semiHidden/>
    <w:qFormat/>
    <w:uiPriority w:val="0"/>
  </w:style>
  <w:style w:type="paragraph" w:styleId="22">
    <w:name w:val="Subtitle"/>
    <w:basedOn w:val="1"/>
    <w:next w:val="1"/>
    <w:link w:val="39"/>
    <w:qFormat/>
    <w:uiPriority w:val="0"/>
    <w:pPr>
      <w:spacing w:before="240" w:after="60" w:line="312" w:lineRule="auto"/>
      <w:jc w:val="center"/>
      <w:outlineLvl w:val="1"/>
    </w:pPr>
    <w:rPr>
      <w:rFonts w:ascii="Cambria" w:hAnsi="Cambria"/>
      <w:b/>
      <w:bCs/>
      <w:kern w:val="28"/>
      <w:sz w:val="32"/>
      <w:szCs w:val="32"/>
    </w:rPr>
  </w:style>
  <w:style w:type="paragraph" w:styleId="23">
    <w:name w:val="footnote text"/>
    <w:basedOn w:val="1"/>
    <w:link w:val="41"/>
    <w:qFormat/>
    <w:uiPriority w:val="0"/>
    <w:pPr>
      <w:snapToGrid w:val="0"/>
      <w:jc w:val="left"/>
    </w:pPr>
    <w:rPr>
      <w:kern w:val="0"/>
      <w:sz w:val="18"/>
      <w:szCs w:val="18"/>
    </w:rPr>
  </w:style>
  <w:style w:type="paragraph" w:styleId="24">
    <w:name w:val="Body Text Indent 3"/>
    <w:basedOn w:val="1"/>
    <w:link w:val="47"/>
    <w:qFormat/>
    <w:uiPriority w:val="0"/>
    <w:pPr>
      <w:snapToGrid w:val="0"/>
      <w:spacing w:after="120" w:line="360" w:lineRule="auto"/>
      <w:ind w:firstLine="1365"/>
    </w:pPr>
    <w:rPr>
      <w:rFonts w:ascii="宋体"/>
      <w:kern w:val="0"/>
      <w:sz w:val="28"/>
      <w:szCs w:val="20"/>
    </w:rPr>
  </w:style>
  <w:style w:type="paragraph" w:styleId="25">
    <w:name w:val="toc 2"/>
    <w:basedOn w:val="1"/>
    <w:next w:val="1"/>
    <w:qFormat/>
    <w:uiPriority w:val="39"/>
    <w:pPr>
      <w:ind w:left="420" w:leftChars="200"/>
    </w:pPr>
  </w:style>
  <w:style w:type="paragraph" w:styleId="26">
    <w:name w:val="Normal (Web)"/>
    <w:basedOn w:val="1"/>
    <w:qFormat/>
    <w:uiPriority w:val="0"/>
    <w:rPr>
      <w:rFonts w:ascii="Calibri" w:hAnsi="Calibri"/>
      <w:sz w:val="24"/>
      <w:szCs w:val="22"/>
    </w:rPr>
  </w:style>
  <w:style w:type="paragraph" w:styleId="27">
    <w:name w:val="annotation subject"/>
    <w:basedOn w:val="8"/>
    <w:next w:val="8"/>
    <w:link w:val="63"/>
    <w:semiHidden/>
    <w:qFormat/>
    <w:uiPriority w:val="0"/>
    <w:rPr>
      <w:b/>
      <w:bCs/>
      <w:kern w:val="0"/>
      <w:sz w:val="20"/>
    </w:rPr>
  </w:style>
  <w:style w:type="table" w:styleId="29">
    <w:name w:val="Table Grid"/>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22"/>
    <w:rPr>
      <w:b/>
      <w:bCs/>
    </w:rPr>
  </w:style>
  <w:style w:type="character" w:styleId="32">
    <w:name w:val="page number"/>
    <w:basedOn w:val="30"/>
    <w:qFormat/>
    <w:uiPriority w:val="0"/>
  </w:style>
  <w:style w:type="character" w:styleId="33">
    <w:name w:val="FollowedHyperlink"/>
    <w:qFormat/>
    <w:uiPriority w:val="0"/>
    <w:rPr>
      <w:color w:val="800080"/>
      <w:u w:val="single"/>
    </w:rPr>
  </w:style>
  <w:style w:type="character" w:styleId="34">
    <w:name w:val="Emphasis"/>
    <w:basedOn w:val="30"/>
    <w:qFormat/>
    <w:uiPriority w:val="20"/>
    <w:rPr>
      <w:color w:val="CC0000"/>
    </w:rPr>
  </w:style>
  <w:style w:type="character" w:styleId="35">
    <w:name w:val="Hyperlink"/>
    <w:qFormat/>
    <w:uiPriority w:val="99"/>
    <w:rPr>
      <w:color w:val="0000FF"/>
      <w:u w:val="single"/>
    </w:rPr>
  </w:style>
  <w:style w:type="character" w:styleId="36">
    <w:name w:val="annotation reference"/>
    <w:semiHidden/>
    <w:qFormat/>
    <w:uiPriority w:val="0"/>
    <w:rPr>
      <w:sz w:val="21"/>
      <w:szCs w:val="21"/>
    </w:rPr>
  </w:style>
  <w:style w:type="character" w:styleId="37">
    <w:name w:val="footnote reference"/>
    <w:qFormat/>
    <w:uiPriority w:val="0"/>
    <w:rPr>
      <w:vertAlign w:val="superscript"/>
    </w:rPr>
  </w:style>
  <w:style w:type="character" w:customStyle="1" w:styleId="38">
    <w:name w:val="标题 4 Char"/>
    <w:link w:val="5"/>
    <w:semiHidden/>
    <w:qFormat/>
    <w:uiPriority w:val="9"/>
    <w:rPr>
      <w:rFonts w:ascii="Cambria" w:hAnsi="Cambria" w:eastAsia="宋体" w:cs="Times New Roman"/>
      <w:b/>
      <w:bCs/>
      <w:sz w:val="28"/>
      <w:szCs w:val="28"/>
    </w:rPr>
  </w:style>
  <w:style w:type="character" w:customStyle="1" w:styleId="39">
    <w:name w:val="副标题 Char"/>
    <w:link w:val="22"/>
    <w:qFormat/>
    <w:uiPriority w:val="0"/>
    <w:rPr>
      <w:rFonts w:ascii="Cambria" w:hAnsi="Cambria" w:eastAsia="宋体" w:cs="Times New Roman"/>
      <w:b/>
      <w:bCs/>
      <w:kern w:val="28"/>
      <w:sz w:val="32"/>
      <w:szCs w:val="32"/>
    </w:rPr>
  </w:style>
  <w:style w:type="character" w:customStyle="1" w:styleId="40">
    <w:name w:val="日期 Char"/>
    <w:link w:val="15"/>
    <w:qFormat/>
    <w:uiPriority w:val="0"/>
    <w:rPr>
      <w:rFonts w:ascii="Times New Roman" w:hAnsi="Times New Roman" w:eastAsia="宋体" w:cs="Times New Roman"/>
      <w:sz w:val="28"/>
      <w:szCs w:val="24"/>
    </w:rPr>
  </w:style>
  <w:style w:type="character" w:customStyle="1" w:styleId="41">
    <w:name w:val="脚注文本 Char"/>
    <w:link w:val="23"/>
    <w:qFormat/>
    <w:uiPriority w:val="0"/>
    <w:rPr>
      <w:rFonts w:ascii="Times New Roman" w:hAnsi="Times New Roman" w:eastAsia="宋体" w:cs="Times New Roman"/>
      <w:sz w:val="18"/>
      <w:szCs w:val="18"/>
    </w:rPr>
  </w:style>
  <w:style w:type="character" w:customStyle="1" w:styleId="42">
    <w:name w:val="批注框文本 Char"/>
    <w:link w:val="9"/>
    <w:semiHidden/>
    <w:qFormat/>
    <w:uiPriority w:val="0"/>
    <w:rPr>
      <w:rFonts w:ascii="Times New Roman" w:hAnsi="Times New Roman"/>
      <w:kern w:val="2"/>
      <w:sz w:val="28"/>
      <w:szCs w:val="18"/>
    </w:rPr>
  </w:style>
  <w:style w:type="character" w:customStyle="1" w:styleId="43">
    <w:name w:val="纯文本 Char"/>
    <w:link w:val="14"/>
    <w:qFormat/>
    <w:uiPriority w:val="0"/>
    <w:rPr>
      <w:rFonts w:ascii="宋体" w:hAnsi="Courier New" w:eastAsia="宋体"/>
      <w:szCs w:val="24"/>
    </w:rPr>
  </w:style>
  <w:style w:type="character" w:customStyle="1" w:styleId="44">
    <w:name w:val="列出段落 Char"/>
    <w:link w:val="45"/>
    <w:qFormat/>
    <w:locked/>
    <w:uiPriority w:val="99"/>
    <w:rPr>
      <w:rFonts w:ascii="Times New Roman" w:hAnsi="Times New Roman"/>
      <w:kern w:val="2"/>
      <w:sz w:val="21"/>
      <w:szCs w:val="24"/>
    </w:rPr>
  </w:style>
  <w:style w:type="paragraph" w:customStyle="1" w:styleId="45">
    <w:name w:val="列出段落2"/>
    <w:basedOn w:val="1"/>
    <w:link w:val="44"/>
    <w:qFormat/>
    <w:uiPriority w:val="99"/>
    <w:pPr>
      <w:ind w:firstLine="420" w:firstLineChars="200"/>
    </w:pPr>
  </w:style>
  <w:style w:type="character" w:customStyle="1" w:styleId="46">
    <w:name w:val="纯文本 Char1"/>
    <w:semiHidden/>
    <w:qFormat/>
    <w:uiPriority w:val="99"/>
    <w:rPr>
      <w:rFonts w:ascii="宋体" w:hAnsi="Courier New" w:eastAsia="宋体" w:cs="Courier New"/>
      <w:szCs w:val="21"/>
    </w:rPr>
  </w:style>
  <w:style w:type="character" w:customStyle="1" w:styleId="47">
    <w:name w:val="正文文本缩进 3 Char"/>
    <w:link w:val="24"/>
    <w:qFormat/>
    <w:uiPriority w:val="0"/>
    <w:rPr>
      <w:rFonts w:ascii="宋体" w:hAnsi="Times New Roman" w:eastAsia="宋体" w:cs="Times New Roman"/>
      <w:sz w:val="28"/>
      <w:szCs w:val="20"/>
    </w:rPr>
  </w:style>
  <w:style w:type="character" w:customStyle="1" w:styleId="48">
    <w:name w:val="正文缩进 Char"/>
    <w:link w:val="6"/>
    <w:qFormat/>
    <w:uiPriority w:val="0"/>
    <w:rPr>
      <w:rFonts w:eastAsia="宋体"/>
    </w:rPr>
  </w:style>
  <w:style w:type="character" w:customStyle="1" w:styleId="49">
    <w:name w:val="标题 2 Char"/>
    <w:link w:val="3"/>
    <w:qFormat/>
    <w:uiPriority w:val="0"/>
    <w:rPr>
      <w:rFonts w:ascii="Arial" w:hAnsi="Arial" w:eastAsia="宋体" w:cs="Times New Roman"/>
      <w:b/>
      <w:bCs/>
      <w:sz w:val="28"/>
      <w:szCs w:val="32"/>
    </w:rPr>
  </w:style>
  <w:style w:type="character" w:customStyle="1" w:styleId="50">
    <w:name w:val="页眉1 Char"/>
    <w:link w:val="51"/>
    <w:qFormat/>
    <w:uiPriority w:val="0"/>
    <w:rPr>
      <w:sz w:val="18"/>
      <w:szCs w:val="18"/>
    </w:rPr>
  </w:style>
  <w:style w:type="paragraph" w:customStyle="1" w:styleId="51">
    <w:name w:val="页眉1"/>
    <w:basedOn w:val="18"/>
    <w:link w:val="50"/>
    <w:qFormat/>
    <w:uiPriority w:val="0"/>
    <w:pPr>
      <w:pBdr>
        <w:bottom w:val="none" w:color="auto" w:sz="0" w:space="0"/>
      </w:pBdr>
      <w:jc w:val="both"/>
    </w:pPr>
  </w:style>
  <w:style w:type="character" w:customStyle="1" w:styleId="52">
    <w:name w:val="页眉 Char"/>
    <w:link w:val="18"/>
    <w:qFormat/>
    <w:uiPriority w:val="0"/>
    <w:rPr>
      <w:sz w:val="18"/>
      <w:szCs w:val="18"/>
    </w:rPr>
  </w:style>
  <w:style w:type="character" w:customStyle="1" w:styleId="53">
    <w:name w:val="标题 3 Char"/>
    <w:link w:val="4"/>
    <w:qFormat/>
    <w:uiPriority w:val="0"/>
    <w:rPr>
      <w:rFonts w:ascii="Times New Roman" w:hAnsi="Times New Roman" w:eastAsia="宋体" w:cs="Times New Roman"/>
      <w:b/>
      <w:bCs/>
      <w:sz w:val="24"/>
      <w:szCs w:val="32"/>
    </w:rPr>
  </w:style>
  <w:style w:type="character" w:customStyle="1" w:styleId="54">
    <w:name w:val="h2"/>
    <w:qFormat/>
    <w:uiPriority w:val="0"/>
    <w:rPr>
      <w:color w:val="000000"/>
      <w:sz w:val="24"/>
      <w:szCs w:val="24"/>
    </w:rPr>
  </w:style>
  <w:style w:type="character" w:customStyle="1" w:styleId="55">
    <w:name w:val="unnamed1"/>
    <w:basedOn w:val="30"/>
    <w:qFormat/>
    <w:uiPriority w:val="0"/>
  </w:style>
  <w:style w:type="character" w:customStyle="1" w:styleId="56">
    <w:name w:val="正文文本缩进 Char"/>
    <w:link w:val="11"/>
    <w:qFormat/>
    <w:uiPriority w:val="0"/>
    <w:rPr>
      <w:rFonts w:ascii="宋体" w:hAnsi="宋体" w:eastAsia="宋体" w:cs="Times New Roman"/>
      <w:sz w:val="24"/>
      <w:szCs w:val="24"/>
    </w:rPr>
  </w:style>
  <w:style w:type="character" w:customStyle="1" w:styleId="57">
    <w:name w:val="页脚 Char"/>
    <w:link w:val="17"/>
    <w:qFormat/>
    <w:uiPriority w:val="0"/>
    <w:rPr>
      <w:rFonts w:ascii="Times New Roman" w:hAnsi="Times New Roman" w:eastAsia="宋体" w:cs="Times New Roman"/>
      <w:sz w:val="18"/>
      <w:szCs w:val="18"/>
    </w:rPr>
  </w:style>
  <w:style w:type="character" w:customStyle="1" w:styleId="58">
    <w:name w:val="font101"/>
    <w:qFormat/>
    <w:uiPriority w:val="0"/>
    <w:rPr>
      <w:rFonts w:hint="eastAsia" w:ascii="黑体" w:hAnsi="宋体" w:eastAsia="黑体" w:cs="黑体"/>
      <w:color w:val="000000"/>
      <w:sz w:val="20"/>
      <w:szCs w:val="20"/>
      <w:u w:val="none"/>
    </w:rPr>
  </w:style>
  <w:style w:type="character" w:customStyle="1" w:styleId="59">
    <w:name w:val="标题 1 Char"/>
    <w:link w:val="2"/>
    <w:qFormat/>
    <w:uiPriority w:val="0"/>
    <w:rPr>
      <w:rFonts w:ascii="Times New Roman" w:hAnsi="Times New Roman" w:eastAsia="宋体" w:cs="Times New Roman"/>
      <w:b/>
      <w:bCs/>
      <w:kern w:val="44"/>
      <w:sz w:val="44"/>
      <w:szCs w:val="44"/>
    </w:rPr>
  </w:style>
  <w:style w:type="character" w:customStyle="1" w:styleId="60">
    <w:name w:val="正文文本缩进 2 Char"/>
    <w:link w:val="16"/>
    <w:qFormat/>
    <w:uiPriority w:val="0"/>
    <w:rPr>
      <w:rFonts w:ascii="宋体" w:hAnsi="宋体" w:eastAsia="宋体" w:cs="Times New Roman"/>
      <w:color w:val="000000"/>
      <w:sz w:val="24"/>
      <w:szCs w:val="24"/>
    </w:rPr>
  </w:style>
  <w:style w:type="character" w:customStyle="1" w:styleId="61">
    <w:name w:val="font61"/>
    <w:qFormat/>
    <w:uiPriority w:val="0"/>
    <w:rPr>
      <w:rFonts w:hint="eastAsia" w:ascii="宋体" w:hAnsi="宋体" w:eastAsia="宋体" w:cs="宋体"/>
      <w:color w:val="000000"/>
      <w:sz w:val="20"/>
      <w:szCs w:val="20"/>
      <w:u w:val="none"/>
    </w:rPr>
  </w:style>
  <w:style w:type="character" w:customStyle="1" w:styleId="62">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3">
    <w:name w:val="批注主题 Char"/>
    <w:link w:val="27"/>
    <w:semiHidden/>
    <w:qFormat/>
    <w:uiPriority w:val="0"/>
    <w:rPr>
      <w:rFonts w:ascii="Times New Roman" w:hAnsi="Times New Roman" w:eastAsia="宋体" w:cs="Times New Roman"/>
      <w:b/>
      <w:bCs/>
      <w:szCs w:val="24"/>
    </w:rPr>
  </w:style>
  <w:style w:type="character" w:customStyle="1" w:styleId="64">
    <w:name w:val="页眉 Char1"/>
    <w:semiHidden/>
    <w:qFormat/>
    <w:uiPriority w:val="99"/>
    <w:rPr>
      <w:rFonts w:ascii="Times New Roman" w:hAnsi="Times New Roman" w:eastAsia="宋体" w:cs="Times New Roman"/>
      <w:sz w:val="18"/>
      <w:szCs w:val="18"/>
    </w:rPr>
  </w:style>
  <w:style w:type="character" w:customStyle="1" w:styleId="65">
    <w:name w:val="批注文字 Char"/>
    <w:link w:val="8"/>
    <w:qFormat/>
    <w:uiPriority w:val="0"/>
    <w:rPr>
      <w:rFonts w:ascii="Times New Roman" w:hAnsi="Times New Roman"/>
      <w:kern w:val="2"/>
      <w:sz w:val="24"/>
      <w:szCs w:val="24"/>
    </w:rPr>
  </w:style>
  <w:style w:type="character" w:customStyle="1" w:styleId="66">
    <w:name w:val="apple-converted-space"/>
    <w:qFormat/>
    <w:uiPriority w:val="99"/>
    <w:rPr>
      <w:rFonts w:cs="Times New Roman"/>
    </w:rPr>
  </w:style>
  <w:style w:type="paragraph" w:customStyle="1" w:styleId="67">
    <w:name w:val="1"/>
    <w:basedOn w:val="1"/>
    <w:qFormat/>
    <w:uiPriority w:val="0"/>
    <w:pPr>
      <w:widowControl/>
      <w:spacing w:after="160" w:line="240" w:lineRule="exact"/>
      <w:jc w:val="left"/>
    </w:pPr>
    <w:rPr>
      <w:rFonts w:ascii="Verdana" w:hAnsi="Verdana"/>
      <w:kern w:val="0"/>
      <w:szCs w:val="20"/>
      <w:lang w:eastAsia="en-US"/>
    </w:rPr>
  </w:style>
  <w:style w:type="paragraph" w:customStyle="1" w:styleId="68">
    <w:name w:val="Char Char Char"/>
    <w:basedOn w:val="1"/>
    <w:qFormat/>
    <w:uiPriority w:val="0"/>
    <w:rPr>
      <w:rFonts w:ascii="宋体" w:hAnsi="宋体"/>
      <w:b/>
      <w:sz w:val="28"/>
      <w:szCs w:val="28"/>
    </w:rPr>
  </w:style>
  <w:style w:type="paragraph" w:customStyle="1" w:styleId="69">
    <w:name w:val="Char Char Char Char"/>
    <w:basedOn w:val="1"/>
    <w:qFormat/>
    <w:uiPriority w:val="0"/>
    <w:rPr>
      <w:szCs w:val="20"/>
    </w:rPr>
  </w:style>
  <w:style w:type="paragraph" w:customStyle="1" w:styleId="70">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1">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2">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4">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5">
    <w:name w:val="列出段落1"/>
    <w:basedOn w:val="1"/>
    <w:qFormat/>
    <w:uiPriority w:val="0"/>
    <w:pPr>
      <w:ind w:firstLine="420" w:firstLineChars="200"/>
    </w:pPr>
    <w:rPr>
      <w:rFonts w:ascii="Calibri" w:hAnsi="Calibri"/>
      <w:szCs w:val="21"/>
    </w:rPr>
  </w:style>
  <w:style w:type="paragraph" w:customStyle="1" w:styleId="76">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7">
    <w:name w:val="Char1 Char Char Char"/>
    <w:basedOn w:val="1"/>
    <w:qFormat/>
    <w:uiPriority w:val="0"/>
    <w:pPr>
      <w:ind w:left="420" w:hanging="420"/>
    </w:pPr>
    <w:rPr>
      <w:sz w:val="24"/>
    </w:rPr>
  </w:style>
  <w:style w:type="paragraph" w:customStyle="1" w:styleId="78">
    <w:name w:val="_Style 1"/>
    <w:basedOn w:val="1"/>
    <w:qFormat/>
    <w:uiPriority w:val="99"/>
    <w:pPr>
      <w:ind w:firstLine="420" w:firstLineChars="200"/>
    </w:pPr>
  </w:style>
  <w:style w:type="paragraph" w:customStyle="1" w:styleId="79">
    <w:name w:val="样式2"/>
    <w:basedOn w:val="1"/>
    <w:qFormat/>
    <w:uiPriority w:val="0"/>
    <w:rPr>
      <w:b/>
      <w:sz w:val="24"/>
    </w:rPr>
  </w:style>
  <w:style w:type="paragraph" w:customStyle="1" w:styleId="80">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1">
    <w:name w:val="图"/>
    <w:basedOn w:val="1"/>
    <w:link w:val="93"/>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2">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3">
    <w:name w:val="Char"/>
    <w:basedOn w:val="1"/>
    <w:qFormat/>
    <w:uiPriority w:val="0"/>
    <w:pPr>
      <w:tabs>
        <w:tab w:val="left" w:pos="0"/>
      </w:tabs>
      <w:ind w:left="964" w:hanging="964"/>
    </w:pPr>
    <w:rPr>
      <w:sz w:val="24"/>
    </w:rPr>
  </w:style>
  <w:style w:type="paragraph" w:styleId="84">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5">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6">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8">
    <w:name w:val="hwyang"/>
    <w:basedOn w:val="1"/>
    <w:qFormat/>
    <w:uiPriority w:val="0"/>
    <w:pPr>
      <w:widowControl/>
      <w:spacing w:line="360" w:lineRule="auto"/>
      <w:ind w:firstLine="480" w:firstLineChars="200"/>
      <w:jc w:val="left"/>
    </w:pPr>
    <w:rPr>
      <w:kern w:val="0"/>
      <w:sz w:val="24"/>
      <w:szCs w:val="20"/>
    </w:rPr>
  </w:style>
  <w:style w:type="paragraph" w:customStyle="1" w:styleId="89">
    <w:name w:val="列表段落1"/>
    <w:basedOn w:val="1"/>
    <w:qFormat/>
    <w:uiPriority w:val="0"/>
    <w:pPr>
      <w:ind w:firstLine="420" w:firstLineChars="200"/>
    </w:pPr>
    <w:rPr>
      <w:rFonts w:ascii="Calibri" w:hAnsi="Calibri"/>
      <w:szCs w:val="21"/>
    </w:rPr>
  </w:style>
  <w:style w:type="paragraph" w:customStyle="1" w:styleId="90">
    <w:name w:val="正文_0_1"/>
    <w:basedOn w:val="1"/>
    <w:qFormat/>
    <w:uiPriority w:val="0"/>
    <w:pPr>
      <w:spacing w:line="360" w:lineRule="auto"/>
    </w:pPr>
    <w:rPr>
      <w:rFonts w:ascii="Calibri" w:hAnsi="Calibri" w:eastAsia="仿宋" w:cs="宋体"/>
      <w:sz w:val="28"/>
      <w:szCs w:val="28"/>
    </w:rPr>
  </w:style>
  <w:style w:type="paragraph" w:customStyle="1" w:styleId="91">
    <w:name w:val="￥正文"/>
    <w:basedOn w:val="1"/>
    <w:qFormat/>
    <w:uiPriority w:val="0"/>
    <w:pPr>
      <w:spacing w:line="360" w:lineRule="auto"/>
    </w:pPr>
    <w:rPr>
      <w:rFonts w:ascii="Calibri" w:hAnsi="Calibri"/>
      <w:kern w:val="0"/>
      <w:sz w:val="24"/>
      <w:szCs w:val="20"/>
    </w:rPr>
  </w:style>
  <w:style w:type="paragraph" w:customStyle="1" w:styleId="9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3">
    <w:name w:val="图 Char Char"/>
    <w:link w:val="81"/>
    <w:qFormat/>
    <w:locked/>
    <w:uiPriority w:val="0"/>
    <w:rPr>
      <w:rFonts w:ascii="Times New Roman" w:hAnsi="Times New Roman"/>
      <w:snapToGrid w:val="0"/>
      <w:spacing w:val="20"/>
      <w:sz w:val="24"/>
    </w:rPr>
  </w:style>
  <w:style w:type="paragraph" w:customStyle="1" w:styleId="94">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5">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8">
    <w:name w:val="List Paragraph Char"/>
    <w:qFormat/>
    <w:locked/>
    <w:uiPriority w:val="99"/>
    <w:rPr>
      <w:kern w:val="0"/>
      <w:sz w:val="20"/>
      <w:szCs w:val="20"/>
    </w:rPr>
  </w:style>
  <w:style w:type="paragraph" w:customStyle="1" w:styleId="99">
    <w:name w:val="_正文段落"/>
    <w:basedOn w:val="1"/>
    <w:link w:val="100"/>
    <w:qFormat/>
    <w:uiPriority w:val="0"/>
    <w:pPr>
      <w:spacing w:beforeLines="15" w:afterLines="15" w:line="360" w:lineRule="auto"/>
      <w:ind w:firstLine="200" w:firstLineChars="200"/>
    </w:pPr>
    <w:rPr>
      <w:sz w:val="24"/>
    </w:rPr>
  </w:style>
  <w:style w:type="character" w:customStyle="1" w:styleId="100">
    <w:name w:val="_正文段落 Char"/>
    <w:link w:val="99"/>
    <w:qFormat/>
    <w:uiPriority w:val="0"/>
    <w:rPr>
      <w:rFonts w:ascii="Times New Roman" w:hAnsi="Times New Roman"/>
      <w:kern w:val="2"/>
      <w:sz w:val="24"/>
      <w:szCs w:val="24"/>
    </w:rPr>
  </w:style>
  <w:style w:type="paragraph" w:customStyle="1" w:styleId="101">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103">
    <w:name w:val="p0"/>
    <w:basedOn w:val="1"/>
    <w:qFormat/>
    <w:uiPriority w:val="0"/>
    <w:pPr>
      <w:widowControl/>
    </w:pPr>
    <w:rPr>
      <w:kern w:val="0"/>
      <w:szCs w:val="21"/>
    </w:rPr>
  </w:style>
  <w:style w:type="paragraph" w:customStyle="1" w:styleId="104">
    <w:name w:val="_Style 112"/>
    <w:basedOn w:val="1"/>
    <w:next w:val="84"/>
    <w:qFormat/>
    <w:uiPriority w:val="99"/>
    <w:pPr>
      <w:widowControl w:val="0"/>
      <w:adjustRightInd/>
      <w:snapToGrid/>
      <w:spacing w:line="240" w:lineRule="auto"/>
      <w:ind w:firstLine="420"/>
      <w:jc w:val="both"/>
    </w:pPr>
    <w:rPr>
      <w:rFonts w:ascii="Calibri" w:hAnsi="Calibri" w:eastAsia="宋体" w:cs="Times New Roman"/>
      <w:kern w:val="2"/>
      <w:sz w:val="21"/>
    </w:rPr>
  </w:style>
  <w:style w:type="paragraph" w:customStyle="1" w:styleId="105">
    <w:name w:val="样式"/>
    <w:qFormat/>
    <w:uiPriority w:val="0"/>
    <w:pPr>
      <w:widowControl w:val="0"/>
      <w:autoSpaceDE w:val="0"/>
      <w:autoSpaceDN w:val="0"/>
      <w:adjustRightInd w:val="0"/>
    </w:pPr>
    <w:rPr>
      <w:rFonts w:ascii="宋体" w:hAnsi="宋体" w:cs="宋体" w:eastAsiaTheme="minorEastAsia"/>
      <w:sz w:val="24"/>
      <w:szCs w:val="24"/>
      <w:lang w:val="en-US" w:eastAsia="zh-CN" w:bidi="ar-SA"/>
    </w:rPr>
  </w:style>
  <w:style w:type="paragraph" w:customStyle="1" w:styleId="106">
    <w:name w:val="Table Paragraph"/>
    <w:basedOn w:val="1"/>
    <w:qFormat/>
    <w:uiPriority w:val="1"/>
    <w:pPr>
      <w:autoSpaceDE w:val="0"/>
      <w:autoSpaceDN w:val="0"/>
      <w:jc w:val="left"/>
    </w:pPr>
    <w:rPr>
      <w:rFonts w:ascii="宋体" w:hAnsi="宋体" w:cs="宋体"/>
      <w:kern w:val="0"/>
      <w:sz w:val="22"/>
      <w:lang w:eastAsia="en-US"/>
    </w:rPr>
  </w:style>
  <w:style w:type="paragraph" w:customStyle="1" w:styleId="107">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42</Pages>
  <Words>76</Words>
  <Characters>84</Characters>
  <Lines>1</Lines>
  <Paragraphs>1</Paragraphs>
  <TotalTime>2</TotalTime>
  <ScaleCrop>false</ScaleCrop>
  <LinksUpToDate>false</LinksUpToDate>
  <CharactersWithSpaces>144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吴薇</cp:lastModifiedBy>
  <cp:lastPrinted>2022-01-21T10:35:00Z</cp:lastPrinted>
  <dcterms:modified xsi:type="dcterms:W3CDTF">2026-10-10T06:33:01Z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A2B5C72DDA794FD3BD90116B0403ECD0_13</vt:lpwstr>
  </property>
  <property fmtid="{D5CDD505-2E9C-101B-9397-08002B2CF9AE}" pid="4" name="KSOTemplateDocerSaveRecord">
    <vt:lpwstr>eyJoZGlkIjoiMDQyOGVkNDc0NjU2ODUzYjRmMTgzMmQxNTlkZTcyOTYiLCJ1c2VySWQiOiIzNzUwMTE5MjEifQ==</vt:lpwstr>
  </property>
</Properties>
</file>