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bookmarkStart w:id="0" w:name="_Hlk169080972"/>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24"/>
          <w:u w:val="single"/>
        </w:rPr>
        <w:t>佛山校区分工会2024年教职工疗休养服务采购项目</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b/>
          <w:sz w:val="36"/>
          <w:szCs w:val="36"/>
          <w:u w:val="single"/>
        </w:rPr>
        <w:t>佛山校区分工会</w:t>
      </w:r>
      <w:r>
        <w:rPr>
          <w:rFonts w:hint="eastAsia" w:ascii="宋体" w:hAnsi="宋体"/>
          <w:b/>
          <w:sz w:val="36"/>
          <w:u w:val="single"/>
        </w:rPr>
        <w:t xml:space="preserve">   </w:t>
      </w:r>
      <w:bookmarkStart w:id="34" w:name="_GoBack"/>
      <w:bookmarkEnd w:id="34"/>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2024年6月</w:t>
      </w:r>
      <w:r>
        <w:rPr>
          <w:rFonts w:hint="eastAsia" w:ascii="宋体" w:hAnsi="宋体"/>
          <w:b/>
          <w:sz w:val="36"/>
          <w:u w:val="single"/>
          <w:lang w:val="en-US" w:eastAsia="zh-CN"/>
        </w:rPr>
        <w:t>18</w:t>
      </w:r>
      <w:r>
        <w:rPr>
          <w:rFonts w:hint="eastAsia" w:ascii="宋体" w:hAnsi="宋体"/>
          <w:b/>
          <w:sz w:val="36"/>
          <w:u w:val="single"/>
        </w:rPr>
        <w:t xml:space="preserve">日         </w:t>
      </w:r>
    </w:p>
    <w:bookmarkEnd w:id="0"/>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1" w:name="_Toc60236697"/>
      <w:bookmarkStart w:id="2" w:name="_Toc508103135"/>
      <w:bookmarkStart w:id="3" w:name="_Toc508103350"/>
      <w:r>
        <w:br w:type="page"/>
      </w:r>
    </w:p>
    <w:p>
      <w:pPr>
        <w:pStyle w:val="2"/>
      </w:pPr>
      <w:bookmarkStart w:id="4" w:name="_Toc1048"/>
      <w:r>
        <w:t xml:space="preserve">第一部分   </w:t>
      </w:r>
      <w:r>
        <w:rPr>
          <w:rFonts w:hint="eastAsia"/>
        </w:rPr>
        <w:t>报价</w:t>
      </w:r>
      <w:r>
        <w:t>须知</w:t>
      </w:r>
      <w:bookmarkEnd w:id="1"/>
      <w:bookmarkEnd w:id="2"/>
      <w:bookmarkEnd w:id="3"/>
      <w:bookmarkEnd w:id="4"/>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5" w:name="_Toc60236698"/>
      <w:bookmarkStart w:id="6" w:name="_Toc508103351"/>
      <w:bookmarkStart w:id="7" w:name="_Toc16574"/>
      <w:r>
        <w:rPr>
          <w:rFonts w:hint="eastAsia"/>
        </w:rPr>
        <w:t>一、采购项目</w:t>
      </w:r>
      <w:bookmarkEnd w:id="5"/>
      <w:bookmarkEnd w:id="6"/>
      <w:r>
        <w:rPr>
          <w:rFonts w:hint="eastAsia"/>
        </w:rPr>
        <w:t>概况</w:t>
      </w:r>
      <w:bookmarkEnd w:id="7"/>
    </w:p>
    <w:p>
      <w:pPr>
        <w:spacing w:line="560" w:lineRule="exact"/>
        <w:ind w:firstLine="560" w:firstLineChars="200"/>
        <w:rPr>
          <w:rFonts w:ascii="宋体" w:hAnsi="宋体"/>
          <w:sz w:val="28"/>
          <w:szCs w:val="28"/>
        </w:rPr>
      </w:pPr>
      <w:bookmarkStart w:id="8" w:name="_Hlk169080940"/>
      <w:r>
        <w:rPr>
          <w:rFonts w:hint="eastAsia" w:ascii="宋体" w:hAnsi="宋体"/>
          <w:sz w:val="28"/>
          <w:szCs w:val="28"/>
        </w:rPr>
        <w:t>为进一步深化工会服务教职工工作，更好地调动和激发教职工工作积极性，依法保障和促进广大一线教职工身心健康发展，增强工会组织凝聚力，根据《关于深入开展职工乡村疗休养活动 助力实施“百县千镇万村高质量发展工程”的通知》（</w:t>
      </w:r>
      <w:r>
        <w:rPr>
          <w:rFonts w:ascii="宋体" w:hAnsi="宋体"/>
          <w:sz w:val="28"/>
          <w:szCs w:val="28"/>
        </w:rPr>
        <w:t>粤工办〔 2023〕 44 号</w:t>
      </w:r>
      <w:r>
        <w:rPr>
          <w:rFonts w:hint="eastAsia" w:ascii="宋体" w:hAnsi="宋体"/>
          <w:sz w:val="28"/>
          <w:szCs w:val="28"/>
        </w:rPr>
        <w:t>）、</w:t>
      </w:r>
      <w:r>
        <w:rPr>
          <w:rFonts w:ascii="宋体" w:hAnsi="宋体"/>
          <w:sz w:val="28"/>
          <w:szCs w:val="28"/>
        </w:rPr>
        <w:t>关于印发《 广东工会职工疗休养经费管理使用办法（ 试行）》 的通知</w:t>
      </w:r>
      <w:r>
        <w:rPr>
          <w:rFonts w:hint="eastAsia" w:ascii="宋体" w:hAnsi="宋体"/>
          <w:sz w:val="28"/>
          <w:szCs w:val="28"/>
        </w:rPr>
        <w:t>（</w:t>
      </w:r>
      <w:r>
        <w:rPr>
          <w:rFonts w:ascii="宋体" w:hAnsi="宋体"/>
          <w:sz w:val="28"/>
          <w:szCs w:val="28"/>
        </w:rPr>
        <w:t>粤工办〔 2024〕 14 号</w:t>
      </w:r>
      <w:r>
        <w:rPr>
          <w:rFonts w:hint="eastAsia" w:ascii="宋体" w:hAnsi="宋体"/>
          <w:sz w:val="28"/>
          <w:szCs w:val="28"/>
        </w:rPr>
        <w:t>）等上级文件精神，佛山校区分工会拟组织教职工开展疗休养活动。</w:t>
      </w:r>
    </w:p>
    <w:p>
      <w:pPr>
        <w:spacing w:line="560" w:lineRule="exact"/>
        <w:ind w:firstLine="560" w:firstLineChars="200"/>
        <w:rPr>
          <w:rFonts w:ascii="宋体" w:hAnsi="宋体"/>
          <w:sz w:val="28"/>
          <w:szCs w:val="28"/>
        </w:rPr>
      </w:pPr>
      <w:r>
        <w:rPr>
          <w:rFonts w:hint="eastAsia" w:ascii="宋体" w:hAnsi="宋体"/>
          <w:bCs/>
          <w:sz w:val="28"/>
          <w:szCs w:val="28"/>
        </w:rPr>
        <w:t>本项目按照单价据实结算，</w:t>
      </w:r>
      <w:r>
        <w:rPr>
          <w:rFonts w:hint="eastAsia" w:ascii="宋体" w:hAnsi="宋体"/>
          <w:sz w:val="28"/>
          <w:szCs w:val="28"/>
        </w:rPr>
        <w:t>采购预算为人民币98400元</w:t>
      </w:r>
      <w:bookmarkStart w:id="9" w:name="_Hlk169247927"/>
      <w:r>
        <w:rPr>
          <w:rFonts w:hint="eastAsia" w:ascii="宋体" w:hAnsi="宋体"/>
          <w:sz w:val="28"/>
          <w:szCs w:val="28"/>
        </w:rPr>
        <w:t>（123人，人均800元）</w:t>
      </w:r>
      <w:bookmarkEnd w:id="9"/>
      <w:r>
        <w:rPr>
          <w:rFonts w:hint="eastAsia" w:ascii="宋体" w:hAnsi="宋体"/>
          <w:sz w:val="28"/>
          <w:szCs w:val="28"/>
        </w:rPr>
        <w:t>。</w:t>
      </w:r>
    </w:p>
    <w:bookmarkEnd w:id="8"/>
    <w:p>
      <w:pPr>
        <w:pStyle w:val="3"/>
        <w:spacing w:line="560" w:lineRule="exact"/>
      </w:pPr>
      <w:bookmarkStart w:id="10" w:name="_Toc60236699"/>
      <w:bookmarkStart w:id="11" w:name="_Toc28829"/>
      <w:bookmarkStart w:id="12" w:name="_Toc508103352"/>
      <w:r>
        <w:rPr>
          <w:rFonts w:hint="eastAsia"/>
        </w:rPr>
        <w:t>二、相关说明</w:t>
      </w:r>
      <w:bookmarkEnd w:id="10"/>
      <w:bookmarkEnd w:id="11"/>
      <w:bookmarkEnd w:id="12"/>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3" w:name="_Toc60236700"/>
      <w:bookmarkStart w:id="14" w:name="_Toc11839"/>
      <w:bookmarkStart w:id="15" w:name="_Toc508103353"/>
      <w:r>
        <w:rPr>
          <w:rFonts w:hint="eastAsia"/>
        </w:rPr>
        <w:t>三、报价人</w:t>
      </w:r>
      <w:r>
        <w:t>资格</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ascii="宋体" w:hAnsi="宋体"/>
          <w:sz w:val="28"/>
          <w:szCs w:val="28"/>
        </w:rPr>
      </w:pPr>
      <w:r>
        <w:rPr>
          <w:rFonts w:hint="eastAsia" w:ascii="宋体" w:hAnsi="宋体"/>
          <w:sz w:val="28"/>
          <w:szCs w:val="28"/>
        </w:rPr>
        <w:t>（三）投标人须具有相关行政管理部门颁发有效期内的《旅行社业务经营许可证》，营业执照具有相关经营范围，响应文件中提交证书复印件。 </w:t>
      </w:r>
    </w:p>
    <w:p>
      <w:pPr>
        <w:pStyle w:val="3"/>
        <w:spacing w:line="560" w:lineRule="exact"/>
      </w:pPr>
      <w:bookmarkStart w:id="16" w:name="_Toc20873"/>
      <w:bookmarkStart w:id="17" w:name="_Toc60236701"/>
      <w:bookmarkStart w:id="18" w:name="_Toc508103354"/>
      <w:r>
        <w:rPr>
          <w:rFonts w:hint="eastAsia"/>
        </w:rPr>
        <w:t>四、</w:t>
      </w:r>
      <w:r>
        <w:t>报价要求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特别提醒：本项目</w:t>
      </w:r>
      <w:r>
        <w:rPr>
          <w:rFonts w:ascii="宋体" w:hAnsi="宋体"/>
          <w:sz w:val="28"/>
          <w:szCs w:val="28"/>
        </w:rPr>
        <w:t>报价</w:t>
      </w:r>
      <w:r>
        <w:rPr>
          <w:rFonts w:hint="eastAsia" w:ascii="宋体" w:hAnsi="宋体"/>
          <w:b/>
          <w:bCs/>
          <w:sz w:val="28"/>
          <w:szCs w:val="28"/>
        </w:rPr>
        <w:t>人均单价</w:t>
      </w:r>
      <w:r>
        <w:rPr>
          <w:rFonts w:hint="eastAsia" w:ascii="宋体" w:hAnsi="宋体"/>
          <w:sz w:val="28"/>
          <w:szCs w:val="28"/>
        </w:rPr>
        <w:t>，报价文件中只能提供唯一明确报价。</w:t>
      </w:r>
    </w:p>
    <w:p>
      <w:pPr>
        <w:pStyle w:val="3"/>
        <w:spacing w:line="560" w:lineRule="exact"/>
      </w:pPr>
      <w:bookmarkStart w:id="19" w:name="_Toc508103355"/>
      <w:bookmarkStart w:id="20" w:name="_Toc60236702"/>
      <w:bookmarkStart w:id="21" w:name="_Toc18253"/>
      <w:r>
        <w:rPr>
          <w:rFonts w:hint="eastAsia"/>
        </w:rPr>
        <w:t>五、报价</w:t>
      </w:r>
      <w:r>
        <w:t>文件</w:t>
      </w:r>
      <w:r>
        <w:rPr>
          <w:rFonts w:hint="eastAsia"/>
        </w:rPr>
        <w:t>要求</w:t>
      </w:r>
      <w:bookmarkEnd w:id="19"/>
      <w:bookmarkEnd w:id="20"/>
      <w:bookmarkEnd w:id="21"/>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22" w:name="_Toc508103356"/>
      <w:bookmarkStart w:id="23" w:name="_Toc10890"/>
      <w:bookmarkStart w:id="24" w:name="_Toc60236703"/>
      <w:r>
        <w:rPr>
          <w:rFonts w:hint="eastAsia"/>
        </w:rPr>
        <w:t>六、评审</w:t>
      </w:r>
      <w:r>
        <w:t>方法</w:t>
      </w:r>
      <w:r>
        <w:rPr>
          <w:rFonts w:hint="eastAsia"/>
        </w:rPr>
        <w:t>及原则</w:t>
      </w:r>
      <w:bookmarkEnd w:id="22"/>
      <w:bookmarkEnd w:id="23"/>
      <w:bookmarkEnd w:id="24"/>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5" w:name="_Toc18663"/>
      <w:r>
        <w:rPr>
          <w:rFonts w:hint="eastAsia"/>
        </w:rPr>
        <w:t>成交供应商确定</w:t>
      </w:r>
      <w:bookmarkEnd w:id="25"/>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79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792"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230"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792" w:type="dxa"/>
            <w:noWrap/>
            <w:vAlign w:val="center"/>
          </w:tcPr>
          <w:p>
            <w:pPr>
              <w:spacing w:line="300" w:lineRule="exact"/>
              <w:rPr>
                <w:rFonts w:ascii="宋体" w:hAnsi="宋体"/>
                <w:sz w:val="18"/>
                <w:szCs w:val="18"/>
              </w:rPr>
            </w:pPr>
            <w:r>
              <w:rPr>
                <w:rFonts w:hint="eastAsia" w:ascii="宋体" w:hAnsi="宋体"/>
                <w:sz w:val="18"/>
                <w:szCs w:val="1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792" w:type="dxa"/>
            <w:noWrap/>
            <w:vAlign w:val="center"/>
          </w:tcPr>
          <w:p>
            <w:pPr>
              <w:spacing w:line="300" w:lineRule="exact"/>
              <w:rPr>
                <w:rFonts w:ascii="宋体" w:hAnsi="宋体"/>
                <w:sz w:val="18"/>
                <w:szCs w:val="18"/>
              </w:rPr>
            </w:pPr>
            <w:r>
              <w:rPr>
                <w:rFonts w:hint="eastAsia" w:ascii="宋体" w:hAnsi="宋体"/>
                <w:sz w:val="18"/>
                <w:szCs w:val="1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792" w:type="dxa"/>
            <w:noWrap/>
            <w:vAlign w:val="center"/>
          </w:tcPr>
          <w:p>
            <w:pPr>
              <w:spacing w:line="300" w:lineRule="exact"/>
              <w:ind w:firstLine="360" w:firstLineChars="200"/>
              <w:rPr>
                <w:rFonts w:ascii="宋体" w:hAnsi="宋体"/>
                <w:sz w:val="18"/>
                <w:szCs w:val="18"/>
              </w:rPr>
            </w:pPr>
            <w:r>
              <w:rPr>
                <w:rFonts w:hint="eastAsia" w:ascii="宋体" w:hAnsi="宋体"/>
                <w:sz w:val="18"/>
                <w:szCs w:val="18"/>
              </w:rPr>
              <w:t>投标人须具有相关行政管理部门颁发有效期内的《旅行社业务经营许可证》，营业执照具有相关经营范围，响应文件中提交证书复印件。</w:t>
            </w:r>
          </w:p>
        </w:tc>
        <w:tc>
          <w:tcPr>
            <w:tcW w:w="1230" w:type="dxa"/>
            <w:noWrap/>
            <w:vAlign w:val="center"/>
          </w:tcPr>
          <w:p>
            <w:pPr>
              <w:spacing w:line="3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300" w:lineRule="exact"/>
              <w:rPr>
                <w:rFonts w:ascii="宋体" w:hAnsi="宋体"/>
                <w:b/>
                <w:sz w:val="18"/>
                <w:szCs w:val="18"/>
              </w:rPr>
            </w:pPr>
            <w:r>
              <w:rPr>
                <w:rFonts w:hint="eastAsia" w:ascii="宋体" w:hAnsi="宋体"/>
                <w:b/>
                <w:sz w:val="18"/>
                <w:szCs w:val="1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792" w:type="dxa"/>
            <w:noWrap/>
            <w:vAlign w:val="center"/>
          </w:tcPr>
          <w:p>
            <w:pPr>
              <w:spacing w:line="300" w:lineRule="exact"/>
              <w:jc w:val="center"/>
              <w:rPr>
                <w:rFonts w:ascii="宋体" w:hAnsi="宋体"/>
                <w:b/>
                <w:sz w:val="18"/>
                <w:szCs w:val="18"/>
              </w:rPr>
            </w:pPr>
            <w:r>
              <w:rPr>
                <w:rFonts w:hint="eastAsia" w:ascii="宋体" w:hAnsi="宋体"/>
                <w:b/>
                <w:sz w:val="18"/>
                <w:szCs w:val="18"/>
              </w:rPr>
              <w:t>审查内容及标准</w:t>
            </w:r>
          </w:p>
        </w:tc>
        <w:tc>
          <w:tcPr>
            <w:tcW w:w="1230" w:type="dxa"/>
            <w:noWrap/>
            <w:vAlign w:val="center"/>
          </w:tcPr>
          <w:p>
            <w:pPr>
              <w:spacing w:line="300" w:lineRule="exact"/>
              <w:jc w:val="center"/>
              <w:rPr>
                <w:rFonts w:ascii="宋体" w:hAnsi="宋体"/>
                <w:b/>
                <w:sz w:val="18"/>
                <w:szCs w:val="18"/>
              </w:rPr>
            </w:pPr>
            <w:r>
              <w:rPr>
                <w:rFonts w:hint="eastAsia" w:ascii="宋体" w:hAnsi="宋体"/>
                <w:b/>
                <w:sz w:val="18"/>
                <w:szCs w:val="1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提供法人或负责人资格证明；授权委托书</w:t>
            </w:r>
          </w:p>
        </w:tc>
        <w:tc>
          <w:tcPr>
            <w:tcW w:w="1230" w:type="dxa"/>
            <w:noWrap/>
            <w:vAlign w:val="center"/>
          </w:tcPr>
          <w:p>
            <w:pPr>
              <w:spacing w:line="30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提供报价一览表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提供报价明细表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提供“技术（服务）条款响应表”和“商务条款响应表”</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792" w:type="dxa"/>
            <w:noWrap/>
            <w:vAlign w:val="center"/>
          </w:tcPr>
          <w:p>
            <w:pPr>
              <w:spacing w:line="300" w:lineRule="exact"/>
              <w:rPr>
                <w:rFonts w:ascii="宋体" w:hAnsi="宋体"/>
                <w:sz w:val="18"/>
                <w:szCs w:val="18"/>
              </w:rPr>
            </w:pPr>
            <w:r>
              <w:rPr>
                <w:rFonts w:hint="eastAsia" w:ascii="宋体" w:hAnsi="宋体"/>
                <w:sz w:val="18"/>
                <w:szCs w:val="18"/>
              </w:rPr>
              <w:t>提供报价人声明及承诺</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792" w:type="dxa"/>
            <w:noWrap/>
            <w:vAlign w:val="center"/>
          </w:tcPr>
          <w:p>
            <w:pPr>
              <w:spacing w:line="300" w:lineRule="exact"/>
              <w:rPr>
                <w:rFonts w:ascii="宋体" w:hAnsi="宋体"/>
                <w:sz w:val="18"/>
                <w:szCs w:val="18"/>
              </w:rPr>
            </w:pPr>
            <w:r>
              <w:rPr>
                <w:rFonts w:hint="eastAsia" w:ascii="宋体" w:hAnsi="宋体"/>
                <w:sz w:val="18"/>
                <w:szCs w:val="18"/>
              </w:rPr>
              <w:t>未出现采购单位无法接受的附加条件</w:t>
            </w:r>
          </w:p>
        </w:tc>
        <w:tc>
          <w:tcPr>
            <w:tcW w:w="1230" w:type="dxa"/>
            <w:noWrap/>
            <w:vAlign w:val="center"/>
          </w:tcPr>
          <w:p>
            <w:pPr>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8"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230"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352" w:firstLineChars="196"/>
        <w:rPr>
          <w:rFonts w:ascii="宋体" w:hAnsi="宋体"/>
          <w:sz w:val="18"/>
          <w:szCs w:val="18"/>
        </w:rPr>
      </w:pPr>
      <w:r>
        <w:rPr>
          <w:rFonts w:hint="eastAsia" w:ascii="宋体" w:hAnsi="宋体"/>
          <w:sz w:val="18"/>
          <w:szCs w:val="18"/>
        </w:rPr>
        <w:t>1.本表应与采购书中相关条款内容一致的。</w:t>
      </w:r>
    </w:p>
    <w:p>
      <w:pPr>
        <w:snapToGrid w:val="0"/>
        <w:ind w:firstLine="352" w:firstLineChars="196"/>
        <w:rPr>
          <w:rFonts w:ascii="宋体" w:hAnsi="宋体"/>
          <w:sz w:val="18"/>
          <w:szCs w:val="18"/>
        </w:rPr>
      </w:pPr>
      <w:r>
        <w:rPr>
          <w:rFonts w:hint="eastAsia" w:ascii="宋体" w:hAnsi="宋体"/>
          <w:sz w:val="18"/>
          <w:szCs w:val="18"/>
        </w:rPr>
        <w:t>2.每一项符合的打“〇”，不符合的打“×”。打“×”的，请说明理由。</w:t>
      </w:r>
    </w:p>
    <w:p>
      <w:pPr>
        <w:snapToGrid w:val="0"/>
        <w:ind w:left="592" w:leftChars="196" w:hanging="180" w:hangingChars="100"/>
        <w:rPr>
          <w:rFonts w:ascii="宋体" w:hAnsi="宋体"/>
          <w:sz w:val="18"/>
          <w:szCs w:val="18"/>
        </w:rPr>
      </w:pPr>
      <w:r>
        <w:rPr>
          <w:rFonts w:hint="eastAsia" w:ascii="宋体" w:hAnsi="宋体"/>
          <w:sz w:val="18"/>
          <w:szCs w:val="18"/>
        </w:rPr>
        <w:t>3.“结论”一栏填写“通过”、“不通过”；任何一项出现“×”的，结论均为不通过；不通过的，为无效报价。</w:t>
      </w:r>
    </w:p>
    <w:p>
      <w:pPr>
        <w:snapToGrid w:val="0"/>
        <w:ind w:left="592" w:leftChars="196" w:hanging="180" w:hangingChars="100"/>
        <w:rPr>
          <w:rFonts w:ascii="宋体" w:hAnsi="宋体"/>
          <w:b/>
          <w:bCs/>
          <w:sz w:val="28"/>
          <w:szCs w:val="28"/>
        </w:rPr>
      </w:pPr>
      <w:r>
        <w:rPr>
          <w:rFonts w:hint="eastAsia" w:ascii="宋体" w:hAnsi="宋体"/>
          <w:sz w:val="18"/>
          <w:szCs w:val="18"/>
        </w:rPr>
        <w:t>4.如“结论”意见不统一时，采用少数服从多数的原则确定评审结果，相关情况记录在评审报告中。</w:t>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628" w:type="dxa"/>
            <w:gridSpan w:val="2"/>
            <w:noWrap/>
            <w:vAlign w:val="center"/>
          </w:tcPr>
          <w:p>
            <w:pPr>
              <w:jc w:val="center"/>
              <w:rPr>
                <w:b/>
                <w:sz w:val="28"/>
                <w:szCs w:val="28"/>
              </w:rPr>
            </w:pPr>
            <w:r>
              <w:rPr>
                <w:b/>
                <w:sz w:val="28"/>
                <w:szCs w:val="28"/>
              </w:rPr>
              <w:t>评审因素</w:t>
            </w:r>
          </w:p>
        </w:tc>
        <w:tc>
          <w:tcPr>
            <w:tcW w:w="1080" w:type="dxa"/>
            <w:noWrap/>
            <w:vAlign w:val="center"/>
          </w:tcPr>
          <w:p>
            <w:pPr>
              <w:jc w:val="center"/>
              <w:rPr>
                <w:b/>
                <w:sz w:val="28"/>
                <w:szCs w:val="28"/>
              </w:rPr>
            </w:pPr>
            <w:r>
              <w:rPr>
                <w:rFonts w:hint="eastAsia"/>
                <w:b/>
                <w:sz w:val="28"/>
                <w:szCs w:val="28"/>
              </w:rPr>
              <w:t>权重</w:t>
            </w:r>
          </w:p>
        </w:tc>
        <w:tc>
          <w:tcPr>
            <w:tcW w:w="5400" w:type="dxa"/>
            <w:noWrap/>
            <w:vAlign w:val="center"/>
          </w:tcPr>
          <w:p>
            <w:pPr>
              <w:jc w:val="center"/>
              <w:rPr>
                <w:b/>
                <w:sz w:val="28"/>
                <w:szCs w:val="28"/>
              </w:rPr>
            </w:pPr>
            <w:r>
              <w:rPr>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pPr>
            <w:r>
              <w:rPr>
                <w:rFonts w:hint="eastAsia"/>
              </w:rPr>
              <w:t>报价</w:t>
            </w:r>
          </w:p>
        </w:tc>
        <w:tc>
          <w:tcPr>
            <w:tcW w:w="1080" w:type="dxa"/>
            <w:noWrap/>
            <w:vAlign w:val="center"/>
          </w:tcPr>
          <w:p>
            <w:pPr>
              <w:jc w:val="center"/>
            </w:pPr>
            <w:r>
              <w:rPr>
                <w:rFonts w:hint="eastAsia"/>
              </w:rPr>
              <w:t>10%</w:t>
            </w:r>
          </w:p>
        </w:tc>
        <w:tc>
          <w:tcPr>
            <w:tcW w:w="5400" w:type="dxa"/>
            <w:noWrap/>
            <w:vAlign w:val="center"/>
          </w:tcPr>
          <w:p>
            <w:pPr>
              <w:rPr>
                <w:szCs w:val="21"/>
              </w:rPr>
            </w:pPr>
            <w:r>
              <w:t>满足</w:t>
            </w:r>
            <w:r>
              <w:rPr>
                <w:rFonts w:hint="eastAsia"/>
              </w:rPr>
              <w:t>采购书</w:t>
            </w:r>
            <w:r>
              <w:t>要求且</w:t>
            </w:r>
            <w:r>
              <w:rPr>
                <w:rFonts w:hint="eastAsia"/>
              </w:rPr>
              <w:t>最终报价</w:t>
            </w:r>
            <w:r>
              <w:t>最低为评标基准价，其价格分为满分，其他</w:t>
            </w:r>
            <w:r>
              <w:rPr>
                <w:rFonts w:hint="eastAsia"/>
              </w:rPr>
              <w:t>报价人</w:t>
            </w:r>
            <w:r>
              <w:t>的价格分按</w:t>
            </w:r>
            <w:r>
              <w:rPr>
                <w:rFonts w:hint="eastAsia"/>
              </w:rPr>
              <w:t>以</w:t>
            </w:r>
            <w:r>
              <w:t>下公式计算：</w:t>
            </w:r>
            <w:r>
              <w:rPr>
                <w:rFonts w:hint="eastAsia"/>
              </w:rPr>
              <w:t>报价</w:t>
            </w:r>
            <w:r>
              <w:t>得分＝（评标基准价/</w:t>
            </w:r>
            <w:r>
              <w:rPr>
                <w:rFonts w:hint="eastAsia"/>
              </w:rPr>
              <w:t>最终</w:t>
            </w:r>
            <w:r>
              <w:t>报价）×</w:t>
            </w:r>
            <w:r>
              <w:rPr>
                <w:rFonts w:hint="eastAsia"/>
              </w:rPr>
              <w:t>10%（取小数点后二位）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pPr>
            <w:r>
              <w:t>技术</w:t>
            </w:r>
            <w:r>
              <w:rPr>
                <w:rFonts w:hint="eastAsia"/>
              </w:rPr>
              <w:t>因素</w:t>
            </w:r>
          </w:p>
        </w:tc>
        <w:tc>
          <w:tcPr>
            <w:tcW w:w="1980" w:type="dxa"/>
            <w:noWrap/>
            <w:vAlign w:val="center"/>
          </w:tcPr>
          <w:p>
            <w:pPr>
              <w:jc w:val="center"/>
            </w:pPr>
            <w:r>
              <w:rPr>
                <w:rFonts w:hint="eastAsia"/>
              </w:rPr>
              <w:t>项目方案提供线路合理性、疗养服务内容的多样性</w:t>
            </w:r>
          </w:p>
        </w:tc>
        <w:tc>
          <w:tcPr>
            <w:tcW w:w="1080" w:type="dxa"/>
            <w:noWrap/>
            <w:vAlign w:val="center"/>
          </w:tcPr>
          <w:p>
            <w:pPr>
              <w:jc w:val="center"/>
            </w:pPr>
            <w:r>
              <w:rPr>
                <w:rFonts w:hint="eastAsia"/>
              </w:rPr>
              <w:t>30%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30</w:t>
            </w:r>
            <w:r>
              <w:rPr>
                <w:szCs w:val="21"/>
              </w:rPr>
              <w:t>分；评价较好得</w:t>
            </w:r>
            <w:r>
              <w:rPr>
                <w:rFonts w:hint="eastAsia"/>
                <w:szCs w:val="21"/>
              </w:rPr>
              <w:t>20</w:t>
            </w:r>
            <w:r>
              <w:rPr>
                <w:szCs w:val="21"/>
              </w:rPr>
              <w:t>分；评价一般得</w:t>
            </w:r>
            <w:r>
              <w:rPr>
                <w:rFonts w:hint="eastAsia"/>
                <w:szCs w:val="21"/>
              </w:rPr>
              <w:t>10</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承诺住宿、餐饮、交通等配套服务的标准</w:t>
            </w:r>
          </w:p>
        </w:tc>
        <w:tc>
          <w:tcPr>
            <w:tcW w:w="1080" w:type="dxa"/>
            <w:noWrap/>
            <w:vAlign w:val="center"/>
          </w:tcPr>
          <w:p>
            <w:pPr>
              <w:jc w:val="center"/>
            </w:pPr>
            <w:r>
              <w:rPr>
                <w:rFonts w:hint="eastAsia"/>
              </w:rPr>
              <w:t>30%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30</w:t>
            </w:r>
            <w:r>
              <w:rPr>
                <w:szCs w:val="21"/>
              </w:rPr>
              <w:t>分；评价较好得</w:t>
            </w:r>
            <w:r>
              <w:rPr>
                <w:rFonts w:hint="eastAsia"/>
                <w:szCs w:val="21"/>
              </w:rPr>
              <w:t>20</w:t>
            </w:r>
            <w:r>
              <w:rPr>
                <w:szCs w:val="21"/>
              </w:rPr>
              <w:t>分；评价一般得</w:t>
            </w:r>
            <w:r>
              <w:rPr>
                <w:rFonts w:hint="eastAsia"/>
                <w:szCs w:val="21"/>
              </w:rPr>
              <w:t>10</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旅行社服务配备</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满足采购书要求且：</w:t>
            </w:r>
            <w:r>
              <w:rPr>
                <w:szCs w:val="21"/>
              </w:rPr>
              <w:t>评价好得</w:t>
            </w:r>
            <w:r>
              <w:rPr>
                <w:rFonts w:hint="eastAsia"/>
                <w:szCs w:val="21"/>
              </w:rPr>
              <w:t>10</w:t>
            </w:r>
            <w:r>
              <w:rPr>
                <w:szCs w:val="21"/>
              </w:rPr>
              <w:t>分；评价较好得</w:t>
            </w:r>
            <w:r>
              <w:rPr>
                <w:rFonts w:hint="eastAsia"/>
                <w:szCs w:val="21"/>
              </w:rPr>
              <w:t>6</w:t>
            </w:r>
            <w:r>
              <w:rPr>
                <w:szCs w:val="21"/>
              </w:rPr>
              <w:t>分；评价一般得</w:t>
            </w:r>
            <w:r>
              <w:rPr>
                <w:rFonts w:hint="eastAsia"/>
                <w:szCs w:val="21"/>
              </w:rPr>
              <w:t>2</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pPr>
          </w:p>
        </w:tc>
        <w:tc>
          <w:tcPr>
            <w:tcW w:w="1980" w:type="dxa"/>
            <w:noWrap/>
            <w:vAlign w:val="center"/>
          </w:tcPr>
          <w:p>
            <w:pPr>
              <w:jc w:val="center"/>
            </w:pPr>
            <w:r>
              <w:rPr>
                <w:rFonts w:hint="eastAsia"/>
              </w:rPr>
              <w:t>风险管理与应对措施</w:t>
            </w:r>
          </w:p>
        </w:tc>
        <w:tc>
          <w:tcPr>
            <w:tcW w:w="1080" w:type="dxa"/>
            <w:noWrap/>
            <w:vAlign w:val="center"/>
          </w:tcPr>
          <w:p>
            <w:pPr>
              <w:jc w:val="center"/>
            </w:pPr>
            <w:r>
              <w:rPr>
                <w:rFonts w:hint="eastAsia"/>
              </w:rPr>
              <w:t>10%</w:t>
            </w:r>
          </w:p>
        </w:tc>
        <w:tc>
          <w:tcPr>
            <w:tcW w:w="5400" w:type="dxa"/>
            <w:noWrap/>
            <w:vAlign w:val="center"/>
          </w:tcPr>
          <w:p>
            <w:r>
              <w:rPr>
                <w:rFonts w:hint="eastAsia"/>
                <w:szCs w:val="21"/>
              </w:rPr>
              <w:t>满足采购书要求且：按要求购买保险，且有完善的风控措施的</w:t>
            </w:r>
            <w:r>
              <w:rPr>
                <w:szCs w:val="21"/>
              </w:rPr>
              <w:t>得</w:t>
            </w:r>
            <w:r>
              <w:rPr>
                <w:rFonts w:hint="eastAsia"/>
                <w:szCs w:val="21"/>
              </w:rPr>
              <w:t>10</w:t>
            </w:r>
            <w:r>
              <w:rPr>
                <w:szCs w:val="21"/>
              </w:rPr>
              <w:t>分；</w:t>
            </w:r>
            <w:r>
              <w:rPr>
                <w:rFonts w:hint="eastAsia"/>
                <w:szCs w:val="21"/>
              </w:rPr>
              <w:t>只购买保险，风控措施一般的得6分</w:t>
            </w:r>
            <w:r>
              <w:rPr>
                <w:szCs w:val="21"/>
              </w:rPr>
              <w:t>；</w:t>
            </w:r>
            <w:r>
              <w:rPr>
                <w:rFonts w:hint="eastAsia"/>
                <w:szCs w:val="21"/>
              </w:rPr>
              <w:t>只购买保险没有风控措施的</w:t>
            </w:r>
            <w:r>
              <w:rPr>
                <w:szCs w:val="21"/>
              </w:rPr>
              <w:t>得</w:t>
            </w:r>
            <w:r>
              <w:rPr>
                <w:rFonts w:hint="eastAsia"/>
                <w:szCs w:val="21"/>
              </w:rPr>
              <w:t>2</w:t>
            </w:r>
            <w:r>
              <w:rPr>
                <w:szCs w:val="21"/>
              </w:rPr>
              <w:t>分</w:t>
            </w:r>
            <w:r>
              <w:rPr>
                <w:rFonts w:hint="eastAsia"/>
                <w:szCs w:val="21"/>
              </w:rPr>
              <w:t>，不满足得0分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48" w:type="dxa"/>
            <w:noWrap/>
            <w:textDirection w:val="tbRlV"/>
            <w:vAlign w:val="center"/>
          </w:tcPr>
          <w:p>
            <w:pPr>
              <w:ind w:left="113" w:leftChars="54" w:right="113"/>
            </w:pPr>
            <w:r>
              <w:rPr>
                <w:rFonts w:hint="eastAsia"/>
              </w:rPr>
              <w:t>商务因素</w:t>
            </w:r>
          </w:p>
        </w:tc>
        <w:tc>
          <w:tcPr>
            <w:tcW w:w="1980" w:type="dxa"/>
            <w:noWrap/>
            <w:vAlign w:val="center"/>
          </w:tcPr>
          <w:p>
            <w:pPr>
              <w:jc w:val="center"/>
            </w:pPr>
            <w:r>
              <w:rPr>
                <w:rFonts w:hint="eastAsia"/>
              </w:rPr>
              <w:t>付款条件（10%）</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满足采购书要求得10分，不满足得0分</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sz w:val="24"/>
        </w:rPr>
        <w:t>注：各评委按规定的范围内进行量化打分，并统计总分。</w:t>
      </w:r>
    </w:p>
    <w:p>
      <w:pPr>
        <w:pStyle w:val="2"/>
      </w:pPr>
      <w:bookmarkStart w:id="26" w:name="_Toc60236707"/>
      <w:r>
        <w:rPr>
          <w:rFonts w:hint="eastAsia"/>
        </w:rPr>
        <w:br w:type="page"/>
      </w:r>
      <w:bookmarkStart w:id="27" w:name="_Toc5254"/>
      <w:r>
        <w:rPr>
          <w:rFonts w:hint="eastAsia"/>
        </w:rPr>
        <w:t>第二部分</w:t>
      </w:r>
      <w:bookmarkEnd w:id="26"/>
      <w:r>
        <w:rPr>
          <w:rFonts w:hint="eastAsia"/>
        </w:rPr>
        <w:t xml:space="preserve">  采购需求书</w:t>
      </w:r>
      <w:bookmarkEnd w:id="27"/>
    </w:p>
    <w:p>
      <w:pPr>
        <w:pStyle w:val="3"/>
        <w:spacing w:line="560" w:lineRule="exact"/>
      </w:pPr>
      <w:bookmarkStart w:id="28" w:name="_Toc179"/>
      <w:r>
        <w:rPr>
          <w:rFonts w:hint="eastAsia"/>
        </w:rPr>
        <w:t>一、服务要求</w:t>
      </w:r>
      <w:bookmarkEnd w:id="28"/>
    </w:p>
    <w:p>
      <w:pPr>
        <w:ind w:firstLine="560" w:firstLineChars="200"/>
        <w:rPr>
          <w:rFonts w:ascii="宋体" w:hAnsi="宋体"/>
          <w:sz w:val="28"/>
          <w:szCs w:val="28"/>
        </w:rPr>
      </w:pPr>
      <w:bookmarkStart w:id="29" w:name="_Toc60236709"/>
      <w:bookmarkStart w:id="30" w:name="_Toc17787"/>
      <w:r>
        <w:rPr>
          <w:rFonts w:hint="eastAsia" w:ascii="宋体" w:hAnsi="宋体"/>
          <w:sz w:val="28"/>
          <w:szCs w:val="28"/>
        </w:rPr>
        <w:t>（一）人员要求：</w:t>
      </w:r>
    </w:p>
    <w:p>
      <w:pPr>
        <w:ind w:firstLine="560" w:firstLineChars="200"/>
        <w:rPr>
          <w:rFonts w:ascii="宋体" w:hAnsi="宋体"/>
          <w:sz w:val="28"/>
          <w:szCs w:val="28"/>
        </w:rPr>
      </w:pPr>
      <w:r>
        <w:rPr>
          <w:rFonts w:hint="eastAsia" w:ascii="宋体" w:hAnsi="宋体"/>
          <w:sz w:val="28"/>
          <w:szCs w:val="28"/>
        </w:rPr>
        <w:t>★报价人必须提供规范的、高水准的配套服务，包括指定一位具有一定服务资格和服务经验的项目负责人，为采购方提供成交后续工作对接事宜，需全程在现场跟进。</w:t>
      </w:r>
    </w:p>
    <w:p>
      <w:pPr>
        <w:ind w:firstLine="560" w:firstLineChars="200"/>
        <w:rPr>
          <w:rFonts w:ascii="宋体" w:hAnsi="宋体"/>
          <w:sz w:val="28"/>
          <w:szCs w:val="28"/>
        </w:rPr>
      </w:pPr>
      <w:r>
        <w:rPr>
          <w:rFonts w:hint="eastAsia" w:ascii="宋体" w:hAnsi="宋体"/>
          <w:sz w:val="28"/>
          <w:szCs w:val="28"/>
        </w:rPr>
        <w:t>（二）疗休养地点及住宿要求：</w:t>
      </w:r>
    </w:p>
    <w:p>
      <w:pPr>
        <w:ind w:firstLine="560" w:firstLineChars="200"/>
        <w:rPr>
          <w:rFonts w:ascii="宋体" w:hAnsi="宋体"/>
          <w:sz w:val="28"/>
          <w:szCs w:val="28"/>
        </w:rPr>
      </w:pPr>
      <w:r>
        <w:rPr>
          <w:rFonts w:hint="eastAsia" w:ascii="宋体" w:hAnsi="宋体"/>
          <w:sz w:val="28"/>
          <w:szCs w:val="28"/>
        </w:rPr>
        <w:t>1. ★疗休养场地应为广东省内县域、 圩镇、乡村中集自然山水风光，集生态，度假，养生一体，拥有可同时接待100人以上的住宿餐饮、文娱、休闲康养等多样态疗休养服务的工人疗养院和省级职工疗休养基地、综合性酒店。</w:t>
      </w:r>
    </w:p>
    <w:p>
      <w:pPr>
        <w:ind w:firstLine="560" w:firstLineChars="200"/>
        <w:rPr>
          <w:rFonts w:ascii="宋体" w:hAnsi="宋体"/>
          <w:sz w:val="28"/>
          <w:szCs w:val="28"/>
        </w:rPr>
      </w:pPr>
      <w:r>
        <w:rPr>
          <w:rFonts w:hint="eastAsia" w:ascii="宋体" w:hAnsi="宋体"/>
          <w:sz w:val="28"/>
          <w:szCs w:val="28"/>
        </w:rPr>
        <w:t>2. ★行程策划</w:t>
      </w:r>
      <w:r>
        <w:rPr>
          <w:rFonts w:ascii="宋体" w:hAnsi="宋体"/>
          <w:sz w:val="28"/>
          <w:szCs w:val="28"/>
        </w:rPr>
        <w:t>中</w:t>
      </w:r>
      <w:r>
        <w:rPr>
          <w:rFonts w:hint="eastAsia" w:ascii="宋体" w:hAnsi="宋体"/>
          <w:sz w:val="28"/>
          <w:szCs w:val="28"/>
        </w:rPr>
        <w:t>，外出</w:t>
      </w:r>
      <w:r>
        <w:rPr>
          <w:rFonts w:ascii="宋体" w:hAnsi="宋体"/>
          <w:sz w:val="28"/>
          <w:szCs w:val="28"/>
        </w:rPr>
        <w:t>收费景点控制在 3 个以内， 外出参观时间原则上不超过总时长的 1/3， 参观学习费用不超过总费用（不含交通费） 的 20%。</w:t>
      </w:r>
    </w:p>
    <w:p>
      <w:pPr>
        <w:ind w:firstLine="560" w:firstLineChars="200"/>
        <w:rPr>
          <w:rFonts w:ascii="宋体" w:hAnsi="宋体"/>
          <w:sz w:val="28"/>
          <w:szCs w:val="28"/>
        </w:rPr>
      </w:pPr>
      <w:r>
        <w:rPr>
          <w:rFonts w:hint="eastAsia" w:ascii="宋体" w:hAnsi="宋体"/>
          <w:sz w:val="28"/>
          <w:szCs w:val="28"/>
        </w:rPr>
        <w:t>2.住宿为双人间，全部有外窗和观景阳台。</w:t>
      </w:r>
    </w:p>
    <w:p>
      <w:pPr>
        <w:ind w:firstLine="560" w:firstLineChars="200"/>
        <w:rPr>
          <w:rFonts w:ascii="宋体" w:hAnsi="宋体"/>
          <w:sz w:val="28"/>
          <w:szCs w:val="28"/>
        </w:rPr>
      </w:pPr>
      <w:r>
        <w:rPr>
          <w:rFonts w:hint="eastAsia" w:ascii="宋体" w:hAnsi="宋体"/>
          <w:sz w:val="28"/>
          <w:szCs w:val="28"/>
        </w:rPr>
        <w:t>3.住宿期间每天更换床上用品及补充消耗品（瓶装纯净水至少每天每间2瓶）。</w:t>
      </w:r>
    </w:p>
    <w:p>
      <w:pPr>
        <w:ind w:firstLine="560" w:firstLineChars="200"/>
        <w:rPr>
          <w:rFonts w:ascii="宋体" w:hAnsi="宋体"/>
          <w:sz w:val="28"/>
          <w:szCs w:val="28"/>
        </w:rPr>
      </w:pPr>
      <w:r>
        <w:rPr>
          <w:rFonts w:hint="eastAsia" w:ascii="宋体" w:hAnsi="宋体"/>
          <w:sz w:val="28"/>
          <w:szCs w:val="28"/>
        </w:rPr>
        <w:t>（三）餐饮要求：</w:t>
      </w:r>
    </w:p>
    <w:p>
      <w:pPr>
        <w:ind w:firstLine="560" w:firstLineChars="200"/>
        <w:rPr>
          <w:rFonts w:ascii="宋体" w:hAnsi="宋体"/>
          <w:sz w:val="28"/>
          <w:szCs w:val="28"/>
        </w:rPr>
      </w:pPr>
      <w:r>
        <w:rPr>
          <w:rFonts w:hint="eastAsia" w:ascii="宋体" w:hAnsi="宋体"/>
          <w:sz w:val="28"/>
          <w:szCs w:val="28"/>
        </w:rPr>
        <w:t>1.要求用餐的餐饮场所需符合最新国家卫生标准和最新行业标准。</w:t>
      </w:r>
    </w:p>
    <w:p>
      <w:pPr>
        <w:ind w:firstLine="560" w:firstLineChars="200"/>
        <w:rPr>
          <w:rFonts w:ascii="宋体" w:hAnsi="宋体"/>
          <w:sz w:val="28"/>
          <w:szCs w:val="28"/>
        </w:rPr>
      </w:pPr>
      <w:r>
        <w:rPr>
          <w:rFonts w:hint="eastAsia" w:ascii="宋体" w:hAnsi="宋体"/>
          <w:sz w:val="28"/>
          <w:szCs w:val="28"/>
        </w:rPr>
        <w:t>2.要求用餐场所干净、整洁、无异味，且食品卫生安全等级为B级或以上等级。</w:t>
      </w:r>
    </w:p>
    <w:p>
      <w:pPr>
        <w:ind w:firstLine="560" w:firstLineChars="200"/>
        <w:rPr>
          <w:rFonts w:ascii="宋体" w:hAnsi="宋体"/>
          <w:sz w:val="28"/>
          <w:szCs w:val="28"/>
        </w:rPr>
      </w:pPr>
      <w:r>
        <w:rPr>
          <w:rFonts w:hint="eastAsia" w:ascii="宋体" w:hAnsi="宋体"/>
          <w:sz w:val="28"/>
          <w:szCs w:val="28"/>
        </w:rPr>
        <w:t>3.用餐标准：5正2早,正餐十人一围，十菜一汤（五荤五素）和餐后水果；早餐以自助餐形式。</w:t>
      </w:r>
    </w:p>
    <w:p>
      <w:pPr>
        <w:ind w:firstLine="560" w:firstLineChars="200"/>
        <w:rPr>
          <w:rFonts w:ascii="宋体" w:hAnsi="宋体"/>
          <w:sz w:val="28"/>
          <w:szCs w:val="28"/>
        </w:rPr>
      </w:pPr>
      <w:r>
        <w:rPr>
          <w:rFonts w:hint="eastAsia" w:ascii="宋体" w:hAnsi="宋体"/>
          <w:sz w:val="28"/>
          <w:szCs w:val="28"/>
        </w:rPr>
        <w:t>（四）交通要求：</w:t>
      </w:r>
    </w:p>
    <w:p>
      <w:pPr>
        <w:ind w:firstLine="560" w:firstLineChars="200"/>
        <w:rPr>
          <w:rFonts w:ascii="宋体" w:hAnsi="宋体"/>
          <w:sz w:val="28"/>
          <w:szCs w:val="28"/>
        </w:rPr>
      </w:pPr>
      <w:r>
        <w:rPr>
          <w:rFonts w:hint="eastAsia" w:ascii="宋体" w:hAnsi="宋体"/>
          <w:sz w:val="28"/>
          <w:szCs w:val="28"/>
        </w:rPr>
        <w:t>1.要求根据采购方需求，按时前往指定地点接送，科学合理，减少路途消耗时间。</w:t>
      </w:r>
    </w:p>
    <w:p>
      <w:pPr>
        <w:ind w:firstLine="560" w:firstLineChars="200"/>
        <w:rPr>
          <w:rFonts w:ascii="宋体" w:hAnsi="宋体"/>
          <w:sz w:val="28"/>
          <w:szCs w:val="28"/>
        </w:rPr>
      </w:pPr>
      <w:r>
        <w:rPr>
          <w:rFonts w:hint="eastAsia" w:ascii="宋体" w:hAnsi="宋体"/>
          <w:sz w:val="28"/>
          <w:szCs w:val="28"/>
        </w:rPr>
        <w:t>2.要求提供安全、舒适、整洁的空调大巴（需保证每座配备安全带且均可使用）。</w:t>
      </w:r>
    </w:p>
    <w:p>
      <w:pPr>
        <w:ind w:firstLine="560" w:firstLineChars="200"/>
        <w:rPr>
          <w:rFonts w:ascii="宋体" w:hAnsi="宋体"/>
          <w:sz w:val="28"/>
          <w:szCs w:val="28"/>
        </w:rPr>
      </w:pPr>
      <w:r>
        <w:rPr>
          <w:rFonts w:hint="eastAsia" w:ascii="宋体" w:hAnsi="宋体"/>
          <w:sz w:val="28"/>
          <w:szCs w:val="28"/>
        </w:rPr>
        <w:t>3.要求大巴车龄为5年以内。</w:t>
      </w:r>
    </w:p>
    <w:p>
      <w:pPr>
        <w:ind w:firstLine="560" w:firstLineChars="200"/>
        <w:rPr>
          <w:rFonts w:ascii="宋体" w:hAnsi="宋体"/>
          <w:sz w:val="28"/>
          <w:szCs w:val="28"/>
        </w:rPr>
      </w:pPr>
      <w:r>
        <w:rPr>
          <w:rFonts w:hint="eastAsia" w:ascii="宋体" w:hAnsi="宋体"/>
          <w:sz w:val="28"/>
          <w:szCs w:val="28"/>
        </w:rPr>
        <w:t>4.为了保证乘坐舒适，需控制每辆大巴的实际座位数比实际乘坐人数略有富余。</w:t>
      </w:r>
    </w:p>
    <w:p>
      <w:pPr>
        <w:ind w:firstLine="560" w:firstLineChars="200"/>
        <w:rPr>
          <w:rFonts w:ascii="宋体" w:hAnsi="宋体"/>
          <w:sz w:val="28"/>
          <w:szCs w:val="28"/>
        </w:rPr>
      </w:pPr>
      <w:r>
        <w:rPr>
          <w:rFonts w:hint="eastAsia" w:ascii="宋体" w:hAnsi="宋体"/>
          <w:sz w:val="28"/>
          <w:szCs w:val="28"/>
        </w:rPr>
        <w:t>（五）风险管理要求：</w:t>
      </w:r>
    </w:p>
    <w:p>
      <w:pPr>
        <w:ind w:firstLine="560" w:firstLineChars="200"/>
        <w:rPr>
          <w:rFonts w:ascii="宋体" w:hAnsi="宋体"/>
          <w:sz w:val="28"/>
          <w:szCs w:val="28"/>
        </w:rPr>
      </w:pPr>
      <w:r>
        <w:rPr>
          <w:rFonts w:hint="eastAsia" w:ascii="宋体" w:hAnsi="宋体"/>
          <w:sz w:val="28"/>
          <w:szCs w:val="28"/>
        </w:rPr>
        <w:t>1.★要求购买活动期间旅游意外险（赔付金额不低于30万/人标准）。</w:t>
      </w:r>
    </w:p>
    <w:p>
      <w:pPr>
        <w:ind w:firstLine="560" w:firstLineChars="200"/>
        <w:rPr>
          <w:rFonts w:ascii="宋体" w:hAnsi="宋体"/>
          <w:sz w:val="28"/>
          <w:szCs w:val="28"/>
        </w:rPr>
      </w:pPr>
      <w:r>
        <w:rPr>
          <w:rFonts w:hint="eastAsia" w:ascii="宋体" w:hAnsi="宋体"/>
          <w:sz w:val="28"/>
          <w:szCs w:val="28"/>
        </w:rPr>
        <w:t>2.有完善的风险管理和应急预案，确保人身安全。</w:t>
      </w:r>
    </w:p>
    <w:p>
      <w:pPr>
        <w:ind w:firstLine="560" w:firstLineChars="200"/>
        <w:rPr>
          <w:rFonts w:ascii="宋体" w:hAnsi="宋体"/>
          <w:sz w:val="28"/>
          <w:szCs w:val="28"/>
        </w:rPr>
      </w:pPr>
      <w:r>
        <w:rPr>
          <w:rFonts w:hint="eastAsia" w:ascii="宋体" w:hAnsi="宋体"/>
          <w:sz w:val="28"/>
          <w:szCs w:val="28"/>
        </w:rPr>
        <w:t>（六）配套设施：酒店配套有全天免费使用的健身运动中心、游泳池等。</w:t>
      </w:r>
    </w:p>
    <w:p>
      <w:pPr>
        <w:ind w:firstLine="560" w:firstLineChars="200"/>
        <w:rPr>
          <w:rFonts w:ascii="宋体" w:hAnsi="宋体"/>
          <w:sz w:val="28"/>
          <w:szCs w:val="28"/>
        </w:rPr>
      </w:pPr>
      <w:r>
        <w:rPr>
          <w:rFonts w:hint="eastAsia" w:ascii="宋体" w:hAnsi="宋体"/>
          <w:sz w:val="28"/>
          <w:szCs w:val="28"/>
        </w:rPr>
        <w:t>（七）供应商须注明服务内容，一次的接待能力及最低接待人数要求，相关限制及安全提示等内容。行程中不得安排购物环节。</w:t>
      </w:r>
    </w:p>
    <w:p>
      <w:pPr>
        <w:ind w:firstLine="560" w:firstLineChars="200"/>
        <w:rPr>
          <w:rFonts w:ascii="宋体" w:hAnsi="宋体"/>
          <w:sz w:val="28"/>
          <w:szCs w:val="28"/>
        </w:rPr>
      </w:pPr>
      <w:r>
        <w:rPr>
          <w:rFonts w:hint="eastAsia" w:ascii="宋体" w:hAnsi="宋体"/>
          <w:sz w:val="28"/>
          <w:szCs w:val="28"/>
        </w:rPr>
        <w:t>（八）如采购方因疫情原因等不可抗力导致疗休养活动取消，双方互不违约。</w:t>
      </w:r>
    </w:p>
    <w:p>
      <w:pPr>
        <w:rPr>
          <w:rFonts w:ascii="宋体" w:hAnsi="宋体"/>
          <w:sz w:val="28"/>
          <w:szCs w:val="28"/>
        </w:rPr>
      </w:pPr>
    </w:p>
    <w:p>
      <w:pPr>
        <w:spacing w:line="560" w:lineRule="exact"/>
        <w:ind w:firstLine="560" w:firstLineChars="200"/>
        <w:rPr>
          <w:rFonts w:ascii="宋体" w:hAnsi="宋体"/>
          <w:sz w:val="32"/>
          <w:szCs w:val="32"/>
        </w:rPr>
      </w:pPr>
      <w:r>
        <w:rPr>
          <w:rFonts w:hint="eastAsia" w:ascii="宋体" w:hAnsi="宋体"/>
          <w:sz w:val="28"/>
          <w:szCs w:val="28"/>
        </w:rPr>
        <w:t>注：产品技术指标/规格型号中带“★”的为“实质性响应指标”。</w:t>
      </w:r>
      <w:r>
        <w:rPr>
          <w:rFonts w:hint="eastAsia" w:ascii="宋体" w:hAnsi="宋体"/>
          <w:kern w:val="0"/>
          <w:sz w:val="28"/>
          <w:szCs w:val="28"/>
        </w:rPr>
        <w:t>“实质性响应指标”不允许“负偏离”，否则报价无效；“非实质性响应指标”允许“负偏离”，但不能超出偏离范围，否则报价无效</w:t>
      </w:r>
    </w:p>
    <w:p/>
    <w:p>
      <w:pPr>
        <w:pStyle w:val="3"/>
        <w:spacing w:line="560" w:lineRule="exact"/>
        <w:rPr>
          <w:rFonts w:ascii="宋体" w:hAnsi="宋体" w:cs="宋体"/>
          <w:sz w:val="24"/>
        </w:rPr>
      </w:pPr>
      <w:r>
        <w:rPr>
          <w:rFonts w:hint="eastAsia"/>
        </w:rPr>
        <w:t>二、商务要求</w:t>
      </w:r>
      <w:bookmarkEnd w:id="29"/>
      <w:bookmarkEnd w:id="30"/>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(一)服务时间：合同签订后至2024年9月1日前（以实际合同签订时间为准）。疗休养活动出行时间计划：</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第一批：7月8-10日（周一至周三），周一上午8:00佛山校区出发，周三傍晚18:00前回到佛山校区。</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第二批：7月15-17日（周一至周三），周一上午8:00佛山校区出发，周三傍晚18:00前回到佛山校区。</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（二）服务地点：合同约定地点及疗休养地点。</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（三）在服务期间，需严格遵守采购人的有关制度。</w:t>
      </w:r>
    </w:p>
    <w:p>
      <w:pPr>
        <w:adjustRightInd w:val="0"/>
        <w:snapToGrid w:val="0"/>
        <w:spacing w:line="560" w:lineRule="exact"/>
        <w:ind w:firstLine="638" w:firstLineChars="228"/>
        <w:jc w:val="left"/>
        <w:rPr>
          <w:rFonts w:ascii="宋体" w:hAnsi="宋体" w:cs="宋体"/>
          <w:bCs/>
          <w:sz w:val="28"/>
          <w:szCs w:val="28"/>
        </w:rPr>
      </w:pPr>
      <w:r>
        <w:rPr>
          <w:rFonts w:hint="eastAsia" w:ascii="宋体" w:hAnsi="宋体" w:cs="宋体"/>
          <w:bCs/>
          <w:sz w:val="28"/>
          <w:szCs w:val="28"/>
        </w:rPr>
        <w:t>（四）付款方式 ：每批次疗休养结束后以实际人数结算，若无投诉或保险责任处理的，经双方核对确认结算金额无误后，中标方出具正规发票，采购方于30个工作日内（采购方寒暑假期间为非工作日，需要顺延）采取对公转账的方式支付全部费用；若产生投诉或需要保险责任处理的，待处理完成后，再启动上述付款程序；若由于中标单位原因导致服务终止，所有损失由中标单位承担。</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1" w:name="_Toc13543213"/>
      <w:bookmarkStart w:id="32" w:name="_Toc60236710"/>
      <w:r>
        <w:rPr>
          <w:rFonts w:hint="eastAsia"/>
        </w:rPr>
        <w:br w:type="page"/>
      </w:r>
      <w:bookmarkEnd w:id="31"/>
      <w:bookmarkEnd w:id="32"/>
    </w:p>
    <w:p>
      <w:pPr>
        <w:pStyle w:val="2"/>
      </w:pPr>
      <w:bookmarkStart w:id="33" w:name="_Toc14310"/>
      <w:r>
        <w:rPr>
          <w:rFonts w:hint="eastAsia"/>
        </w:rPr>
        <w:t>第三部分  报价文件格式</w:t>
      </w:r>
      <w:bookmarkEnd w:id="33"/>
    </w:p>
    <w:p>
      <w:pPr>
        <w:jc w:val="center"/>
        <w:rPr>
          <w:sz w:val="18"/>
          <w:szCs w:val="18"/>
        </w:rPr>
      </w:pPr>
      <w:r>
        <w:rPr>
          <w:rFonts w:hint="eastAsia"/>
          <w:b/>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pStyle w:val="13"/>
        <w:jc w:val="left"/>
        <w:rPr>
          <w:rFonts w:hAnsi="宋体" w:cs="宋体"/>
          <w:bCs/>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szCs w:val="21"/>
        </w:rPr>
      </w:pPr>
      <w:r>
        <w:rPr>
          <w:rFonts w:hint="eastAsia" w:ascii="宋体" w:hAnsi="宋体"/>
          <w:sz w:val="32"/>
          <w:szCs w:val="32"/>
        </w:rPr>
        <w:t>报价人单位（盖章）：</w:t>
      </w:r>
    </w:p>
    <w:p>
      <w:pPr>
        <w:rPr>
          <w:rFonts w:ascii="宋体" w:hAnsi="宋体" w:cs="宋体"/>
          <w:bCs/>
          <w:szCs w:val="21"/>
        </w:rPr>
      </w:pPr>
      <w:r>
        <w:rPr>
          <w:rFonts w:hint="eastAsia" w:ascii="宋体" w:hAnsi="宋体" w:cs="宋体"/>
          <w:bCs/>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D1E85D-470C-4F43-BC3F-A013AB6125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A70744-8C59-4226-AB6A-00458F323C21}"/>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E1908C4F-1F11-4E92-9781-AC66D9E5AC81}"/>
  </w:font>
  <w:font w:name="楷体_GB2312">
    <w:altName w:val="楷体"/>
    <w:panose1 w:val="00000000000000000000"/>
    <w:charset w:val="86"/>
    <w:family w:val="modern"/>
    <w:pitch w:val="default"/>
    <w:sig w:usb0="00000000" w:usb1="00000000" w:usb2="00000000" w:usb3="00000000" w:csb0="00040000" w:csb1="00000000"/>
    <w:embedRegular r:id="rId4" w:fontKey="{E6452BE5-31F0-4C05-A44C-5266B9487A73}"/>
  </w:font>
  <w:font w:name="楷体">
    <w:panose1 w:val="02010609060101010101"/>
    <w:charset w:val="86"/>
    <w:family w:val="modern"/>
    <w:pitch w:val="default"/>
    <w:sig w:usb0="800002BF" w:usb1="38CF7CFA" w:usb2="00000016" w:usb3="00000000" w:csb0="00040001" w:csb1="00000000"/>
    <w:embedRegular r:id="rId5" w:fontKey="{5C2B7750-0C09-43E1-991E-6D34C30C6D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6"/>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ObTETECAABTBAAADgAAAGRycy9lMm9Eb2MueG1srVTNbhMxEL4j&#10;8Q6W72STtgklyqYKjYKQKlopIM6O15tdyX+yneyGB4A34MSFO8+V5+CzN5uiwqEHLs7szPgbf9/M&#10;ZHbTKkn2wvna6JyOBkNKhOamqPU2p58+rl5dU+ID0wWTRoucHoSnN/OXL2aNnYoLUxlZCEcAov20&#10;sTmtQrDTLPO8Eor5gbFCI1gap1jAp9tmhWMN0JXMLobDSdYYV1hnuPAe3mUXpCdE9xxAU5Y1F0vD&#10;d0ro0KE6IVkAJV/V1tN5em1ZCh7uy9KLQGROwTSkE0Vgb+KZzWdsunXMVjU/PYE95wlPOClWaxQ9&#10;Qy1ZYGTn6r+gVM2d8aYMA25U1hFJioDFaPhEm3XFrEhcILW3Z9H9/4PlH/YPjtRFTi8p0Uyh4cfv&#10;344/fh1/fiWTKE9j/RRZa4u80L41LYam93s4I+u2dCr+gg9BHOIezuKKNhAO5xV6fz2mhCM0unr9&#10;ZjyOKNnjZet8eCeMItHIqUPvkqRsf+dDl9qnxFrarGopU/+kJk1OJ5fj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Ezm0xE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EzMRty8CAABTBAAADgAAAGRycy9lMm9Eb2MueG1srVTNjtMwEL4j&#10;8Q6W7zTpdruCqOmqbFWEVLErFcTZdZwmkv9ku03KA8AbcOLCnefqc/A5Sbto4bAHLu4Xz/ibmW9m&#10;OrttlSQH4XxtdE7Ho5QSobkpar3L6aePq1evKfGB6YJJo0VOj8LT2/nLF7PGZuLKVEYWwhGQaJ81&#10;NqdVCDZLEs8roZgfGSs0jKVxigV8ul1SONaAXcnkKk1vksa4wjrDhfe4XfZGOjC65xCasqy5WBq+&#10;V0KHntUJyQJK8lVtPZ132Zal4OG+LL0IROYUlYbuRBDgbTyT+YxlO8dsVfMhBfacFJ7UpFitEfRC&#10;tWSBkb2r/6JSNXfGmzKMuFFJX0inCKoYp0+02VTMiq4WSO3tRXT//2j5h8ODI3WBSaBEM4WGn75/&#10;O/34dfr5lVxHeRrrM3htLPxC+9a00XW497iMVbelU/EX9RDYIe7xIq5oA+Hx0fj6zWRKCYdpPJ2k&#10;wGBJHh9b58M7YRSJIKcOveskZYe1D73r2SXG0mZVS4l7lklNmpzeTK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ATMxG3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eXDvQDACAABTBAAADgAAAGRycy9lMm9Eb2MueG1srVRLjhMxEN0j&#10;cQfLe9JJmAwhSmcUJgpCipiRAmLtuN3plvyT7aQ7HABuwGo27DlXzsFzfzJoYDELNk51VfmV36uq&#10;zG9qJclROF8andLRYEiJ0Nxkpd6n9POn9aspJT4wnTFptEjpSXh6s3j5Yl7ZmRibwshMOAIQ7WeV&#10;TWkRgp0lieeFUMwPjBUawdw4xQI+3T7JHKuArmQyHg6vk8q4zDrDhffwrtog7RDdcwBNnpdcrAw/&#10;KKFDi+qEZAGUfFFaTxfNa/Nc8HCX514EIlMKpqE5UQT2Lp7JYs5me8dsUfLuCew5T3jCSbFSo+gF&#10;asUCIwdX/gWlSu6MN3kYcKOSlkijCFiMhk+02RbMioYLpPb2Irr/f7D84/HekTJL6ZgSzRQafv7x&#10;/fzw6/zzG5lGeSrrZ8jaWuSF+p2pMTS938MZWde5U/EXfAjiEPd0EVfUgXA4r9D76YQSjtDo6s3b&#10;ySSiJI+XrfPhvTCKRCOlDr1rJGXHjQ9tap8Sa2mzLqVs+ic1qVJ6/Xoy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eXDvQ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BOPJS7LgIAAFIEAAAOAAAAZHJzL2Uyb0RvYy54bWytVM2O0zAQviPx&#10;DpbvNG2hq6VquipbFSFV7EoFcXYdp4nkP9luk/IA8AacuOyd5+pz8NlpumjhsAcu7sQz/ma+b2Y6&#10;u2mVJAfhfG10TkeDISVCc1PUepfTz59Wr64p8YHpgkmjRU6PwtOb+csXs8ZOxdhURhbCEYBoP21s&#10;TqsQ7DTLPK+EYn5grNBwlsYpFvDpdlnhWAN0JbPxcHiVNcYV1hkuvMftsnPSM6J7DqApy5qLpeF7&#10;JXToUJ2QLICSr2rr6TxVW5aCh7uy9CIQmVMwDelEEtjbeGbzGZvuHLNVzc8lsOeU8ISTYrVG0gvU&#10;kgVG9q7+C0rV3BlvyjDgRmUdkaQIWIyGT7TZVMyKxAVSe3sR3f8/WP7xcO9IXeT0ihLNFBp++vH9&#10;9PPX6eEbGUd5GuuniNpYxIX2nWkxNP29x2Vk3ZZOxV/wIfBD3ONFXNEGwnE5uX4zhoPDM7oavR1P&#10;Ikj2+NY6H94Lo0g0curQuqQoO6x96EL7kJhKm1UtZWqf1KRB/a8nw/Tg4gG41MgRGXSVRiu02/ZM&#10;a2uKI1g5042Ft3xVI/ma+XDPHOYA9WJTwh2OUhokMWeLksq4r/+6j/FoD7yUNJirnGqsESXyg0bb&#10;ABh6w/XGtjf0Xt0aDOoIG2h5MvHABdmbpTPqC9ZnEXPAxTRHppyG3rwN3Wxj/bhYLFIQBs2ysNYb&#10;yyN0FM/bxT5AwKRrFKVT4qwVRi115rwWcZb//E5R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TjyUuy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4F13"/>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CE2"/>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95F"/>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7B3"/>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984"/>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2A"/>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2AC9"/>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75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0A8"/>
    <w:rsid w:val="00385B47"/>
    <w:rsid w:val="00385E96"/>
    <w:rsid w:val="00387AF6"/>
    <w:rsid w:val="00387CDE"/>
    <w:rsid w:val="0039041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3E14"/>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47EAC"/>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663"/>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2AF"/>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9FC"/>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23A"/>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67417"/>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AB6"/>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277"/>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2C6"/>
    <w:rsid w:val="00765814"/>
    <w:rsid w:val="00765871"/>
    <w:rsid w:val="00765BE8"/>
    <w:rsid w:val="00765C07"/>
    <w:rsid w:val="00766322"/>
    <w:rsid w:val="0076670F"/>
    <w:rsid w:val="0076781D"/>
    <w:rsid w:val="00770316"/>
    <w:rsid w:val="00770527"/>
    <w:rsid w:val="007712DF"/>
    <w:rsid w:val="00771E96"/>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18A6"/>
    <w:rsid w:val="007B2732"/>
    <w:rsid w:val="007B2BE8"/>
    <w:rsid w:val="007B372D"/>
    <w:rsid w:val="007B3891"/>
    <w:rsid w:val="007B588C"/>
    <w:rsid w:val="007B6384"/>
    <w:rsid w:val="007B72EA"/>
    <w:rsid w:val="007B752C"/>
    <w:rsid w:val="007B7A7B"/>
    <w:rsid w:val="007C08AF"/>
    <w:rsid w:val="007C09F6"/>
    <w:rsid w:val="007C09FD"/>
    <w:rsid w:val="007C1271"/>
    <w:rsid w:val="007C12C2"/>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5A02"/>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70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B80"/>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2FB7"/>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4C0B"/>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606C"/>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982"/>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0F17"/>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1D51"/>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091A"/>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6D12"/>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8B7"/>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22D"/>
    <w:rsid w:val="00B73593"/>
    <w:rsid w:val="00B747A8"/>
    <w:rsid w:val="00B7538F"/>
    <w:rsid w:val="00B75E74"/>
    <w:rsid w:val="00B778F2"/>
    <w:rsid w:val="00B77CBC"/>
    <w:rsid w:val="00B805C6"/>
    <w:rsid w:val="00B80702"/>
    <w:rsid w:val="00B80956"/>
    <w:rsid w:val="00B81091"/>
    <w:rsid w:val="00B810B9"/>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79E"/>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8D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9BE"/>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5577"/>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925"/>
    <w:rsid w:val="00D13C21"/>
    <w:rsid w:val="00D14E7B"/>
    <w:rsid w:val="00D1601A"/>
    <w:rsid w:val="00D16511"/>
    <w:rsid w:val="00D16572"/>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24E4"/>
    <w:rsid w:val="00D535A6"/>
    <w:rsid w:val="00D5410C"/>
    <w:rsid w:val="00D55682"/>
    <w:rsid w:val="00D55DAE"/>
    <w:rsid w:val="00D56FDA"/>
    <w:rsid w:val="00D574C1"/>
    <w:rsid w:val="00D60204"/>
    <w:rsid w:val="00D62B55"/>
    <w:rsid w:val="00D637F8"/>
    <w:rsid w:val="00D6390E"/>
    <w:rsid w:val="00D6397A"/>
    <w:rsid w:val="00D652D5"/>
    <w:rsid w:val="00D657A6"/>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6F"/>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0333"/>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F3C"/>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986"/>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0CF"/>
    <w:rsid w:val="00F6633B"/>
    <w:rsid w:val="00F666E0"/>
    <w:rsid w:val="00F66E46"/>
    <w:rsid w:val="00F675BD"/>
    <w:rsid w:val="00F677E2"/>
    <w:rsid w:val="00F67FFB"/>
    <w:rsid w:val="00F717C6"/>
    <w:rsid w:val="00F71946"/>
    <w:rsid w:val="00F71A3C"/>
    <w:rsid w:val="00F729F2"/>
    <w:rsid w:val="00F736C7"/>
    <w:rsid w:val="00F7384B"/>
    <w:rsid w:val="00F74FD5"/>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2CF"/>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5C6B32"/>
    <w:rsid w:val="07654F6A"/>
    <w:rsid w:val="079E325C"/>
    <w:rsid w:val="0A2F4D76"/>
    <w:rsid w:val="0BEE41F8"/>
    <w:rsid w:val="0D0015C5"/>
    <w:rsid w:val="0E6949B3"/>
    <w:rsid w:val="0F666038"/>
    <w:rsid w:val="0FEF4AD0"/>
    <w:rsid w:val="11FA2096"/>
    <w:rsid w:val="12254861"/>
    <w:rsid w:val="12B4052F"/>
    <w:rsid w:val="12EC524A"/>
    <w:rsid w:val="12F233CC"/>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8342032"/>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A727DC"/>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9009</Words>
  <Characters>9321</Characters>
  <Lines>79</Lines>
  <Paragraphs>22</Paragraphs>
  <TotalTime>1</TotalTime>
  <ScaleCrop>false</ScaleCrop>
  <LinksUpToDate>false</LinksUpToDate>
  <CharactersWithSpaces>9901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2024-06-18T08:02:00Z</dcterms:created>
  <dc:creator>招投标中心</dc:creator>
  <cp:lastModifiedBy>吴薇</cp:lastModifiedBy>
  <cp:lastPrinted>2024-06-18T02:57:00Z</cp:lastPrinted>
  <dcterms:modified xsi:type="dcterms:W3CDTF">2024-06-18T08:22:20Z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2893AEBCD5774F7C8518CF3B778A8C55_13</vt:lpwstr>
  </property>
</Properties>
</file>