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b/>
          <w:sz w:val="36"/>
          <w:u w:val="single"/>
        </w:rPr>
        <w:t>思政教学辅助系统采购项目</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广东财经大学马克思主义学院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2022年10月31日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widowControl/>
        <w:spacing w:line="360" w:lineRule="auto"/>
        <w:ind w:firstLine="480"/>
        <w:jc w:val="left"/>
        <w:rPr>
          <w:rFonts w:ascii="宋体" w:hAnsi="宋体" w:cs="微软雅黑"/>
          <w:sz w:val="28"/>
          <w:szCs w:val="28"/>
        </w:rPr>
      </w:pPr>
      <w:r>
        <w:rPr>
          <w:rFonts w:hint="eastAsia" w:ascii="宋体" w:hAnsi="宋体" w:cs="微软雅黑"/>
          <w:sz w:val="28"/>
          <w:szCs w:val="28"/>
        </w:rPr>
        <w:t>2018年4月，教育部印发了《新时代高校思想政治理论课教学工作基本要求》。《要求》指出，要明确指导思想……不断提升思想政治理论课的亲和力和针对性；要坚持基本原则……坚持全流程管理，贯穿思想政治理论课课前、课中、课后各环节；要创新集体备课形式……注重运用新媒体新技术开展集体备课，提升集体备课效果；要科学运用教学方法……坚持以学生为主体，以教师为主导，加强生师互动，注重调动学生积极性主动性。《要求》进一步对新时代下的高校思想政治理论课教学做出指导和规范。</w:t>
      </w:r>
    </w:p>
    <w:p>
      <w:pPr>
        <w:widowControl/>
        <w:spacing w:line="360" w:lineRule="auto"/>
        <w:ind w:firstLine="480"/>
        <w:jc w:val="left"/>
        <w:rPr>
          <w:rFonts w:ascii="宋体" w:hAnsi="宋体" w:cs="微软雅黑"/>
          <w:sz w:val="28"/>
          <w:szCs w:val="28"/>
        </w:rPr>
      </w:pPr>
      <w:r>
        <w:rPr>
          <w:rFonts w:hint="eastAsia" w:ascii="宋体" w:hAnsi="宋体" w:cs="微软雅黑"/>
          <w:sz w:val="28"/>
          <w:szCs w:val="28"/>
        </w:rPr>
        <w:t>在这样的政策和时代背景下，为响应党和国家号召，贯彻落实各项指导文件要求，进一步推动高校思政课程建设和大学生思想政治教育发展，辅助思想政治课程课堂教学，推进我校马克思主义学院信息化建设，我校计划引入思政教学辅助系统服务。</w:t>
      </w:r>
    </w:p>
    <w:p>
      <w:pPr>
        <w:widowControl/>
        <w:spacing w:line="360" w:lineRule="auto"/>
        <w:ind w:firstLine="480"/>
        <w:jc w:val="left"/>
        <w:rPr>
          <w:rFonts w:ascii="宋体" w:hAnsi="宋体" w:cs="微软雅黑"/>
          <w:sz w:val="28"/>
          <w:szCs w:val="28"/>
        </w:rPr>
      </w:pPr>
      <w:r>
        <w:rPr>
          <w:rFonts w:hint="eastAsia" w:ascii="宋体" w:hAnsi="宋体" w:cs="微软雅黑"/>
          <w:sz w:val="28"/>
          <w:szCs w:val="28"/>
        </w:rPr>
        <w:t>服务项目应包括优质的思政教学资源服务和课堂互动系统服务，贯穿思政课程课前、课中、课后各教学环节，可实现思政课程建设、线上线下混合教学、思政无纸化考试，为我校思政教学提供完善服务。</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ascii="宋体" w:hAnsi="宋体"/>
          <w:sz w:val="28"/>
          <w:szCs w:val="28"/>
        </w:rPr>
        <w:t>9</w:t>
      </w:r>
      <w:r>
        <w:rPr>
          <w:rFonts w:hint="eastAsia" w:ascii="宋体" w:hAnsi="宋体"/>
          <w:sz w:val="28"/>
          <w:szCs w:val="28"/>
        </w:rPr>
        <w:t>万元，</w:t>
      </w:r>
      <w:r>
        <w:rPr>
          <w:rFonts w:ascii="宋体" w:hAnsi="宋体"/>
          <w:sz w:val="28"/>
          <w:szCs w:val="28"/>
        </w:rPr>
        <w:t>资金已到位。</w:t>
      </w:r>
    </w:p>
    <w:p>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（二）</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sz w:val="24"/>
              </w:rPr>
            </w:pPr>
            <w:r>
              <w:rPr>
                <w:b/>
                <w:sz w:val="24"/>
              </w:rPr>
              <w:t>评审因素</w:t>
            </w:r>
          </w:p>
        </w:tc>
        <w:tc>
          <w:tcPr>
            <w:tcW w:w="1080" w:type="dxa"/>
            <w:noWrap/>
            <w:vAlign w:val="center"/>
          </w:tcPr>
          <w:p>
            <w:pPr>
              <w:jc w:val="center"/>
              <w:rPr>
                <w:b/>
                <w:sz w:val="24"/>
              </w:rPr>
            </w:pPr>
            <w:r>
              <w:rPr>
                <w:rFonts w:hint="eastAsia"/>
                <w:b/>
                <w:sz w:val="24"/>
              </w:rPr>
              <w:t>权重</w:t>
            </w:r>
          </w:p>
        </w:tc>
        <w:tc>
          <w:tcPr>
            <w:tcW w:w="5400" w:type="dxa"/>
            <w:noWrap/>
            <w:vAlign w:val="center"/>
          </w:tcPr>
          <w:p>
            <w:pPr>
              <w:jc w:val="center"/>
              <w:rPr>
                <w:b/>
                <w:sz w:val="24"/>
              </w:rPr>
            </w:pPr>
            <w:r>
              <w:rPr>
                <w:b/>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sz w:val="24"/>
              </w:rPr>
            </w:pPr>
            <w:r>
              <w:rPr>
                <w:rFonts w:hint="eastAsia"/>
                <w:sz w:val="24"/>
              </w:rPr>
              <w:t>报价</w:t>
            </w:r>
          </w:p>
          <w:p>
            <w:pPr>
              <w:jc w:val="center"/>
              <w:rPr>
                <w:sz w:val="24"/>
              </w:rPr>
            </w:pPr>
            <w:r>
              <w:rPr>
                <w:rFonts w:hint="eastAsia"/>
                <w:sz w:val="24"/>
              </w:rPr>
              <w:t>（采用低价优先法）</w:t>
            </w:r>
          </w:p>
        </w:tc>
        <w:tc>
          <w:tcPr>
            <w:tcW w:w="1080" w:type="dxa"/>
            <w:noWrap/>
            <w:vAlign w:val="center"/>
          </w:tcPr>
          <w:p>
            <w:pPr>
              <w:jc w:val="center"/>
              <w:rPr>
                <w:sz w:val="24"/>
              </w:rPr>
            </w:pPr>
            <w:r>
              <w:rPr>
                <w:sz w:val="24"/>
              </w:rPr>
              <w:t>10</w:t>
            </w:r>
          </w:p>
        </w:tc>
        <w:tc>
          <w:tcPr>
            <w:tcW w:w="5400" w:type="dxa"/>
            <w:noWrap/>
            <w:vAlign w:val="center"/>
          </w:tcPr>
          <w:p>
            <w:pPr>
              <w:ind w:left="-2" w:leftChars="-1"/>
              <w:rPr>
                <w:sz w:val="24"/>
              </w:rPr>
            </w:pPr>
            <w:r>
              <w:rPr>
                <w:sz w:val="24"/>
              </w:rPr>
              <w:t>满足</w:t>
            </w:r>
            <w:r>
              <w:rPr>
                <w:rFonts w:hint="eastAsia"/>
                <w:sz w:val="24"/>
              </w:rPr>
              <w:t>采购书</w:t>
            </w:r>
            <w:r>
              <w:rPr>
                <w:sz w:val="24"/>
              </w:rPr>
              <w:t>要求且</w:t>
            </w:r>
            <w:r>
              <w:rPr>
                <w:rFonts w:hint="eastAsia"/>
                <w:sz w:val="24"/>
              </w:rPr>
              <w:t>最终报价</w:t>
            </w:r>
            <w:r>
              <w:rPr>
                <w:sz w:val="24"/>
              </w:rPr>
              <w:t>最低为评标基准价，其价格分为满分，其他</w:t>
            </w:r>
            <w:r>
              <w:rPr>
                <w:rFonts w:hint="eastAsia"/>
                <w:sz w:val="24"/>
              </w:rPr>
              <w:t>报价人</w:t>
            </w:r>
            <w:r>
              <w:rPr>
                <w:sz w:val="24"/>
              </w:rPr>
              <w:t>的价格分按</w:t>
            </w:r>
            <w:r>
              <w:rPr>
                <w:rFonts w:hint="eastAsia"/>
                <w:sz w:val="24"/>
              </w:rPr>
              <w:t>以</w:t>
            </w:r>
            <w:r>
              <w:rPr>
                <w:sz w:val="24"/>
              </w:rPr>
              <w:t>下公式计算：</w:t>
            </w:r>
            <w:r>
              <w:rPr>
                <w:rFonts w:hint="eastAsia"/>
                <w:sz w:val="24"/>
              </w:rPr>
              <w:t>报价</w:t>
            </w:r>
            <w:r>
              <w:rPr>
                <w:sz w:val="24"/>
              </w:rPr>
              <w:t>得分＝（评标基准价/</w:t>
            </w:r>
            <w:r>
              <w:rPr>
                <w:rFonts w:hint="eastAsia"/>
                <w:sz w:val="24"/>
              </w:rPr>
              <w:t>最终</w:t>
            </w:r>
            <w:r>
              <w:rPr>
                <w:sz w:val="24"/>
              </w:rPr>
              <w:t>报价）×10</w:t>
            </w:r>
            <w:r>
              <w:rPr>
                <w:rFonts w:hint="eastAsia"/>
                <w:sz w:val="24"/>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sz w:val="24"/>
              </w:rPr>
            </w:pPr>
            <w:r>
              <w:rPr>
                <w:sz w:val="24"/>
              </w:rPr>
              <w:t>技术</w:t>
            </w:r>
            <w:r>
              <w:rPr>
                <w:rFonts w:hint="eastAsia"/>
                <w:sz w:val="24"/>
              </w:rPr>
              <w:t>因素</w:t>
            </w:r>
          </w:p>
        </w:tc>
        <w:tc>
          <w:tcPr>
            <w:tcW w:w="1980" w:type="dxa"/>
            <w:noWrap/>
            <w:vAlign w:val="center"/>
          </w:tcPr>
          <w:p>
            <w:pPr>
              <w:jc w:val="center"/>
              <w:rPr>
                <w:sz w:val="24"/>
              </w:rPr>
            </w:pPr>
            <w:r>
              <w:rPr>
                <w:rFonts w:hint="eastAsia" w:cs="宋体" w:asciiTheme="minorEastAsia" w:hAnsiTheme="minorEastAsia"/>
                <w:sz w:val="24"/>
              </w:rPr>
              <w:t>对技术参数响应情况</w:t>
            </w:r>
          </w:p>
        </w:tc>
        <w:tc>
          <w:tcPr>
            <w:tcW w:w="1080" w:type="dxa"/>
            <w:noWrap/>
            <w:vAlign w:val="center"/>
          </w:tcPr>
          <w:p>
            <w:pPr>
              <w:jc w:val="center"/>
              <w:rPr>
                <w:sz w:val="24"/>
              </w:rPr>
            </w:pPr>
            <w:r>
              <w:rPr>
                <w:sz w:val="24"/>
              </w:rPr>
              <w:t>15</w:t>
            </w:r>
          </w:p>
        </w:tc>
        <w:tc>
          <w:tcPr>
            <w:tcW w:w="5400" w:type="dxa"/>
            <w:noWrap/>
            <w:vAlign w:val="center"/>
          </w:tcPr>
          <w:p>
            <w:pPr>
              <w:spacing w:line="360" w:lineRule="exact"/>
              <w:rPr>
                <w:rFonts w:cs="宋体" w:asciiTheme="minorEastAsia" w:hAnsiTheme="minorEastAsia"/>
                <w:sz w:val="24"/>
              </w:rPr>
            </w:pPr>
            <w:r>
              <w:rPr>
                <w:rFonts w:hint="eastAsia" w:cs="宋体" w:asciiTheme="minorEastAsia" w:hAnsiTheme="minorEastAsia"/>
                <w:sz w:val="24"/>
              </w:rPr>
              <w:t>对比有效投标人所投产品带 “▲”条款的技术规格、参数指标，结合投标人产品材料的提供情况进行评比。全部满足得</w:t>
            </w:r>
            <w:r>
              <w:rPr>
                <w:rFonts w:cs="宋体" w:asciiTheme="minorEastAsia" w:hAnsiTheme="minorEastAsia"/>
                <w:sz w:val="24"/>
              </w:rPr>
              <w:t>1</w:t>
            </w:r>
            <w:r>
              <w:rPr>
                <w:rFonts w:hint="eastAsia" w:cs="宋体" w:asciiTheme="minorEastAsia" w:hAnsiTheme="minorEastAsia"/>
                <w:sz w:val="24"/>
              </w:rPr>
              <w:t>5分。</w:t>
            </w:r>
          </w:p>
          <w:p>
            <w:pPr>
              <w:spacing w:line="360" w:lineRule="exact"/>
              <w:rPr>
                <w:rFonts w:cs="宋体" w:asciiTheme="minorEastAsia" w:hAnsiTheme="minorEastAsia"/>
                <w:sz w:val="24"/>
              </w:rPr>
            </w:pPr>
            <w:r>
              <w:rPr>
                <w:rFonts w:hint="eastAsia" w:cs="宋体" w:asciiTheme="minorEastAsia" w:hAnsiTheme="minorEastAsia"/>
                <w:sz w:val="24"/>
              </w:rPr>
              <w:t>每负偏离“★”条款的，视为无效投标文件处理；</w:t>
            </w:r>
          </w:p>
          <w:p>
            <w:pPr>
              <w:spacing w:line="360" w:lineRule="exact"/>
              <w:rPr>
                <w:rFonts w:cs="宋体" w:asciiTheme="minorEastAsia" w:hAnsiTheme="minorEastAsia"/>
                <w:sz w:val="24"/>
              </w:rPr>
            </w:pPr>
            <w:r>
              <w:rPr>
                <w:rFonts w:hint="eastAsia" w:cs="宋体" w:asciiTheme="minorEastAsia" w:hAnsiTheme="minorEastAsia"/>
                <w:sz w:val="24"/>
              </w:rPr>
              <w:t>每负偏离“▲”条款的，每个扣</w:t>
            </w:r>
            <w:r>
              <w:rPr>
                <w:rFonts w:cs="宋体" w:asciiTheme="minorEastAsia" w:hAnsiTheme="minorEastAsia"/>
                <w:sz w:val="24"/>
              </w:rPr>
              <w:t>2</w:t>
            </w:r>
            <w:r>
              <w:rPr>
                <w:rFonts w:hint="eastAsia" w:cs="宋体" w:asciiTheme="minorEastAsia" w:hAnsiTheme="minorEastAsia"/>
                <w:sz w:val="24"/>
              </w:rPr>
              <w:t>分，扣完为止。</w:t>
            </w:r>
          </w:p>
          <w:p>
            <w:pPr>
              <w:spacing w:line="360" w:lineRule="exact"/>
              <w:rPr>
                <w:rFonts w:cs="宋体" w:asciiTheme="minorEastAsia" w:hAnsiTheme="minorEastAsia"/>
                <w:sz w:val="24"/>
              </w:rPr>
            </w:pPr>
            <w:r>
              <w:rPr>
                <w:rFonts w:hint="eastAsia" w:cs="宋体" w:asciiTheme="minorEastAsia" w:hAnsiTheme="minorEastAsia"/>
                <w:sz w:val="24"/>
              </w:rPr>
              <w:t>非“▲”条款每个不满足者扣1分，扣完为止。</w:t>
            </w:r>
          </w:p>
          <w:p>
            <w:pPr>
              <w:rPr>
                <w:sz w:val="24"/>
              </w:rPr>
            </w:pPr>
            <w:r>
              <w:rPr>
                <w:rFonts w:hint="eastAsia" w:cs="宋体" w:asciiTheme="minorEastAsia" w:hAnsiTheme="minorEastAsia"/>
                <w:b/>
                <w:sz w:val="24"/>
              </w:rPr>
              <w:t>提供虚假参数及证明文件者，中标后取消中标资格。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cs="宋体" w:asciiTheme="minorEastAsia" w:hAnsiTheme="minorEastAsia"/>
                <w:sz w:val="24"/>
              </w:rPr>
              <w:t>服务方案</w:t>
            </w:r>
          </w:p>
        </w:tc>
        <w:tc>
          <w:tcPr>
            <w:tcW w:w="1080" w:type="dxa"/>
            <w:noWrap/>
            <w:vAlign w:val="center"/>
          </w:tcPr>
          <w:p>
            <w:pPr>
              <w:jc w:val="center"/>
              <w:rPr>
                <w:sz w:val="24"/>
              </w:rPr>
            </w:pPr>
            <w:r>
              <w:rPr>
                <w:sz w:val="24"/>
              </w:rPr>
              <w:t>15</w:t>
            </w:r>
          </w:p>
        </w:tc>
        <w:tc>
          <w:tcPr>
            <w:tcW w:w="5400" w:type="dxa"/>
            <w:noWrap/>
            <w:vAlign w:val="center"/>
          </w:tcPr>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优：投标人整体方案设计的先进性、合理性、完整性、可行性高，得</w:t>
            </w:r>
            <w:r>
              <w:rPr>
                <w:rFonts w:hint="eastAsia" w:cs="宋体" w:asciiTheme="minorEastAsia" w:hAnsiTheme="minorEastAsia" w:eastAsiaTheme="minorEastAsia"/>
                <w:szCs w:val="24"/>
              </w:rPr>
              <w:t>12</w:t>
            </w:r>
            <w:r>
              <w:rPr>
                <w:rFonts w:hint="eastAsia" w:cs="宋体" w:asciiTheme="minorEastAsia" w:hAnsiTheme="minorEastAsia" w:eastAsiaTheme="minorEastAsia"/>
                <w:szCs w:val="24"/>
                <w:lang w:val="zh-CN"/>
              </w:rPr>
              <w:t>-</w:t>
            </w:r>
            <w:r>
              <w:rPr>
                <w:rFonts w:cs="宋体" w:asciiTheme="minorEastAsia" w:hAnsiTheme="minorEastAsia" w:eastAsiaTheme="minorEastAsia"/>
                <w:szCs w:val="24"/>
                <w:lang w:val="zh-CN"/>
              </w:rPr>
              <w:t>1</w:t>
            </w:r>
            <w:r>
              <w:rPr>
                <w:rFonts w:hint="eastAsia" w:cs="宋体" w:asciiTheme="minorEastAsia" w:hAnsiTheme="minorEastAsia" w:eastAsiaTheme="minorEastAsia"/>
                <w:szCs w:val="24"/>
              </w:rPr>
              <w:t>5</w:t>
            </w:r>
            <w:r>
              <w:rPr>
                <w:rFonts w:hint="eastAsia" w:cs="宋体" w:asciiTheme="minorEastAsia" w:hAnsiTheme="minorEastAsia" w:eastAsiaTheme="minorEastAsia"/>
                <w:szCs w:val="24"/>
                <w:lang w:val="zh-CN"/>
              </w:rPr>
              <w:t>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良：投标人整体方案设计的先进性、合理性、完整性、可行性较高，得</w:t>
            </w:r>
            <w:r>
              <w:rPr>
                <w:rFonts w:hint="eastAsia" w:cs="宋体" w:asciiTheme="minorEastAsia" w:hAnsiTheme="minorEastAsia" w:eastAsiaTheme="minorEastAsia"/>
                <w:szCs w:val="24"/>
              </w:rPr>
              <w:t>8</w:t>
            </w:r>
            <w:r>
              <w:rPr>
                <w:rFonts w:hint="eastAsia" w:cs="宋体" w:asciiTheme="minorEastAsia" w:hAnsiTheme="minorEastAsia" w:eastAsiaTheme="minorEastAsia"/>
                <w:szCs w:val="24"/>
                <w:lang w:val="zh-CN"/>
              </w:rPr>
              <w:t>-</w:t>
            </w:r>
            <w:r>
              <w:rPr>
                <w:rFonts w:hint="eastAsia" w:cs="宋体" w:asciiTheme="minorEastAsia" w:hAnsiTheme="minorEastAsia" w:eastAsiaTheme="minorEastAsia"/>
                <w:szCs w:val="24"/>
              </w:rPr>
              <w:t>11</w:t>
            </w:r>
            <w:r>
              <w:rPr>
                <w:rFonts w:hint="eastAsia" w:cs="宋体" w:asciiTheme="minorEastAsia" w:hAnsiTheme="minorEastAsia" w:eastAsiaTheme="minorEastAsia"/>
                <w:szCs w:val="24"/>
                <w:lang w:val="zh-CN"/>
              </w:rPr>
              <w:t>分；</w:t>
            </w:r>
          </w:p>
          <w:p>
            <w:pPr>
              <w:rPr>
                <w:sz w:val="24"/>
              </w:rPr>
            </w:pPr>
            <w:r>
              <w:rPr>
                <w:rFonts w:hint="eastAsia" w:cs="宋体" w:asciiTheme="minorEastAsia" w:hAnsiTheme="minorEastAsia" w:eastAsiaTheme="minorEastAsia"/>
                <w:sz w:val="24"/>
                <w:lang w:val="zh-CN"/>
              </w:rPr>
              <w:t>一般：投标人整体方案设计的先进性、合理性、完整性、可行性一般，得</w:t>
            </w:r>
            <w:r>
              <w:rPr>
                <w:rFonts w:cs="宋体" w:asciiTheme="minorEastAsia" w:hAnsiTheme="minorEastAsia" w:eastAsiaTheme="minorEastAsia"/>
                <w:sz w:val="24"/>
                <w:lang w:val="zh-CN"/>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rFonts w:cs="宋体" w:asciiTheme="minorEastAsia" w:hAnsiTheme="minorEastAsia"/>
                <w:sz w:val="24"/>
              </w:rPr>
            </w:pPr>
            <w:r>
              <w:rPr>
                <w:rFonts w:hint="eastAsia" w:cs="宋体" w:asciiTheme="minorEastAsia" w:hAnsiTheme="minorEastAsia"/>
                <w:sz w:val="24"/>
              </w:rPr>
              <w:t>服务内容演示</w:t>
            </w:r>
          </w:p>
        </w:tc>
        <w:tc>
          <w:tcPr>
            <w:tcW w:w="1080" w:type="dxa"/>
            <w:noWrap/>
            <w:vAlign w:val="center"/>
          </w:tcPr>
          <w:p>
            <w:pPr>
              <w:jc w:val="center"/>
              <w:rPr>
                <w:sz w:val="24"/>
              </w:rPr>
            </w:pPr>
            <w:r>
              <w:rPr>
                <w:rFonts w:hint="eastAsia"/>
                <w:sz w:val="24"/>
              </w:rPr>
              <w:t>1</w:t>
            </w:r>
            <w:r>
              <w:rPr>
                <w:sz w:val="24"/>
              </w:rPr>
              <w:t>5</w:t>
            </w:r>
          </w:p>
        </w:tc>
        <w:tc>
          <w:tcPr>
            <w:tcW w:w="5400" w:type="dxa"/>
            <w:noWrap/>
            <w:vAlign w:val="center"/>
          </w:tcPr>
          <w:p>
            <w:pPr>
              <w:pStyle w:val="103"/>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必须使用真实服务内容进行演示，使用原型或PPT、视频等替代不得分。每成功演示一条得</w:t>
            </w:r>
            <w:r>
              <w:rPr>
                <w:rFonts w:asciiTheme="minorEastAsia" w:hAnsiTheme="minorEastAsia" w:eastAsiaTheme="minorEastAsia"/>
                <w:sz w:val="24"/>
                <w:szCs w:val="24"/>
              </w:rPr>
              <w:t>1</w:t>
            </w:r>
            <w:r>
              <w:rPr>
                <w:rFonts w:hint="eastAsia" w:asciiTheme="minorEastAsia" w:hAnsiTheme="minorEastAsia" w:eastAsiaTheme="minorEastAsia"/>
                <w:sz w:val="24"/>
                <w:szCs w:val="24"/>
              </w:rPr>
              <w:t>分，演示最多得</w:t>
            </w:r>
            <w:r>
              <w:rPr>
                <w:rFonts w:asciiTheme="minorEastAsia" w:hAnsiTheme="minorEastAsia" w:eastAsiaTheme="minorEastAsia"/>
                <w:sz w:val="24"/>
                <w:szCs w:val="24"/>
              </w:rPr>
              <w:t>1</w:t>
            </w:r>
            <w:r>
              <w:rPr>
                <w:rFonts w:hint="eastAsia" w:asciiTheme="minorEastAsia" w:hAnsiTheme="minorEastAsia" w:eastAsiaTheme="minorEastAsia"/>
                <w:sz w:val="24"/>
                <w:szCs w:val="24"/>
              </w:rPr>
              <w:t>5分。演示时间不得超过15分钟，电脑等演示设备投标人自带。</w:t>
            </w:r>
          </w:p>
          <w:p>
            <w:pPr>
              <w:pStyle w:val="103"/>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演示内容如下：</w:t>
            </w:r>
          </w:p>
          <w:p>
            <w:pPr>
              <w:numPr>
                <w:ilvl w:val="0"/>
                <w:numId w:val="4"/>
              </w:numPr>
              <w:rPr>
                <w:rFonts w:cs="微软雅黑" w:asciiTheme="minorEastAsia" w:hAnsiTheme="minorEastAsia"/>
                <w:sz w:val="24"/>
              </w:rPr>
            </w:pPr>
            <w:r>
              <w:rPr>
                <w:rFonts w:hint="eastAsia"/>
                <w:sz w:val="24"/>
              </w:rPr>
              <w:t>需提供至少5门思政必修课程的相关课程章节案例。（评委任意选择1门课程，演示5个章节案例）</w:t>
            </w:r>
          </w:p>
          <w:p>
            <w:pPr>
              <w:numPr>
                <w:ilvl w:val="0"/>
                <w:numId w:val="4"/>
              </w:numPr>
              <w:rPr>
                <w:rFonts w:cs="微软雅黑" w:asciiTheme="minorEastAsia" w:hAnsiTheme="minorEastAsia"/>
                <w:sz w:val="24"/>
              </w:rPr>
            </w:pPr>
            <w:r>
              <w:rPr>
                <w:rFonts w:hint="eastAsia"/>
                <w:sz w:val="24"/>
              </w:rPr>
              <w:t>需提供教师个人云存储空间（云盘），每位教师至少50G以上；支持将文件上传至云盘中，随时随地进行下载，并可以在课程建设时引用云盘的资源。</w:t>
            </w:r>
          </w:p>
          <w:p>
            <w:pPr>
              <w:numPr>
                <w:ilvl w:val="0"/>
                <w:numId w:val="4"/>
              </w:numPr>
              <w:rPr>
                <w:rFonts w:cs="微软雅黑" w:asciiTheme="minorEastAsia" w:hAnsiTheme="minorEastAsia"/>
                <w:sz w:val="24"/>
              </w:rPr>
            </w:pPr>
            <w:r>
              <w:rPr>
                <w:rFonts w:hint="eastAsia"/>
                <w:sz w:val="24"/>
              </w:rPr>
              <w:t>需提供20门以上思政拓展课程，课程与思政核心知识内容高度关联，可以供学生选修扩展视野，也可以作为教学资源灵活拆分辅助教师备课和教学。</w:t>
            </w:r>
          </w:p>
          <w:p>
            <w:pPr>
              <w:numPr>
                <w:ilvl w:val="0"/>
                <w:numId w:val="4"/>
              </w:numPr>
              <w:rPr>
                <w:rFonts w:cs="微软雅黑" w:asciiTheme="minorEastAsia" w:hAnsiTheme="minorEastAsia"/>
                <w:sz w:val="24"/>
              </w:rPr>
            </w:pPr>
            <w:r>
              <w:rPr>
                <w:rFonts w:hint="eastAsia"/>
                <w:sz w:val="24"/>
              </w:rPr>
              <w:t>需提供电子图书、期刊、报纸杂志和学术视频等教学资源服务，教师在平台上建课时可以轻松调取这些资源，插入到课程中，或分享给学生。</w:t>
            </w:r>
          </w:p>
          <w:p>
            <w:pPr>
              <w:numPr>
                <w:ilvl w:val="0"/>
                <w:numId w:val="4"/>
              </w:numPr>
              <w:rPr>
                <w:rFonts w:cs="微软雅黑" w:asciiTheme="minorEastAsia" w:hAnsiTheme="minorEastAsia"/>
                <w:sz w:val="24"/>
              </w:rPr>
            </w:pPr>
            <w:r>
              <w:rPr>
                <w:rFonts w:hint="eastAsia"/>
                <w:sz w:val="24"/>
              </w:rPr>
              <w:t>需</w:t>
            </w:r>
            <w:r>
              <w:rPr>
                <w:rFonts w:hint="eastAsia" w:cs="微软雅黑" w:asciiTheme="minorEastAsia" w:hAnsiTheme="minorEastAsia"/>
                <w:sz w:val="24"/>
              </w:rPr>
              <w:t>支持在选用的资源视频中，任意时间点插入测验：上传视频后，可以在任意时间点插入测试题，包含单选题、多选题和对错题。</w:t>
            </w:r>
          </w:p>
          <w:p>
            <w:pPr>
              <w:numPr>
                <w:ilvl w:val="0"/>
                <w:numId w:val="4"/>
              </w:numPr>
              <w:rPr>
                <w:sz w:val="24"/>
              </w:rPr>
            </w:pPr>
            <w:r>
              <w:rPr>
                <w:rFonts w:hint="eastAsia" w:cs="微软雅黑" w:asciiTheme="minorEastAsia" w:hAnsiTheme="minorEastAsia"/>
                <w:sz w:val="24"/>
              </w:rPr>
              <w:t>需支持在选用的资源视频中，任意时间点插入图片或PPT，同时支持对插入的内容在时间轴上随意拖动。插入的PPT可以任意拖动位置，并可以跟视频窗口进行切换。</w:t>
            </w:r>
          </w:p>
          <w:p>
            <w:pPr>
              <w:numPr>
                <w:ilvl w:val="0"/>
                <w:numId w:val="4"/>
              </w:numPr>
              <w:rPr>
                <w:sz w:val="24"/>
              </w:rPr>
            </w:pPr>
            <w:r>
              <w:rPr>
                <w:rFonts w:hint="eastAsia" w:cs="微软雅黑" w:asciiTheme="minorEastAsia" w:hAnsiTheme="minorEastAsia"/>
                <w:sz w:val="24"/>
              </w:rPr>
              <w:t>需支持选用的资源视频中进行虚拟剪辑，可以将视频文件按照课程的要求剪辑成适当长度。</w:t>
            </w:r>
          </w:p>
          <w:p>
            <w:pPr>
              <w:numPr>
                <w:ilvl w:val="0"/>
                <w:numId w:val="4"/>
              </w:numPr>
              <w:rPr>
                <w:sz w:val="24"/>
              </w:rPr>
            </w:pPr>
            <w:r>
              <w:rPr>
                <w:rFonts w:hint="eastAsia" w:cs="微软雅黑" w:asciiTheme="minorEastAsia" w:hAnsiTheme="minorEastAsia"/>
                <w:sz w:val="24"/>
              </w:rPr>
              <w:t>需支持学院进行课程通知的即时消息，实时发送，实时接收，并可查看通知阅读状态，已读和未读名单。</w:t>
            </w:r>
          </w:p>
          <w:p>
            <w:pPr>
              <w:numPr>
                <w:ilvl w:val="0"/>
                <w:numId w:val="4"/>
              </w:numPr>
              <w:rPr>
                <w:rFonts w:cs="微软雅黑" w:asciiTheme="minorEastAsia" w:hAnsiTheme="minorEastAsia"/>
                <w:sz w:val="24"/>
              </w:rPr>
            </w:pPr>
            <w:r>
              <w:rPr>
                <w:rFonts w:hint="eastAsia" w:cs="微软雅黑" w:asciiTheme="minorEastAsia" w:hAnsiTheme="minorEastAsia"/>
                <w:sz w:val="24"/>
              </w:rPr>
              <w:t>需提供4门以上必修思政课程的最新题库，每门课不少于800题；</w:t>
            </w:r>
          </w:p>
          <w:p>
            <w:pPr>
              <w:numPr>
                <w:ilvl w:val="0"/>
                <w:numId w:val="4"/>
              </w:numPr>
              <w:rPr>
                <w:sz w:val="24"/>
              </w:rPr>
            </w:pPr>
            <w:r>
              <w:rPr>
                <w:rFonts w:hint="eastAsia" w:cs="微软雅黑" w:asciiTheme="minorEastAsia" w:hAnsiTheme="minorEastAsia"/>
                <w:sz w:val="24"/>
              </w:rPr>
              <w:t>需支持PC端、移动端、客户端考试服务，其中专门的考试客户端，能安装到马克思主义学院指定的考场，实现无纸化考试。</w:t>
            </w:r>
          </w:p>
          <w:p>
            <w:pPr>
              <w:numPr>
                <w:ilvl w:val="0"/>
                <w:numId w:val="4"/>
              </w:numPr>
              <w:rPr>
                <w:sz w:val="24"/>
              </w:rPr>
            </w:pPr>
            <w:r>
              <w:rPr>
                <w:rFonts w:hint="eastAsia" w:cs="微软雅黑" w:asciiTheme="minorEastAsia" w:hAnsiTheme="minorEastAsia"/>
                <w:sz w:val="24"/>
              </w:rPr>
              <w:t>智能组卷：设置好组卷逻辑之后，可以从指定的题库中按照设置的组卷逻辑进行随机抽题组卷，每次组卷数量上限不得低于15套。</w:t>
            </w:r>
          </w:p>
          <w:p>
            <w:pPr>
              <w:numPr>
                <w:ilvl w:val="0"/>
                <w:numId w:val="4"/>
              </w:numPr>
              <w:rPr>
                <w:rFonts w:cs="微软雅黑" w:asciiTheme="minorEastAsia" w:hAnsiTheme="minorEastAsia"/>
                <w:sz w:val="24"/>
              </w:rPr>
            </w:pPr>
            <w:r>
              <w:rPr>
                <w:rFonts w:hint="eastAsia" w:cs="微软雅黑" w:asciiTheme="minorEastAsia" w:hAnsiTheme="minorEastAsia"/>
                <w:sz w:val="24"/>
              </w:rPr>
              <w:t>人脸识别：考生在考试前需进行人脸核对，核对通过后才能参加考试。考生的整个答题过程进行人脸抓拍，抓拍间隔管理员可自行设定，抓拍所得照片将与数据库人脸照片进行比对，比对失败次数达到设置数量时将强制交卷。</w:t>
            </w:r>
          </w:p>
          <w:p>
            <w:pPr>
              <w:numPr>
                <w:ilvl w:val="0"/>
                <w:numId w:val="4"/>
              </w:numPr>
              <w:rPr>
                <w:rFonts w:cs="微软雅黑" w:asciiTheme="minorEastAsia" w:hAnsiTheme="minorEastAsia"/>
                <w:sz w:val="24"/>
              </w:rPr>
            </w:pPr>
            <w:r>
              <w:rPr>
                <w:rFonts w:hint="eastAsia" w:cs="微软雅黑" w:asciiTheme="minorEastAsia" w:hAnsiTheme="minorEastAsia"/>
                <w:sz w:val="24"/>
              </w:rPr>
              <w:t>切屏监控：在考生考试过程中将全程监控考生的答题界面，对考生切出页面的次数与时长进行记录，达到设定值时将强制收卷。</w:t>
            </w:r>
          </w:p>
          <w:p>
            <w:pPr>
              <w:numPr>
                <w:ilvl w:val="0"/>
                <w:numId w:val="4"/>
              </w:numPr>
              <w:rPr>
                <w:rFonts w:cs="微软雅黑" w:asciiTheme="minorEastAsia" w:hAnsiTheme="minorEastAsia"/>
                <w:sz w:val="24"/>
              </w:rPr>
            </w:pPr>
            <w:r>
              <w:rPr>
                <w:rFonts w:hint="eastAsia" w:cs="微软雅黑" w:asciiTheme="minorEastAsia" w:hAnsiTheme="minorEastAsia"/>
                <w:sz w:val="24"/>
              </w:rPr>
              <w:t>监考教师：考试发布时可以指定监考教师，监考教师会收到监考任务，进行线上监考。监考教师需实时查看每位考生是否进入考试、进入时间、当前状态、IP地址、所在地区、人脸识别情况、违规次数、切屏次数等。</w:t>
            </w:r>
          </w:p>
          <w:p>
            <w:pPr>
              <w:pStyle w:val="102"/>
              <w:spacing w:before="0" w:after="0" w:line="360" w:lineRule="exact"/>
              <w:rPr>
                <w:rFonts w:cs="宋体" w:asciiTheme="minorEastAsia" w:hAnsiTheme="minorEastAsia" w:eastAsiaTheme="minorEastAsia"/>
                <w:szCs w:val="24"/>
                <w:lang w:val="zh-CN"/>
              </w:rPr>
            </w:pPr>
            <w:r>
              <w:rPr>
                <w:rFonts w:hint="eastAsia" w:cs="微软雅黑" w:asciiTheme="minorEastAsia" w:hAnsiTheme="minorEastAsia"/>
                <w:szCs w:val="24"/>
              </w:rPr>
              <w:t>查看考生详情：监考老师可随时查看每位考生的考试行为记录，详情以时间轴形式呈现，也可查看考试试卷。查看抓拍监控：将所有考生的抓拍监控画面以及人脸比对情况展示在一个页面上，便于监考老师更加直观了解每位考生当前的作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rFonts w:cs="宋体" w:asciiTheme="minorEastAsia" w:hAnsiTheme="minorEastAsia"/>
                <w:sz w:val="24"/>
              </w:rPr>
            </w:pPr>
            <w:r>
              <w:rPr>
                <w:rFonts w:hint="eastAsia" w:cs="宋体" w:asciiTheme="minorEastAsia" w:hAnsiTheme="minorEastAsia"/>
                <w:sz w:val="24"/>
              </w:rPr>
              <w:t>售后方案</w:t>
            </w:r>
          </w:p>
        </w:tc>
        <w:tc>
          <w:tcPr>
            <w:tcW w:w="1080" w:type="dxa"/>
            <w:noWrap/>
            <w:vAlign w:val="center"/>
          </w:tcPr>
          <w:p>
            <w:pPr>
              <w:jc w:val="center"/>
              <w:rPr>
                <w:sz w:val="24"/>
              </w:rPr>
            </w:pPr>
            <w:r>
              <w:rPr>
                <w:rFonts w:hint="eastAsia" w:cs="宋体" w:asciiTheme="minorEastAsia" w:hAnsiTheme="minorEastAsia"/>
                <w:sz w:val="24"/>
              </w:rPr>
              <w:t>15</w:t>
            </w:r>
          </w:p>
        </w:tc>
        <w:tc>
          <w:tcPr>
            <w:tcW w:w="5400" w:type="dxa"/>
            <w:noWrap/>
            <w:vAlign w:val="center"/>
          </w:tcPr>
          <w:p>
            <w:pPr>
              <w:spacing w:line="360" w:lineRule="exact"/>
              <w:ind w:firstLine="480" w:firstLineChars="200"/>
              <w:rPr>
                <w:rFonts w:cs="宋体" w:asciiTheme="minorEastAsia" w:hAnsiTheme="minorEastAsia"/>
                <w:sz w:val="24"/>
              </w:rPr>
            </w:pPr>
            <w:r>
              <w:rPr>
                <w:rFonts w:hint="eastAsia" w:cs="宋体" w:asciiTheme="minorEastAsia" w:hAnsiTheme="minorEastAsia"/>
                <w:sz w:val="24"/>
              </w:rPr>
              <w:t>项目售后维保、服务实施方案的针对性、计划性、可操作性（包括但不限于技术与操作培训方案、质量保证措施、质保期限、维护方案及计划、故障维修响应的服务承诺）：</w:t>
            </w:r>
          </w:p>
          <w:p>
            <w:pPr>
              <w:spacing w:line="360" w:lineRule="exact"/>
              <w:rPr>
                <w:rFonts w:cs="宋体" w:asciiTheme="minorEastAsia" w:hAnsiTheme="minorEastAsia"/>
                <w:sz w:val="24"/>
              </w:rPr>
            </w:pPr>
            <w:r>
              <w:rPr>
                <w:rFonts w:hint="eastAsia" w:cs="宋体" w:asciiTheme="minorEastAsia" w:hAnsiTheme="minorEastAsia"/>
                <w:sz w:val="24"/>
              </w:rPr>
              <w:t>优：针对性强、具有计划性、可操作性高，得12-15分；</w:t>
            </w:r>
          </w:p>
          <w:p>
            <w:pPr>
              <w:spacing w:line="360" w:lineRule="exact"/>
              <w:rPr>
                <w:rFonts w:cs="宋体" w:asciiTheme="minorEastAsia" w:hAnsiTheme="minorEastAsia"/>
                <w:sz w:val="24"/>
              </w:rPr>
            </w:pPr>
            <w:r>
              <w:rPr>
                <w:rFonts w:hint="eastAsia" w:cs="宋体" w:asciiTheme="minorEastAsia" w:hAnsiTheme="minorEastAsia"/>
                <w:sz w:val="24"/>
              </w:rPr>
              <w:t>良：针对性较强、具有计划性、可操作性较高，得8-11分；</w:t>
            </w:r>
          </w:p>
          <w:p>
            <w:pPr>
              <w:spacing w:line="360" w:lineRule="exact"/>
              <w:rPr>
                <w:rFonts w:cs="宋体" w:asciiTheme="minorEastAsia" w:hAnsiTheme="minorEastAsia"/>
                <w:sz w:val="24"/>
              </w:rPr>
            </w:pPr>
            <w:r>
              <w:rPr>
                <w:rFonts w:hint="eastAsia" w:cs="宋体" w:asciiTheme="minorEastAsia" w:hAnsiTheme="minorEastAsia"/>
                <w:sz w:val="24"/>
              </w:rPr>
              <w:t>中：针对性一般、计划性一般、可操作性一般，得1-7分；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szCs w:val="24"/>
              </w:rPr>
              <w:t>差：针对性差、没有计划性、可操作性低，不得分。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600" w:firstLineChars="250"/>
              <w:jc w:val="center"/>
              <w:rPr>
                <w:sz w:val="24"/>
              </w:rPr>
            </w:pPr>
            <w:r>
              <w:rPr>
                <w:rFonts w:hint="eastAsia"/>
                <w:sz w:val="24"/>
              </w:rPr>
              <w:t>商务因素</w:t>
            </w:r>
          </w:p>
        </w:tc>
        <w:tc>
          <w:tcPr>
            <w:tcW w:w="1980" w:type="dxa"/>
            <w:noWrap/>
            <w:vAlign w:val="center"/>
          </w:tcPr>
          <w:p>
            <w:pPr>
              <w:jc w:val="center"/>
              <w:rPr>
                <w:sz w:val="24"/>
              </w:rPr>
            </w:pPr>
            <w:r>
              <w:rPr>
                <w:rFonts w:hint="eastAsia" w:asciiTheme="minorEastAsia" w:hAnsiTheme="minorEastAsia"/>
                <w:sz w:val="24"/>
              </w:rPr>
              <w:t>企业资质及信誉</w:t>
            </w:r>
          </w:p>
        </w:tc>
        <w:tc>
          <w:tcPr>
            <w:tcW w:w="1080" w:type="dxa"/>
            <w:noWrap/>
            <w:vAlign w:val="center"/>
          </w:tcPr>
          <w:p>
            <w:pPr>
              <w:jc w:val="center"/>
              <w:rPr>
                <w:sz w:val="24"/>
              </w:rPr>
            </w:pPr>
            <w:r>
              <w:rPr>
                <w:sz w:val="24"/>
              </w:rPr>
              <w:t>6</w:t>
            </w:r>
          </w:p>
        </w:tc>
        <w:tc>
          <w:tcPr>
            <w:tcW w:w="5400" w:type="dxa"/>
            <w:noWrap/>
            <w:vAlign w:val="center"/>
          </w:tcPr>
          <w:p>
            <w:pPr>
              <w:rPr>
                <w:rFonts w:cs="宋体" w:asciiTheme="minorEastAsia" w:hAnsiTheme="minorEastAsia"/>
                <w:sz w:val="24"/>
                <w:lang w:val="zh-CN"/>
              </w:rPr>
            </w:pPr>
            <w:r>
              <w:rPr>
                <w:rFonts w:hint="eastAsia" w:cs="宋体" w:asciiTheme="minorEastAsia" w:hAnsiTheme="minorEastAsia"/>
                <w:sz w:val="24"/>
                <w:lang w:val="zh-CN"/>
              </w:rPr>
              <w:t>1、</w:t>
            </w:r>
            <w:r>
              <w:rPr>
                <w:sz w:val="24"/>
              </w:rPr>
              <w:t>投标人具</w:t>
            </w:r>
            <w:r>
              <w:rPr>
                <w:rFonts w:hint="eastAsia"/>
                <w:sz w:val="24"/>
              </w:rPr>
              <w:t>有</w:t>
            </w:r>
            <w:r>
              <w:rPr>
                <w:sz w:val="24"/>
              </w:rPr>
              <w:t>有效期内的质量管理体系认证证书、</w:t>
            </w:r>
            <w:r>
              <w:rPr>
                <w:rFonts w:hint="eastAsia"/>
                <w:sz w:val="24"/>
              </w:rPr>
              <w:t>环境管理体系认证证书、职业健康安全管理体系认证证书</w:t>
            </w:r>
            <w:r>
              <w:rPr>
                <w:sz w:val="24"/>
              </w:rPr>
              <w:t>。每提供一个得</w:t>
            </w:r>
            <w:r>
              <w:rPr>
                <w:rFonts w:hint="eastAsia"/>
                <w:sz w:val="24"/>
              </w:rPr>
              <w:t>1</w:t>
            </w:r>
            <w:r>
              <w:rPr>
                <w:sz w:val="24"/>
              </w:rPr>
              <w:t>分,最多得</w:t>
            </w:r>
            <w:r>
              <w:rPr>
                <w:rFonts w:hint="eastAsia"/>
                <w:sz w:val="24"/>
              </w:rPr>
              <w:t>3</w:t>
            </w:r>
            <w:r>
              <w:rPr>
                <w:sz w:val="24"/>
              </w:rPr>
              <w:t>分。</w:t>
            </w:r>
          </w:p>
          <w:p>
            <w:pPr>
              <w:rPr>
                <w:rFonts w:asciiTheme="minorEastAsia" w:hAnsiTheme="minorEastAsia"/>
                <w:sz w:val="24"/>
              </w:rPr>
            </w:pPr>
            <w:r>
              <w:rPr>
                <w:rFonts w:asciiTheme="minorEastAsia" w:hAnsiTheme="minorEastAsia"/>
                <w:sz w:val="24"/>
              </w:rPr>
              <w:t>2</w:t>
            </w:r>
            <w:r>
              <w:rPr>
                <w:rFonts w:hint="eastAsia" w:asciiTheme="minorEastAsia" w:hAnsiTheme="minorEastAsia"/>
                <w:sz w:val="24"/>
              </w:rPr>
              <w:t>、</w:t>
            </w:r>
            <w:r>
              <w:rPr>
                <w:rFonts w:hint="eastAsia" w:cs="宋体" w:asciiTheme="minorEastAsia" w:hAnsiTheme="minorEastAsia"/>
                <w:sz w:val="24"/>
                <w:lang w:val="zh-CN"/>
              </w:rPr>
              <w:t>投标具有有效期内的AAA质量服务诚信等级证书、AAA重合同守信用等级证书、广播电视节目制作经营许可证，每提供一个得1分，最多</w:t>
            </w:r>
            <w:r>
              <w:rPr>
                <w:rFonts w:hint="eastAsia" w:asciiTheme="minorEastAsia" w:hAnsiTheme="minorEastAsia"/>
                <w:sz w:val="24"/>
              </w:rPr>
              <w:t>得3分；</w:t>
            </w:r>
          </w:p>
          <w:p>
            <w:pPr>
              <w:rPr>
                <w:sz w:val="24"/>
              </w:rPr>
            </w:pPr>
            <w:r>
              <w:rPr>
                <w:rFonts w:hint="eastAsia" w:asciiTheme="minorEastAsia" w:hAnsiTheme="minorEastAsia"/>
                <w:b/>
                <w:bCs/>
                <w:sz w:val="24"/>
              </w:rPr>
              <w:t>注：以上提供有效证明原件扫描件，加盖公章。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asciiTheme="minorEastAsia" w:hAnsiTheme="minorEastAsia"/>
                <w:sz w:val="24"/>
              </w:rPr>
              <w:t>知识产权</w:t>
            </w:r>
          </w:p>
        </w:tc>
        <w:tc>
          <w:tcPr>
            <w:tcW w:w="1080" w:type="dxa"/>
            <w:noWrap/>
            <w:vAlign w:val="center"/>
          </w:tcPr>
          <w:p>
            <w:pPr>
              <w:jc w:val="center"/>
              <w:rPr>
                <w:sz w:val="24"/>
              </w:rPr>
            </w:pPr>
            <w:r>
              <w:rPr>
                <w:sz w:val="24"/>
              </w:rPr>
              <w:t>15</w:t>
            </w:r>
          </w:p>
        </w:tc>
        <w:tc>
          <w:tcPr>
            <w:tcW w:w="5400" w:type="dxa"/>
            <w:noWrap/>
            <w:vAlign w:val="center"/>
          </w:tcPr>
          <w:p>
            <w:pPr>
              <w:rPr>
                <w:rFonts w:cs="宋体" w:asciiTheme="minorEastAsia" w:hAnsiTheme="minorEastAsia"/>
                <w:sz w:val="24"/>
                <w:lang w:val="zh-CN"/>
              </w:rPr>
            </w:pPr>
            <w:r>
              <w:rPr>
                <w:sz w:val="24"/>
              </w:rPr>
              <w:t>投标人所投产品</w:t>
            </w:r>
            <w:r>
              <w:rPr>
                <w:rFonts w:hint="eastAsia"/>
                <w:sz w:val="24"/>
              </w:rPr>
              <w:t>在有效期内</w:t>
            </w:r>
            <w:r>
              <w:rPr>
                <w:rFonts w:hint="eastAsia" w:cs="宋体" w:asciiTheme="minorEastAsia" w:hAnsiTheme="minorEastAsia"/>
                <w:sz w:val="24"/>
              </w:rPr>
              <w:t>，由</w:t>
            </w:r>
            <w:r>
              <w:rPr>
                <w:sz w:val="24"/>
              </w:rPr>
              <w:t>国家版权局颁发的</w:t>
            </w:r>
            <w:r>
              <w:rPr>
                <w:rFonts w:hint="eastAsia" w:cs="宋体" w:asciiTheme="minorEastAsia" w:hAnsiTheme="minorEastAsia"/>
                <w:sz w:val="24"/>
              </w:rPr>
              <w:t>网络教学管理平台、全媒体期刊数据库系统、学术资源数据库管理系统、慕课编辑制作系统、专业资源库系统</w:t>
            </w:r>
            <w:r>
              <w:rPr>
                <w:sz w:val="24"/>
              </w:rPr>
              <w:t>等计算机软件著作权登记证书</w:t>
            </w:r>
            <w:r>
              <w:rPr>
                <w:rFonts w:hint="eastAsia" w:cs="宋体" w:asciiTheme="minorEastAsia" w:hAnsiTheme="minorEastAsia"/>
                <w:sz w:val="24"/>
                <w:lang w:val="zh-CN"/>
              </w:rPr>
              <w:t>。每提供一</w:t>
            </w:r>
            <w:r>
              <w:rPr>
                <w:rFonts w:hint="eastAsia" w:cs="宋体" w:asciiTheme="minorEastAsia" w:hAnsiTheme="minorEastAsia"/>
                <w:sz w:val="24"/>
              </w:rPr>
              <w:t>项</w:t>
            </w:r>
            <w:r>
              <w:rPr>
                <w:rFonts w:hint="eastAsia" w:cs="宋体" w:asciiTheme="minorEastAsia" w:hAnsiTheme="minorEastAsia"/>
                <w:sz w:val="24"/>
                <w:lang w:val="zh-CN"/>
              </w:rPr>
              <w:t>得</w:t>
            </w:r>
            <w:r>
              <w:rPr>
                <w:rFonts w:hint="eastAsia" w:cs="宋体" w:asciiTheme="minorEastAsia" w:hAnsiTheme="minorEastAsia"/>
                <w:sz w:val="24"/>
              </w:rPr>
              <w:t>3</w:t>
            </w:r>
            <w:r>
              <w:rPr>
                <w:rFonts w:hint="eastAsia" w:cs="宋体" w:asciiTheme="minorEastAsia" w:hAnsiTheme="minorEastAsia"/>
                <w:sz w:val="24"/>
                <w:lang w:val="zh-CN"/>
              </w:rPr>
              <w:t>分，最高得</w:t>
            </w:r>
            <w:r>
              <w:rPr>
                <w:rFonts w:hint="eastAsia" w:cs="宋体" w:asciiTheme="minorEastAsia" w:hAnsiTheme="minorEastAsia"/>
                <w:sz w:val="24"/>
              </w:rPr>
              <w:t>1</w:t>
            </w:r>
            <w:r>
              <w:rPr>
                <w:rFonts w:cs="宋体" w:asciiTheme="minorEastAsia" w:hAnsiTheme="minorEastAsia"/>
                <w:sz w:val="24"/>
              </w:rPr>
              <w:t>5</w:t>
            </w:r>
            <w:r>
              <w:rPr>
                <w:rFonts w:hint="eastAsia" w:cs="宋体" w:asciiTheme="minorEastAsia" w:hAnsiTheme="minorEastAsia"/>
                <w:sz w:val="24"/>
                <w:lang w:val="zh-CN"/>
              </w:rPr>
              <w:t>分。</w:t>
            </w:r>
          </w:p>
          <w:p>
            <w:pPr>
              <w:rPr>
                <w:sz w:val="24"/>
              </w:rPr>
            </w:pPr>
            <w:r>
              <w:rPr>
                <w:rFonts w:hint="eastAsia" w:cs="宋体" w:asciiTheme="minorEastAsia" w:hAnsiTheme="minorEastAsia"/>
                <w:b/>
                <w:bCs/>
                <w:sz w:val="24"/>
              </w:rPr>
              <w:t>注：</w:t>
            </w:r>
            <w:r>
              <w:rPr>
                <w:rFonts w:hint="eastAsia" w:asciiTheme="minorEastAsia" w:hAnsiTheme="minorEastAsia"/>
                <w:b/>
                <w:bCs/>
                <w:sz w:val="24"/>
              </w:rPr>
              <w:t>以上提供有效证明原件扫描件，加盖公章。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asciiTheme="minorEastAsia" w:hAnsiTheme="minorEastAsia"/>
                <w:sz w:val="24"/>
              </w:rPr>
              <w:t>项目经验</w:t>
            </w:r>
          </w:p>
        </w:tc>
        <w:tc>
          <w:tcPr>
            <w:tcW w:w="1080" w:type="dxa"/>
            <w:noWrap/>
            <w:vAlign w:val="center"/>
          </w:tcPr>
          <w:p>
            <w:pPr>
              <w:jc w:val="center"/>
              <w:rPr>
                <w:sz w:val="24"/>
              </w:rPr>
            </w:pPr>
            <w:r>
              <w:rPr>
                <w:sz w:val="24"/>
              </w:rPr>
              <w:t>4</w:t>
            </w:r>
          </w:p>
        </w:tc>
        <w:tc>
          <w:tcPr>
            <w:tcW w:w="5400" w:type="dxa"/>
            <w:noWrap/>
            <w:vAlign w:val="center"/>
          </w:tcPr>
          <w:p>
            <w:pPr>
              <w:rPr>
                <w:sz w:val="24"/>
              </w:rPr>
            </w:pPr>
            <w:r>
              <w:rPr>
                <w:rFonts w:hint="eastAsia" w:asciiTheme="minorEastAsia" w:hAnsiTheme="minorEastAsia"/>
                <w:sz w:val="24"/>
              </w:rPr>
              <w:t>标人或所投产品原厂商能够提供：</w:t>
            </w:r>
            <w:r>
              <w:rPr>
                <w:sz w:val="24"/>
              </w:rPr>
              <w:t>20</w:t>
            </w:r>
            <w:r>
              <w:rPr>
                <w:rFonts w:hint="eastAsia"/>
                <w:sz w:val="24"/>
              </w:rPr>
              <w:t>19</w:t>
            </w:r>
            <w:r>
              <w:rPr>
                <w:sz w:val="24"/>
              </w:rPr>
              <w:t>年以后</w:t>
            </w:r>
            <w:r>
              <w:rPr>
                <w:rFonts w:hint="eastAsia"/>
                <w:sz w:val="24"/>
              </w:rPr>
              <w:t>，</w:t>
            </w:r>
            <w:r>
              <w:rPr>
                <w:sz w:val="24"/>
              </w:rPr>
              <w:t>已实施完成的相关成功案例，每提供1个得1分,最多得4分（提供合同关键页及相关验收佐证材料复印件加盖公章），否则得0分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cs="宋体" w:asciiTheme="minorEastAsia" w:hAnsiTheme="minorEastAsia"/>
                <w:sz w:val="24"/>
              </w:rPr>
              <w:t>售后服务能力</w:t>
            </w:r>
          </w:p>
        </w:tc>
        <w:tc>
          <w:tcPr>
            <w:tcW w:w="1080" w:type="dxa"/>
            <w:noWrap/>
            <w:vAlign w:val="center"/>
          </w:tcPr>
          <w:p>
            <w:pPr>
              <w:jc w:val="center"/>
              <w:rPr>
                <w:sz w:val="24"/>
              </w:rPr>
            </w:pPr>
            <w:r>
              <w:rPr>
                <w:rFonts w:hint="eastAsia"/>
                <w:sz w:val="24"/>
              </w:rPr>
              <w:t>5</w:t>
            </w:r>
          </w:p>
        </w:tc>
        <w:tc>
          <w:tcPr>
            <w:tcW w:w="5400" w:type="dxa"/>
            <w:noWrap/>
            <w:vAlign w:val="center"/>
          </w:tcPr>
          <w:p>
            <w:pPr>
              <w:rPr>
                <w:rFonts w:asciiTheme="minorEastAsia" w:hAnsiTheme="minorEastAsia"/>
                <w:sz w:val="24"/>
              </w:rPr>
            </w:pPr>
            <w:r>
              <w:rPr>
                <w:rFonts w:hint="eastAsia" w:asciiTheme="minorEastAsia" w:hAnsiTheme="minorEastAsia"/>
                <w:sz w:val="24"/>
              </w:rPr>
              <w:t>1.在本省有固定售后服务机构，需提供租期至少一年的房屋租赁合同或售后服务机构工商营业执照复印件加盖公章，原件备查。有提供得2分，否则0分；</w:t>
            </w:r>
          </w:p>
          <w:p>
            <w:pPr>
              <w:rPr>
                <w:sz w:val="24"/>
              </w:rPr>
            </w:pPr>
            <w:r>
              <w:rPr>
                <w:rFonts w:asciiTheme="minorEastAsia" w:hAnsiTheme="minorEastAsia"/>
                <w:sz w:val="24"/>
              </w:rPr>
              <w:t>2.</w:t>
            </w:r>
            <w:r>
              <w:rPr>
                <w:rFonts w:hint="eastAsia" w:asciiTheme="minorEastAsia" w:hAnsiTheme="minorEastAsia"/>
                <w:sz w:val="24"/>
              </w:rPr>
              <w:t>投标人在本省拥有稳定的技术服务人员情况，提供以上人员在本公司任职的外部证明材料（如加盖有关部门印章的打印日期在本项目投标截止日之前六个月以内的《投保单》或《社会保险参保人员证明》，或单位代缴个人所得税税单等。非本地公司在外地购买社保的必须提供技术服务人员在本地的居住证（或暂住证）等在本地工作的证明文件）复印件。没有人得0分，</w:t>
            </w:r>
            <w:r>
              <w:rPr>
                <w:rFonts w:cs="宋体" w:asciiTheme="minorEastAsia" w:hAnsiTheme="minorEastAsia"/>
                <w:sz w:val="24"/>
              </w:rPr>
              <w:t>20人以下得1分，20-40</w:t>
            </w:r>
            <w:r>
              <w:rPr>
                <w:rFonts w:hint="eastAsia" w:cs="宋体" w:asciiTheme="minorEastAsia" w:hAnsiTheme="minorEastAsia"/>
                <w:sz w:val="24"/>
              </w:rPr>
              <w:t>人</w:t>
            </w:r>
            <w:r>
              <w:rPr>
                <w:rFonts w:cs="宋体" w:asciiTheme="minorEastAsia" w:hAnsiTheme="minorEastAsia"/>
                <w:sz w:val="24"/>
              </w:rPr>
              <w:t>得</w:t>
            </w:r>
            <w:r>
              <w:rPr>
                <w:rFonts w:hint="eastAsia" w:cs="宋体" w:asciiTheme="minorEastAsia" w:hAnsiTheme="minorEastAsia"/>
                <w:sz w:val="24"/>
              </w:rPr>
              <w:t>2</w:t>
            </w:r>
            <w:r>
              <w:rPr>
                <w:rFonts w:cs="宋体" w:asciiTheme="minorEastAsia" w:hAnsiTheme="minorEastAsia"/>
                <w:sz w:val="24"/>
              </w:rPr>
              <w:t>分，40</w:t>
            </w:r>
            <w:r>
              <w:rPr>
                <w:rFonts w:hint="eastAsia" w:cs="宋体" w:asciiTheme="minorEastAsia" w:hAnsiTheme="minorEastAsia"/>
                <w:sz w:val="24"/>
              </w:rPr>
              <w:t>人</w:t>
            </w:r>
            <w:r>
              <w:rPr>
                <w:rFonts w:cs="宋体" w:asciiTheme="minorEastAsia" w:hAnsiTheme="minorEastAsia"/>
                <w:sz w:val="24"/>
              </w:rPr>
              <w:t>以上得3分</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sz w:val="24"/>
              </w:rPr>
            </w:pPr>
            <w:r>
              <w:rPr>
                <w:rFonts w:hint="eastAsia"/>
                <w:sz w:val="24"/>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5"/>
        <w:gridCol w:w="2379"/>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cs="微软雅黑" w:asciiTheme="minorEastAsia" w:hAnsiTheme="minorEastAsia" w:eastAsiaTheme="minorEastAsia"/>
                <w:sz w:val="24"/>
              </w:rPr>
              <w:t>思政教学辅助系统</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套</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kern w:val="0"/>
                <w:sz w:val="24"/>
              </w:rPr>
              <w:t>....</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w:t>
            </w:r>
          </w:p>
        </w:tc>
      </w:tr>
    </w:tbl>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（二）具体技术指标及性能要求：</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359"/>
        <w:gridCol w:w="469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服务名称</w:t>
            </w:r>
          </w:p>
        </w:tc>
        <w:tc>
          <w:tcPr>
            <w:tcW w:w="1359"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功能模块</w:t>
            </w:r>
          </w:p>
        </w:tc>
        <w:tc>
          <w:tcPr>
            <w:tcW w:w="4698"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内容及配置</w:t>
            </w:r>
          </w:p>
        </w:tc>
        <w:tc>
          <w:tcPr>
            <w:tcW w:w="1030"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2122" w:type="dxa"/>
            <w:vMerge w:val="restart"/>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思政教学辅助系统</w:t>
            </w:r>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思政课教学资源服务</w:t>
            </w:r>
          </w:p>
        </w:tc>
        <w:tc>
          <w:tcPr>
            <w:tcW w:w="4698" w:type="dxa"/>
            <w:shd w:val="clear" w:color="auto" w:fill="auto"/>
            <w:vAlign w:val="center"/>
          </w:tcPr>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提供的教学资源服务，需包括以下具体内容：</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一、思政案例库</w:t>
            </w:r>
          </w:p>
          <w:p>
            <w:pPr>
              <w:numPr>
                <w:ilvl w:val="0"/>
                <w:numId w:val="5"/>
              </w:numPr>
              <w:rPr>
                <w:rFonts w:ascii="宋体" w:hAnsi="宋体"/>
                <w:sz w:val="24"/>
              </w:rPr>
            </w:pPr>
            <w:r>
              <w:rPr>
                <w:rFonts w:hint="eastAsia" w:ascii="宋体" w:hAnsi="宋体"/>
                <w:sz w:val="24"/>
              </w:rPr>
              <w:t>需提供至少5门思政必修课程的相关章节案例，案例总体数量需500个以上。</w:t>
            </w:r>
          </w:p>
          <w:p>
            <w:pPr>
              <w:numPr>
                <w:ilvl w:val="0"/>
                <w:numId w:val="5"/>
              </w:numPr>
              <w:rPr>
                <w:rFonts w:ascii="宋体" w:hAnsi="宋体"/>
                <w:sz w:val="24"/>
              </w:rPr>
            </w:pPr>
            <w:r>
              <w:rPr>
                <w:rFonts w:hint="eastAsia" w:ascii="宋体" w:hAnsi="宋体"/>
                <w:sz w:val="24"/>
              </w:rPr>
              <w:t>思政案例视频以高标准完成制作，案例需要覆盖到思政必修课的每一节的知识点。</w:t>
            </w:r>
          </w:p>
          <w:p>
            <w:pPr>
              <w:numPr>
                <w:ilvl w:val="0"/>
                <w:numId w:val="5"/>
              </w:numPr>
              <w:rPr>
                <w:rFonts w:ascii="宋体" w:hAnsi="宋体"/>
                <w:sz w:val="24"/>
              </w:rPr>
            </w:pPr>
            <w:r>
              <w:rPr>
                <w:rFonts w:hint="eastAsia" w:ascii="宋体" w:hAnsi="宋体"/>
                <w:sz w:val="24"/>
              </w:rPr>
              <w:t>案例库保持一定的更新频率，确保案例与时俱进。</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二、思政备课资源库</w:t>
            </w:r>
          </w:p>
          <w:p>
            <w:pPr>
              <w:snapToGrid w:val="0"/>
              <w:rPr>
                <w:rFonts w:ascii="宋体" w:hAnsi="宋体"/>
                <w:sz w:val="24"/>
                <w:lang w:val="en-IE"/>
              </w:rPr>
            </w:pPr>
            <w:r>
              <w:rPr>
                <w:rFonts w:hint="eastAsia" w:ascii="宋体" w:hAnsi="宋体"/>
                <w:sz w:val="24"/>
              </w:rPr>
              <w:t>1、</w:t>
            </w:r>
            <w:r>
              <w:rPr>
                <w:rFonts w:hint="eastAsia" w:ascii="宋体" w:hAnsi="宋体"/>
                <w:sz w:val="24"/>
                <w:lang w:val="en-IE"/>
              </w:rPr>
              <w:t>系统需大学生心理健康与教育、毛泽东思想和中国特色社会主义理论体系概论、中国近现代史纲要、马克思主义基本原理、思想道德与法治、</w:t>
            </w:r>
            <w:r>
              <w:rPr>
                <w:rFonts w:ascii="宋体" w:hAnsi="宋体"/>
                <w:sz w:val="24"/>
                <w:lang w:val="en-IE"/>
              </w:rPr>
              <w:t>“新青年·习党史”</w:t>
            </w:r>
            <w:r>
              <w:rPr>
                <w:rFonts w:hint="eastAsia" w:ascii="宋体" w:hAnsi="宋体"/>
                <w:sz w:val="24"/>
                <w:lang w:val="en-IE"/>
              </w:rPr>
              <w:t xml:space="preserve"> 、</w:t>
            </w:r>
            <w:r>
              <w:rPr>
                <w:rFonts w:ascii="宋体" w:hAnsi="宋体"/>
                <w:sz w:val="24"/>
                <w:lang w:val="en-IE"/>
              </w:rPr>
              <w:t xml:space="preserve"> “新中国史” </w:t>
            </w:r>
            <w:r>
              <w:rPr>
                <w:rFonts w:hint="eastAsia" w:ascii="宋体" w:hAnsi="宋体"/>
                <w:sz w:val="24"/>
                <w:lang w:val="en-IE"/>
              </w:rPr>
              <w:t>、</w:t>
            </w:r>
            <w:r>
              <w:rPr>
                <w:rFonts w:ascii="宋体" w:hAnsi="宋体"/>
                <w:sz w:val="24"/>
                <w:lang w:val="en-IE"/>
              </w:rPr>
              <w:t xml:space="preserve">“改革开放史” </w:t>
            </w:r>
            <w:r>
              <w:rPr>
                <w:rFonts w:hint="eastAsia" w:ascii="宋体" w:hAnsi="宋体"/>
                <w:sz w:val="24"/>
                <w:lang w:val="en-IE"/>
              </w:rPr>
              <w:t>、</w:t>
            </w:r>
            <w:r>
              <w:rPr>
                <w:rFonts w:ascii="宋体" w:hAnsi="宋体"/>
                <w:sz w:val="24"/>
                <w:lang w:val="en-IE"/>
              </w:rPr>
              <w:t>“社会主义发展史”</w:t>
            </w:r>
            <w:r>
              <w:rPr>
                <w:rFonts w:hint="eastAsia" w:ascii="宋体" w:hAnsi="宋体"/>
                <w:sz w:val="24"/>
                <w:lang w:val="en-IE"/>
              </w:rPr>
              <w:t>九门思想政治理论课教学示范课</w:t>
            </w:r>
          </w:p>
          <w:p>
            <w:pPr>
              <w:rPr>
                <w:rFonts w:ascii="宋体" w:hAnsi="宋体"/>
                <w:sz w:val="24"/>
              </w:rPr>
            </w:pPr>
            <w:r>
              <w:rPr>
                <w:rFonts w:ascii="宋体" w:hAnsi="宋体"/>
                <w:sz w:val="24"/>
              </w:rPr>
              <w:t>2</w:t>
            </w:r>
            <w:r>
              <w:rPr>
                <w:rFonts w:hint="eastAsia" w:ascii="宋体" w:hAnsi="宋体"/>
                <w:sz w:val="24"/>
              </w:rPr>
              <w:t>、需提供5门以上思政必修示范课程，紧扣大纲，内容时，支持自由拆分整合。课程可以引入作为资源，辅助课堂教学，也可以用作教师培训材料，学习教学方法，还可以作为在线课程进行翻转课堂教学。</w:t>
            </w:r>
          </w:p>
          <w:p>
            <w:pPr>
              <w:rPr>
                <w:rFonts w:ascii="宋体" w:hAnsi="宋体"/>
                <w:sz w:val="24"/>
              </w:rPr>
            </w:pPr>
            <w:r>
              <w:rPr>
                <w:rFonts w:ascii="宋体" w:hAnsi="宋体"/>
                <w:sz w:val="24"/>
              </w:rPr>
              <w:t>3</w:t>
            </w:r>
            <w:r>
              <w:rPr>
                <w:rFonts w:hint="eastAsia" w:ascii="宋体" w:hAnsi="宋体"/>
                <w:sz w:val="24"/>
              </w:rPr>
              <w:t>、需提供20门以上思政拓展课程，课程与思政核心知识内容高度关联，可以供学生选修扩展视野，也可以作为教学资源灵活拆分辅助教师备课和教学。</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三、思政资源库</w:t>
            </w:r>
          </w:p>
          <w:p>
            <w:pPr>
              <w:rPr>
                <w:rFonts w:ascii="宋体" w:hAnsi="宋体"/>
                <w:sz w:val="24"/>
              </w:rPr>
            </w:pPr>
            <w:r>
              <w:rPr>
                <w:rFonts w:hint="eastAsia" w:ascii="宋体" w:hAnsi="宋体"/>
                <w:sz w:val="24"/>
              </w:rPr>
              <w:t>1、提供新媒体思政教学资源库，需集合国内著名高校具有各校特色的思政课程，包括课件、图片、阅读等教学资源，可以灵活运用于高校课程教学中。</w:t>
            </w:r>
          </w:p>
          <w:p>
            <w:pPr>
              <w:rPr>
                <w:rFonts w:ascii="宋体" w:hAnsi="宋体"/>
                <w:sz w:val="24"/>
              </w:rPr>
            </w:pPr>
            <w:r>
              <w:rPr>
                <w:rFonts w:hint="eastAsia" w:ascii="宋体" w:hAnsi="宋体"/>
                <w:sz w:val="24"/>
              </w:rPr>
              <w:t>2、需提供电子图书、期刊、报纸杂志和学术视频等教学资源服务，其中不少于300种与思想政治理论课相关的正版授权的epub格式电子图书，不少于20种与思想政治理论课相关的期刊，不少于200个与思政相关的讲座视频，供教师在平台上建课时进行调用，插入到课程中，或分享给学生。</w:t>
            </w:r>
          </w:p>
          <w:p>
            <w:pPr>
              <w:rPr>
                <w:rFonts w:ascii="宋体" w:hAnsi="宋体"/>
                <w:sz w:val="24"/>
              </w:rPr>
            </w:pPr>
            <w:r>
              <w:rPr>
                <w:rFonts w:hint="eastAsia" w:ascii="宋体" w:hAnsi="宋体"/>
                <w:sz w:val="24"/>
              </w:rPr>
              <w:t>3、需提供教师个人云存储空间（云盘），每位教师至少50G以上；支持将文件上传至云盘中，随时随地进行下载，并可以在课程建设时引用云盘的资源。</w:t>
            </w:r>
          </w:p>
          <w:p>
            <w:pPr>
              <w:rPr>
                <w:rFonts w:ascii="宋体" w:hAnsi="宋体" w:cs="微软雅黑"/>
                <w:sz w:val="24"/>
              </w:rPr>
            </w:pPr>
            <w:r>
              <w:rPr>
                <w:rFonts w:hint="eastAsia" w:ascii="宋体" w:hAnsi="宋体"/>
                <w:sz w:val="24"/>
              </w:rPr>
              <w:t>4、需</w:t>
            </w:r>
            <w:r>
              <w:rPr>
                <w:rFonts w:hint="eastAsia" w:ascii="宋体" w:hAnsi="宋体" w:cs="微软雅黑"/>
                <w:sz w:val="24"/>
              </w:rPr>
              <w:t>支持在选用的资源视频中，任意时间点插入测验：上传视频后，可以在任意时间点插入测试题，包含单选题、多选题和对错题。</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5、需支持在选用的资源视频中，任意时间点插入图片或PPT，同时支持对插入的内容在时间轴上随意拖动。插入的PPT可以任意拖动位置，并可以跟视频窗口进行切换。</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6、需支持选用的资源视频中进行虚拟剪辑，可以将视频文件按照课程的要求剪辑成适当长度。</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四、思政示范教学包</w:t>
            </w:r>
          </w:p>
          <w:p>
            <w:pPr>
              <w:snapToGrid w:val="0"/>
              <w:rPr>
                <w:rFonts w:ascii="宋体" w:hAnsi="宋体"/>
                <w:sz w:val="24"/>
              </w:rPr>
            </w:pPr>
            <w:r>
              <w:rPr>
                <w:rFonts w:ascii="宋体" w:hAnsi="宋体"/>
                <w:sz w:val="24"/>
              </w:rPr>
              <w:t>1</w:t>
            </w:r>
            <w:r>
              <w:rPr>
                <w:rFonts w:hint="eastAsia" w:ascii="宋体" w:hAnsi="宋体"/>
                <w:sz w:val="24"/>
              </w:rPr>
              <w:t>、</w:t>
            </w:r>
            <w:r>
              <w:rPr>
                <w:rFonts w:hint="eastAsia" w:ascii="宋体" w:hAnsi="宋体"/>
                <w:sz w:val="24"/>
                <w:lang w:val="en-IE"/>
              </w:rPr>
              <w:t>系统资源库中需包含</w:t>
            </w:r>
            <w:r>
              <w:rPr>
                <w:rFonts w:hint="eastAsia" w:ascii="宋体" w:hAnsi="宋体"/>
                <w:sz w:val="24"/>
              </w:rPr>
              <w:t>4门思想政治理论课的示范教学包作为立体化教材使用。</w:t>
            </w:r>
          </w:p>
          <w:p>
            <w:pPr>
              <w:snapToGrid w:val="0"/>
              <w:rPr>
                <w:rFonts w:ascii="宋体" w:hAnsi="宋体"/>
                <w:sz w:val="24"/>
              </w:rPr>
            </w:pPr>
            <w:r>
              <w:rPr>
                <w:rFonts w:hint="eastAsia" w:ascii="宋体" w:hAnsi="宋体"/>
                <w:sz w:val="24"/>
              </w:rPr>
              <w:t>2、教师在系统建设课程的过程中可选择调取相应的示范教学包进行建课，过程需简单清晰，一键完成建课。</w:t>
            </w:r>
          </w:p>
          <w:p>
            <w:pPr>
              <w:snapToGrid w:val="0"/>
              <w:rPr>
                <w:rFonts w:ascii="宋体" w:hAnsi="宋体"/>
                <w:sz w:val="24"/>
              </w:rPr>
            </w:pPr>
            <w:r>
              <w:rPr>
                <w:rFonts w:hint="eastAsia" w:ascii="宋体" w:hAnsi="宋体"/>
                <w:sz w:val="24"/>
              </w:rPr>
              <w:t>3、示范教学包中需包含能与教材章节匹配的PPT资源，且需覆盖全部章节。系统需支持教师直接点击PPT即可开展课堂教学。</w:t>
            </w:r>
          </w:p>
          <w:p>
            <w:pPr>
              <w:snapToGrid w:val="0"/>
              <w:rPr>
                <w:rFonts w:ascii="宋体" w:hAnsi="宋体"/>
                <w:sz w:val="24"/>
              </w:rPr>
            </w:pPr>
            <w:r>
              <w:rPr>
                <w:rFonts w:hint="eastAsia" w:ascii="宋体" w:hAnsi="宋体"/>
                <w:sz w:val="24"/>
              </w:rPr>
              <w:t>4、示范教学包中需包含课程完整的章节目录，每一章节内需包含课程文字内容和视频内容。章节内容支持教师自行修改，可进行增加、删除、修改操作。</w:t>
            </w:r>
          </w:p>
          <w:p>
            <w:pPr>
              <w:snapToGrid w:val="0"/>
              <w:rPr>
                <w:rFonts w:ascii="宋体" w:hAnsi="宋体"/>
                <w:sz w:val="24"/>
              </w:rPr>
            </w:pPr>
            <w:r>
              <w:rPr>
                <w:rFonts w:hint="eastAsia" w:ascii="宋体" w:hAnsi="宋体"/>
                <w:sz w:val="24"/>
              </w:rPr>
              <w:t>5、示范教学包备课资料中需包含视频、文档、教案等教学资源。</w:t>
            </w:r>
          </w:p>
          <w:p>
            <w:pPr>
              <w:snapToGrid w:val="0"/>
              <w:rPr>
                <w:rFonts w:ascii="宋体" w:hAnsi="宋体"/>
                <w:sz w:val="24"/>
              </w:rPr>
            </w:pPr>
            <w:r>
              <w:rPr>
                <w:rFonts w:hint="eastAsia" w:ascii="宋体" w:hAnsi="宋体"/>
                <w:sz w:val="24"/>
              </w:rPr>
              <w:t>6、示范教学包需包含作业库，覆盖到教材中的每一章节，并支持针对不同教学班级随时发布的功能。</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olor w:val="auto"/>
                <w:sz w:val="24"/>
                <w:szCs w:val="24"/>
              </w:rPr>
              <w:t>7、示范教学包需包含试卷库，试卷库中应有已组建完成的试卷，供教师直接调取。</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五、资源应用</w:t>
            </w:r>
          </w:p>
          <w:p>
            <w:pPr>
              <w:pStyle w:val="101"/>
              <w:kinsoku w:val="0"/>
              <w:overflowPunct w:val="0"/>
              <w:autoSpaceDE w:val="0"/>
              <w:autoSpaceDN w:val="0"/>
              <w:adjustRightInd w:val="0"/>
              <w:snapToGrid w:val="0"/>
              <w:rPr>
                <w:rFonts w:ascii="宋体" w:hAnsi="宋体" w:eastAsia="宋体"/>
                <w:bCs/>
                <w:color w:val="auto"/>
                <w:sz w:val="24"/>
                <w:szCs w:val="24"/>
              </w:rPr>
            </w:pPr>
            <w:r>
              <w:rPr>
                <w:rFonts w:hint="eastAsia" w:ascii="宋体" w:hAnsi="宋体" w:eastAsia="宋体"/>
                <w:bCs/>
                <w:color w:val="auto"/>
                <w:sz w:val="24"/>
                <w:szCs w:val="24"/>
              </w:rPr>
              <w:t>需满足线上、线下教学资源使用，需支持电脑端和移动端的教学应用。</w:t>
            </w:r>
          </w:p>
          <w:p>
            <w:pPr>
              <w:pStyle w:val="101"/>
              <w:numPr>
                <w:ilvl w:val="0"/>
                <w:numId w:val="6"/>
              </w:numPr>
              <w:kinsoku w:val="0"/>
              <w:overflowPunct w:val="0"/>
              <w:autoSpaceDE w:val="0"/>
              <w:autoSpaceDN w:val="0"/>
              <w:adjustRightInd w:val="0"/>
              <w:snapToGrid w:val="0"/>
              <w:rPr>
                <w:rFonts w:ascii="宋体" w:hAnsi="宋体" w:eastAsia="宋体"/>
                <w:bCs/>
                <w:color w:val="auto"/>
                <w:sz w:val="24"/>
                <w:szCs w:val="24"/>
              </w:rPr>
            </w:pPr>
            <w:r>
              <w:rPr>
                <w:rFonts w:hint="eastAsia" w:ascii="宋体" w:hAnsi="宋体" w:eastAsia="宋体"/>
                <w:bCs/>
                <w:color w:val="auto"/>
                <w:sz w:val="24"/>
                <w:szCs w:val="24"/>
              </w:rPr>
              <w:t>课前，教师可以发布课程视频、作业、参考资料提供给学生预习；教师可进行备课工作；</w:t>
            </w:r>
          </w:p>
          <w:p>
            <w:pPr>
              <w:pStyle w:val="101"/>
              <w:numPr>
                <w:ilvl w:val="0"/>
                <w:numId w:val="6"/>
              </w:numPr>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bCs/>
                <w:color w:val="auto"/>
                <w:sz w:val="24"/>
                <w:szCs w:val="24"/>
              </w:rPr>
              <w:t>课中，可实现信息化课堂教学互动，包括签到、讨论、测验、抢答等教学活动的开展，并记录和留存教学数据，形成课堂报告；</w:t>
            </w:r>
          </w:p>
          <w:p>
            <w:pPr>
              <w:pStyle w:val="101"/>
              <w:numPr>
                <w:ilvl w:val="0"/>
                <w:numId w:val="6"/>
              </w:numPr>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bCs/>
                <w:color w:val="auto"/>
                <w:sz w:val="24"/>
                <w:szCs w:val="24"/>
              </w:rPr>
              <w:t>课后，可实现课程复习，课程内容回顾，完成教师布置的测验和作业，实现全学习过程的记录。</w:t>
            </w:r>
          </w:p>
          <w:p>
            <w:pPr>
              <w:pStyle w:val="101"/>
              <w:kinsoku w:val="0"/>
              <w:overflowPunct w:val="0"/>
              <w:autoSpaceDE w:val="0"/>
              <w:autoSpaceDN w:val="0"/>
              <w:adjustRightInd w:val="0"/>
              <w:snapToGrid w:val="0"/>
              <w:rPr>
                <w:rFonts w:ascii="宋体" w:hAnsi="宋体" w:eastAsia="宋体"/>
                <w:color w:val="auto"/>
                <w:sz w:val="24"/>
                <w:szCs w:val="24"/>
                <w:lang w:eastAsia="zh-TW"/>
              </w:rPr>
            </w:pPr>
            <w:r>
              <w:rPr>
                <w:rFonts w:hint="eastAsia" w:ascii="宋体" w:hAnsi="宋体" w:eastAsia="宋体"/>
                <w:color w:val="auto"/>
                <w:sz w:val="24"/>
                <w:szCs w:val="24"/>
              </w:rPr>
              <w:t>六、教学资源数据统计</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通过数据统计，为马克思主义学院的教学管理者提供决策依据。</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1、能采集课前、课中、课后产生的所有教学运行过程数据，包括签到、作业，测验、考试成绩等各项数据；</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2、需支持统计基于每个学生的学习进度、课程登录次数、学习材料浏览和下载次数、作业和测试完成情况、在线时长、视频观看的遍数、参加答疑讨论的情况等多项学习考核指标。</w:t>
            </w:r>
          </w:p>
          <w:p>
            <w:pPr>
              <w:pStyle w:val="101"/>
              <w:kinsoku w:val="0"/>
              <w:overflowPunct w:val="0"/>
              <w:autoSpaceDE w:val="0"/>
              <w:autoSpaceDN w:val="0"/>
              <w:adjustRightInd w:val="0"/>
              <w:snapToGrid w:val="0"/>
              <w:rPr>
                <w:rFonts w:ascii="宋体" w:hAnsi="宋体" w:eastAsia="宋体" w:cs="微软雅黑"/>
                <w:color w:val="auto"/>
                <w:sz w:val="24"/>
                <w:szCs w:val="24"/>
                <w:lang w:eastAsia="zh-TW"/>
              </w:rPr>
            </w:pPr>
            <w:r>
              <w:rPr>
                <w:rFonts w:hint="eastAsia" w:ascii="宋体" w:hAnsi="宋体" w:eastAsia="宋体" w:cs="微软雅黑"/>
                <w:color w:val="auto"/>
                <w:sz w:val="24"/>
                <w:szCs w:val="24"/>
              </w:rPr>
              <w:t>3、需支持学院进行课程通知的即时消息，实时发送，实时接收，并可查看通知阅读状态，已读和未读名单。</w:t>
            </w:r>
          </w:p>
        </w:tc>
        <w:tc>
          <w:tcPr>
            <w:tcW w:w="1030" w:type="dxa"/>
            <w:vMerge w:val="restart"/>
            <w:shd w:val="clear" w:color="auto" w:fill="auto"/>
            <w:vAlign w:val="center"/>
          </w:tcPr>
          <w:p>
            <w:pPr>
              <w:pStyle w:val="101"/>
              <w:kinsoku w:val="0"/>
              <w:overflowPunct w:val="0"/>
              <w:autoSpaceDE w:val="0"/>
              <w:autoSpaceDN w:val="0"/>
              <w:adjustRightInd w:val="0"/>
              <w:snapToGrid w:val="0"/>
              <w:jc w:val="left"/>
              <w:rPr>
                <w:rFonts w:ascii="宋体" w:hAnsi="宋体" w:eastAsia="宋体" w:cs="微软雅黑"/>
                <w:color w:val="auto"/>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continue"/>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lang w:val="zh-TW" w:eastAsia="zh-TW"/>
              </w:rPr>
            </w:pPr>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思政课无纸化</w:t>
            </w:r>
            <w:r>
              <w:rPr>
                <w:rFonts w:hint="eastAsia" w:ascii="宋体" w:hAnsi="宋体" w:eastAsia="宋体" w:cs="微软雅黑"/>
                <w:color w:val="auto"/>
                <w:sz w:val="24"/>
                <w:szCs w:val="24"/>
                <w:lang w:val="zh-TW" w:eastAsia="zh-TW"/>
              </w:rPr>
              <w:t>考试</w:t>
            </w:r>
            <w:r>
              <w:rPr>
                <w:rFonts w:hint="eastAsia" w:ascii="宋体" w:hAnsi="宋体" w:eastAsia="宋体" w:cs="微软雅黑"/>
                <w:color w:val="auto"/>
                <w:sz w:val="24"/>
                <w:szCs w:val="24"/>
              </w:rPr>
              <w:t>服务</w:t>
            </w:r>
          </w:p>
        </w:tc>
        <w:tc>
          <w:tcPr>
            <w:tcW w:w="4698" w:type="dxa"/>
            <w:shd w:val="clear" w:color="auto" w:fill="auto"/>
            <w:vAlign w:val="center"/>
          </w:tcPr>
          <w:p>
            <w:pPr>
              <w:pStyle w:val="101"/>
              <w:kinsoku w:val="0"/>
              <w:overflowPunct w:val="0"/>
              <w:autoSpaceDE w:val="0"/>
              <w:autoSpaceDN w:val="0"/>
              <w:adjustRightInd w:val="0"/>
              <w:snapToGrid w:val="0"/>
              <w:ind w:firstLine="480" w:firstLineChars="200"/>
              <w:rPr>
                <w:rFonts w:ascii="宋体" w:hAnsi="宋体" w:eastAsia="宋体" w:cs="微软雅黑"/>
                <w:color w:val="auto"/>
                <w:sz w:val="24"/>
                <w:szCs w:val="24"/>
              </w:rPr>
            </w:pPr>
            <w:r>
              <w:rPr>
                <w:rFonts w:hint="eastAsia" w:ascii="宋体" w:hAnsi="宋体" w:eastAsia="宋体" w:cs="微软雅黑"/>
                <w:color w:val="auto"/>
                <w:sz w:val="24"/>
                <w:szCs w:val="24"/>
              </w:rPr>
              <w:t>提供思政无纸化考试服务，需要包括提供无纸化考试系统的思政题库导入、系统使用、培训、考务支持等服务内容。</w:t>
            </w:r>
          </w:p>
          <w:p>
            <w:pPr>
              <w:pStyle w:val="101"/>
              <w:numPr>
                <w:ilvl w:val="0"/>
                <w:numId w:val="7"/>
              </w:numPr>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考试系统需包括系</w:t>
            </w:r>
            <w:r>
              <w:rPr>
                <w:rFonts w:hint="eastAsia" w:ascii="宋体" w:hAnsi="宋体" w:eastAsia="宋体" w:cs="微软雅黑"/>
                <w:color w:val="auto"/>
                <w:sz w:val="24"/>
                <w:szCs w:val="24"/>
                <w:lang w:val="zh-TW" w:eastAsia="zh-TW"/>
              </w:rPr>
              <w:t>统管理、用户管理、考务管理、</w:t>
            </w:r>
            <w:r>
              <w:rPr>
                <w:rFonts w:hint="eastAsia" w:ascii="宋体" w:hAnsi="宋体" w:eastAsia="宋体" w:cs="微软雅黑"/>
                <w:color w:val="auto"/>
                <w:sz w:val="24"/>
                <w:szCs w:val="24"/>
              </w:rPr>
              <w:t>思政</w:t>
            </w:r>
            <w:r>
              <w:rPr>
                <w:rFonts w:hint="eastAsia" w:ascii="宋体" w:hAnsi="宋体" w:eastAsia="宋体" w:cs="微软雅黑"/>
                <w:color w:val="auto"/>
                <w:sz w:val="24"/>
                <w:szCs w:val="24"/>
                <w:lang w:val="zh-TW" w:eastAsia="zh-TW"/>
              </w:rPr>
              <w:t>题库管理、试卷管理、考试管理、阅卷管理、成绩管理、统计分析</w:t>
            </w:r>
            <w:r>
              <w:rPr>
                <w:rFonts w:hint="eastAsia" w:ascii="宋体" w:hAnsi="宋体" w:eastAsia="宋体" w:cs="微软雅黑"/>
                <w:color w:val="auto"/>
                <w:sz w:val="24"/>
                <w:szCs w:val="24"/>
              </w:rPr>
              <w:t>等考务功能。</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2、需提供5门以上必修思政课程的最新题库，每门课不少于</w:t>
            </w:r>
            <w:r>
              <w:rPr>
                <w:rFonts w:ascii="宋体" w:hAnsi="宋体" w:eastAsia="宋体" w:cs="微软雅黑"/>
                <w:color w:val="auto"/>
                <w:sz w:val="24"/>
                <w:szCs w:val="24"/>
              </w:rPr>
              <w:t>8</w:t>
            </w:r>
            <w:r>
              <w:rPr>
                <w:rFonts w:hint="eastAsia" w:ascii="宋体" w:hAnsi="宋体" w:eastAsia="宋体" w:cs="微软雅黑"/>
                <w:color w:val="auto"/>
                <w:sz w:val="24"/>
                <w:szCs w:val="24"/>
              </w:rPr>
              <w:t>00题，每年根据具体课程内容需进行题库更新；</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3、需支持PC端、移动端、客户端考试服务，其中专门的考试客户端，能安装到马克思主义学院指定的考场，实现无纸化考试；</w:t>
            </w:r>
          </w:p>
          <w:p>
            <w:pPr>
              <w:pStyle w:val="101"/>
              <w:kinsoku w:val="0"/>
              <w:overflowPunct w:val="0"/>
              <w:autoSpaceDE w:val="0"/>
              <w:autoSpaceDN w:val="0"/>
              <w:adjustRightInd w:val="0"/>
              <w:snapToGrid w:val="0"/>
              <w:rPr>
                <w:rFonts w:ascii="宋体" w:hAnsi="宋体" w:eastAsia="宋体" w:cs="宋体"/>
                <w:color w:val="auto"/>
                <w:sz w:val="24"/>
                <w:szCs w:val="24"/>
              </w:rPr>
            </w:pPr>
            <w:r>
              <w:rPr>
                <w:rFonts w:hint="eastAsia" w:ascii="宋体" w:hAnsi="宋体" w:eastAsia="宋体" w:cs="宋体"/>
                <w:color w:val="auto"/>
                <w:sz w:val="24"/>
                <w:szCs w:val="24"/>
              </w:rPr>
              <w:t>4、系统应支持多种题型</w:t>
            </w:r>
            <w:r>
              <w:rPr>
                <w:rFonts w:hint="eastAsia" w:ascii="宋体" w:hAnsi="宋体" w:eastAsia="宋体"/>
                <w:color w:val="auto"/>
                <w:sz w:val="24"/>
                <w:szCs w:val="24"/>
              </w:rPr>
              <w:t>：支持至少应支持单选、多选、填空、判断、简答、名词解析、论述、计算、分录、连线、排序、完形填空、阅读理解、口语、听力等常见题型，并支持题型自定义。</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5、系统需提供考试过程监管及防作弊机制，包含活体人脸识别，切屏监控，IP记录，乱序设置等。</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6、试题导入：教师建设题库时除可以手动录入外应支持模板导入功能，模板至少提供常用的word和excel两种格式</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7、智能组卷：设置好组卷逻辑之后，可以从指定的题库中按照设置的组卷逻辑进行随机抽题组卷，每次组卷数量上限不得低于15套。</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8、试卷导出：支持试卷按标准版和模板导出，按模板导出时，可以自定义模板内容，导出后按照标准的线下考试试卷进行排版，可直接打印用于线下考试。</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9、试卷封存：为防止试卷泄漏，组卷完成后可将试卷进行封存，封存的试卷只有输入密码才能开启，有效防止泄题事故的发生。</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10、人脸识别：考生在考试前需进行人脸核对，核对通过后才能参加考试。考生的整个答题过程进行人脸抓拍，抓拍间隔管理员可自行设定，抓拍所得照片将与数据库人脸照片进行比对，比对失败次数达到设置数量时将强制交卷。</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11、切屏监控：在考生考试过程中将全程监控考生的答题界面，对考生切出页面的次数与时长进行记录，达到设定值时将强制收卷。</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12、题目乱序：每位考生所收到试卷的题目顺序进动打乱排列；选项乱序：对于选择题的每个选项进行打乱排列；</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13、考试码：考试码在教师端显示，学生需输入考试码后才能参加考试；指定ip考试：需要集中考试时可以限定考生ip；</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14、监考教师：考试发布时可以指定监考教师，监考教师会收到监考任务，进行线上监考。监考教师需实时查看每位考生是否进入考试、进入时间、当前状态、IP地址、所在地区、人脸识别情况、违规次数、切屏次数等。</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15、查看考生详情：监考老师可随时查看每位考生的考试行为记录，详情以时间轴形式呈现，也可查看考试试卷。查看抓拍监控：将所有考生的抓拍监控画面以及人脸比对情况展示在一个页面上，便于监考老师更加直观了解每位考生当前的作答情况。</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16、成绩管理：成绩管理应包括考生姓名、学号、院系、专业、班级、试卷名称、考生批次、考试场次、考试成绩、成绩状态等信息，成绩支持多维度的查询和筛选，支持勘误和删除操作，需支持成绩一键导出。</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17、综合统计：提供对考试系统运行整体情况进行综合分析，包括但不限于发放考试次数、发放人数、参与人数、合格率、优秀率、每一批次下多次考试的成绩分布趋势、各院系各专业数据对比等维度的统计分析，所有数据分析以图形形式展示。</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18、▲考试分析：针对每一次考试生成详细的考试分析图，包括参考率统计、分数段对比、考试优秀率、考试及格率、客观题正确率、考试完成时间等数据，所有分析必须以直观的图形呈现，并支持一键导出。考试报告：针对每一次考试生成考试报告，报告内容可根据实际需求选择考试报告呈现的内容。</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19、人脸照片管理：平台可上传每位考生的人脸照片，对于没有人脸照片的考生可发送采集通知，考生收到通知后完成人脸采集即可，如果有考试需要人脸识别且考试没有人脸照片时，系统也会自动发送人脸采集通知。</w:t>
            </w:r>
          </w:p>
        </w:tc>
        <w:tc>
          <w:tcPr>
            <w:tcW w:w="1030" w:type="dxa"/>
            <w:vMerge w:val="continue"/>
            <w:shd w:val="clear" w:color="auto" w:fill="auto"/>
            <w:vAlign w:val="center"/>
          </w:tcPr>
          <w:p>
            <w:pPr>
              <w:pStyle w:val="101"/>
              <w:kinsoku w:val="0"/>
              <w:overflowPunct w:val="0"/>
              <w:autoSpaceDE w:val="0"/>
              <w:autoSpaceDN w:val="0"/>
              <w:adjustRightInd w:val="0"/>
              <w:snapToGrid w:val="0"/>
              <w:jc w:val="right"/>
              <w:rPr>
                <w:rFonts w:ascii="宋体" w:hAnsi="宋体" w:eastAsia="宋体" w:cs="微软雅黑"/>
                <w:color w:val="auto"/>
                <w:sz w:val="24"/>
                <w:szCs w:val="24"/>
                <w:lang w:val="zh-TW"/>
              </w:rPr>
            </w:pPr>
          </w:p>
        </w:tc>
      </w:tr>
    </w:tbl>
    <w:p>
      <w:pPr>
        <w:spacing w:line="560" w:lineRule="exact"/>
        <w:rPr>
          <w:rFonts w:ascii="宋体" w:hAnsi="宋体"/>
          <w:b/>
          <w:bCs/>
          <w:sz w:val="32"/>
          <w:szCs w:val="32"/>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w:t>
      </w:r>
      <w:r>
        <w:rPr>
          <w:rFonts w:hint="eastAsia" w:ascii="宋体" w:hAnsi="宋体"/>
          <w:bCs/>
          <w:sz w:val="28"/>
          <w:szCs w:val="28"/>
          <w:u w:val="single"/>
        </w:rPr>
        <w:t>7天</w:t>
      </w:r>
      <w:r>
        <w:rPr>
          <w:rFonts w:hint="eastAsia" w:ascii="宋体" w:hAnsi="宋体"/>
          <w:bCs/>
          <w:sz w:val="28"/>
          <w:szCs w:val="28"/>
        </w:rPr>
        <w:t>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交付地点：广东省广州市海珠区仑头路2</w:t>
      </w:r>
      <w:r>
        <w:rPr>
          <w:rFonts w:ascii="宋体" w:hAnsi="宋体"/>
          <w:bCs/>
          <w:sz w:val="28"/>
          <w:szCs w:val="28"/>
        </w:rPr>
        <w:t>1</w:t>
      </w:r>
      <w:r>
        <w:rPr>
          <w:rFonts w:hint="eastAsia" w:ascii="宋体" w:hAnsi="宋体"/>
          <w:bCs/>
          <w:sz w:val="28"/>
          <w:szCs w:val="28"/>
        </w:rPr>
        <w:t>号广东财经大学北二1026。</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pPr>
        <w:numPr>
          <w:ilvl w:val="0"/>
          <w:numId w:val="8"/>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ascii="宋体" w:hAnsi="宋体"/>
          <w:sz w:val="28"/>
          <w:szCs w:val="28"/>
        </w:rPr>
        <w:t>1</w:t>
      </w:r>
      <w:r>
        <w:rPr>
          <w:rFonts w:hint="eastAsia" w:ascii="宋体" w:hAnsi="宋体"/>
          <w:sz w:val="28"/>
          <w:szCs w:val="28"/>
        </w:rPr>
        <w:t>年</w:t>
      </w:r>
      <w:r>
        <w:rPr>
          <w:rFonts w:hint="eastAsia" w:ascii="宋体" w:hAnsi="宋体" w:cs="宋体"/>
          <w:sz w:val="28"/>
          <w:szCs w:val="28"/>
        </w:rPr>
        <w:t>。</w:t>
      </w:r>
      <w:bookmarkStart w:id="31" w:name="_GoBack"/>
      <w:bookmarkEnd w:id="31"/>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服务响应速度为工作时间2小时内；上门服务响应时间为48小时,并在</w:t>
      </w:r>
      <w:r>
        <w:rPr>
          <w:rFonts w:ascii="宋体" w:hAnsi="宋体"/>
          <w:sz w:val="28"/>
          <w:szCs w:val="28"/>
        </w:rPr>
        <w:t>24</w:t>
      </w:r>
      <w:r>
        <w:rPr>
          <w:rFonts w:hint="eastAsia" w:ascii="宋体" w:hAnsi="宋体"/>
          <w:sz w:val="28"/>
          <w:szCs w:val="28"/>
        </w:rPr>
        <w:t>小时内解决故障。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该项目验收合格后，且采购单位收到成交人发票后</w:t>
      </w:r>
      <w:r>
        <w:rPr>
          <w:rFonts w:ascii="宋体" w:hAnsi="宋体"/>
          <w:sz w:val="28"/>
          <w:szCs w:val="28"/>
        </w:rPr>
        <w:t>10</w:t>
      </w:r>
      <w:r>
        <w:rPr>
          <w:rFonts w:hint="eastAsia" w:ascii="宋体" w:hAnsi="宋体"/>
          <w:sz w:val="28"/>
          <w:szCs w:val="28"/>
        </w:rPr>
        <w:t>个工作日内向乙方支付（对公转账）100%合同款项。</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sz w:val="18"/>
          <w:szCs w:val="18"/>
        </w:rPr>
      </w:pPr>
      <w:r>
        <w:rPr>
          <w:rFonts w:hint="eastAsia"/>
          <w:b/>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rPr>
          <w:rFonts w:ascii="宋体" w:hAnsi="宋体" w:cs="宋体"/>
          <w:b/>
          <w:bCs/>
          <w:spacing w:val="30"/>
          <w:sz w:val="44"/>
          <w:szCs w:val="44"/>
        </w:rPr>
      </w:pP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rPr>
          <w:rFonts w:ascii="宋体" w:hAnsi="宋体"/>
          <w:bCs/>
          <w:sz w:val="28"/>
          <w:szCs w:val="28"/>
        </w:rPr>
      </w:pPr>
      <w:r>
        <w:rPr>
          <w:rFonts w:hint="eastAsia" w:ascii="宋体" w:hAnsi="宋体"/>
          <w:bCs/>
          <w:sz w:val="28"/>
          <w:szCs w:val="28"/>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12"/>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12"/>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12"/>
        </w:numPr>
        <w:spacing w:line="0" w:lineRule="atLeast"/>
        <w:rPr>
          <w:rFonts w:hAnsi="宋体"/>
          <w:sz w:val="28"/>
          <w:szCs w:val="28"/>
        </w:rPr>
      </w:pPr>
      <w:r>
        <w:rPr>
          <w:rFonts w:hint="eastAsia"/>
          <w:sz w:val="28"/>
          <w:szCs w:val="28"/>
        </w:rPr>
        <w:t>填写此表时不得改变表格的形式。</w:t>
      </w:r>
    </w:p>
    <w:p>
      <w:pPr>
        <w:pStyle w:val="13"/>
        <w:numPr>
          <w:ilvl w:val="0"/>
          <w:numId w:val="12"/>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szCs w:val="21"/>
        </w:rPr>
      </w:pPr>
      <w:r>
        <w:rPr>
          <w:rFonts w:hint="eastAsia" w:ascii="宋体" w:hAnsi="宋体"/>
          <w:sz w:val="32"/>
          <w:szCs w:val="32"/>
        </w:rPr>
        <w:t>报价人单位（盖章）：</w:t>
      </w:r>
    </w:p>
    <w:p>
      <w:pPr>
        <w:rPr>
          <w:rFonts w:ascii="宋体" w:hAnsi="宋体" w:cs="宋体"/>
          <w:bCs/>
          <w:szCs w:val="21"/>
        </w:rPr>
      </w:pPr>
      <w:r>
        <w:rPr>
          <w:rFonts w:hint="eastAsia" w:ascii="宋体" w:hAnsi="宋体" w:cs="宋体"/>
          <w:bCs/>
          <w:szCs w:val="21"/>
        </w:rPr>
        <w:br w:type="page"/>
      </w:r>
    </w:p>
    <w:p>
      <w:pPr>
        <w:numPr>
          <w:ilvl w:val="0"/>
          <w:numId w:val="11"/>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3"/>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3"/>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3"/>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3"/>
        </w:numPr>
        <w:spacing w:line="400" w:lineRule="exact"/>
        <w:rPr>
          <w:rFonts w:ascii="宋体" w:hAnsi="宋体"/>
          <w:sz w:val="24"/>
        </w:rPr>
      </w:pPr>
      <w:r>
        <w:rPr>
          <w:rFonts w:hint="eastAsia" w:ascii="宋体" w:hAnsi="宋体"/>
          <w:sz w:val="24"/>
        </w:rPr>
        <w:t>我方理解贵方不一定接受最低报价。</w:t>
      </w:r>
    </w:p>
    <w:p>
      <w:pPr>
        <w:numPr>
          <w:ilvl w:val="0"/>
          <w:numId w:val="13"/>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3"/>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3"/>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4"/>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3"/>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3"/>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11"/>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E3FFBE-AE7C-47EF-9B2B-9EB18609C2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CB75C07-1D63-44DC-BF9E-B3F4D5800358}"/>
  </w:font>
  <w:font w:name="Cambria">
    <w:panose1 w:val="02040503050406030204"/>
    <w:charset w:val="00"/>
    <w:family w:val="roman"/>
    <w:pitch w:val="default"/>
    <w:sig w:usb0="E00006FF" w:usb1="420024FF" w:usb2="02000000" w:usb3="00000000" w:csb0="2000019F" w:csb1="00000000"/>
  </w:font>
  <w:font w:name="昆仑楷体">
    <w:altName w:val="黑体"/>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777516B1-65C6-43D1-9D29-015383AB1ACE}"/>
  </w:font>
  <w:font w:name="仿宋">
    <w:panose1 w:val="02010609060101010101"/>
    <w:charset w:val="86"/>
    <w:family w:val="modern"/>
    <w:pitch w:val="default"/>
    <w:sig w:usb0="800002BF" w:usb1="38CF7CFA" w:usb2="00000016" w:usb3="00000000" w:csb0="00040001" w:csb1="00000000"/>
  </w:font>
  <w:font w:name="Hiragino Sans GB W3">
    <w:altName w:val="Arial Unicode MS"/>
    <w:panose1 w:val="020B0300000000000000"/>
    <w:charset w:val="80"/>
    <w:family w:val="swiss"/>
    <w:pitch w:val="default"/>
    <w:sig w:usb0="00000000" w:usb1="00000000" w:usb2="00000016" w:usb3="00000000" w:csb0="00060007" w:csb1="00000000"/>
  </w:font>
  <w:font w:name="方正小标宋_GBK">
    <w:altName w:val="Arial Unicode MS"/>
    <w:panose1 w:val="00000000000000000000"/>
    <w:charset w:val="86"/>
    <w:family w:val="auto"/>
    <w:pitch w:val="default"/>
    <w:sig w:usb0="00000000" w:usb1="00000000" w:usb2="00082016" w:usb3="00000000" w:csb0="00040001" w:csb1="00000000"/>
    <w:embedRegular r:id="rId4" w:fontKey="{50A27356-DAEF-4A77-A9AA-8BD90CDB7DC7}"/>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5" w:fontKey="{946DD352-86EF-4775-98C2-5F76FE2044D2}"/>
  </w:font>
  <w:font w:name="楷体">
    <w:panose1 w:val="02010609060101010101"/>
    <w:charset w:val="86"/>
    <w:family w:val="modern"/>
    <w:pitch w:val="default"/>
    <w:sig w:usb0="800002BF" w:usb1="38CF7CFA" w:usb2="00000016" w:usb3="00000000" w:csb0="00040001" w:csb1="00000000"/>
    <w:embedRegular r:id="rId6" w:fontKey="{9A916B98-1090-4C86-8ACB-790FC0594D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MoxvDN4BAAC7AwAADgAAAAAA&#10;AAABACAAAAAfAQAAZHJzL2Uyb0RvYy54bWxQSwUGAAAAAAYABgBZAQAAb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Nww36N4BAAC7AwAADgAAAAAA&#10;AAABACAAAAAfAQAAZHJzL2Uyb0RvYy54bWxQSwUGAAAAAAYABgBZAQAAbw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DtU3RPfAQAAuwMAAA4AAAAA&#10;AAAAAQAgAAAAHwEAAGRycy9lMm9Eb2MueG1sUEsFBgAAAAAGAAYAWQEAAHA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Kkxwk7fAQAAuwMAAA4AAAAA&#10;AAAAAQAgAAAAHwEAAGRycy9lMm9Eb2MueG1sUEsFBgAAAAAGAAYAWQEAAHA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EB38B49D"/>
    <w:multiLevelType w:val="singleLevel"/>
    <w:tmpl w:val="EB38B49D"/>
    <w:lvl w:ilvl="0" w:tentative="0">
      <w:start w:val="1"/>
      <w:numFmt w:val="decimal"/>
      <w:suff w:val="nothing"/>
      <w:lvlText w:val="%1、"/>
      <w:lvlJc w:val="left"/>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6C47409"/>
    <w:multiLevelType w:val="singleLevel"/>
    <w:tmpl w:val="46C47409"/>
    <w:lvl w:ilvl="0" w:tentative="0">
      <w:start w:val="1"/>
      <w:numFmt w:val="decimal"/>
      <w:suff w:val="nothing"/>
      <w:lvlText w:val="%1、"/>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abstractNum w:abstractNumId="11">
    <w:nsid w:val="6516F8B6"/>
    <w:multiLevelType w:val="singleLevel"/>
    <w:tmpl w:val="6516F8B6"/>
    <w:lvl w:ilvl="0" w:tentative="0">
      <w:start w:val="1"/>
      <w:numFmt w:val="decimal"/>
      <w:suff w:val="nothing"/>
      <w:lvlText w:val="%1、"/>
      <w:lvlJc w:val="left"/>
    </w:lvl>
  </w:abstractNum>
  <w:abstractNum w:abstractNumId="12">
    <w:nsid w:val="663E4352"/>
    <w:multiLevelType w:val="singleLevel"/>
    <w:tmpl w:val="663E4352"/>
    <w:lvl w:ilvl="0" w:tentative="0">
      <w:start w:val="1"/>
      <w:numFmt w:val="decimal"/>
      <w:suff w:val="nothing"/>
      <w:lvlText w:val="%1、"/>
      <w:lvlJc w:val="left"/>
    </w:lvl>
  </w:abstractNum>
  <w:num w:numId="1">
    <w:abstractNumId w:val="6"/>
  </w:num>
  <w:num w:numId="2">
    <w:abstractNumId w:val="10"/>
  </w:num>
  <w:num w:numId="3">
    <w:abstractNumId w:val="3"/>
  </w:num>
  <w:num w:numId="4">
    <w:abstractNumId w:val="11"/>
  </w:num>
  <w:num w:numId="5">
    <w:abstractNumId w:val="4"/>
  </w:num>
  <w:num w:numId="6">
    <w:abstractNumId w:val="7"/>
  </w:num>
  <w:num w:numId="7">
    <w:abstractNumId w:val="12"/>
  </w:num>
  <w:num w:numId="8">
    <w:abstractNumId w:val="2"/>
  </w:num>
  <w:num w:numId="9">
    <w:abstractNumId w:val="1"/>
  </w:num>
  <w:num w:numId="10">
    <w:abstractNumId w:val="9"/>
  </w:num>
  <w:num w:numId="11">
    <w:abstractNumId w:val="0"/>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OWQ5OWJhZWEyZWE3MTI0OTViMDdmOGYyYTM5OG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395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4E20"/>
    <w:rsid w:val="001F58D9"/>
    <w:rsid w:val="001F5C8E"/>
    <w:rsid w:val="001F63EB"/>
    <w:rsid w:val="001F6F50"/>
    <w:rsid w:val="001F725E"/>
    <w:rsid w:val="00201AE3"/>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6DB"/>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07D2"/>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645C"/>
    <w:rsid w:val="002F76B6"/>
    <w:rsid w:val="002F777D"/>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432"/>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0F1D"/>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1620"/>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31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218D"/>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5A9236C"/>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95B5F03"/>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1F77739"/>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正文（培训）"/>
    <w:basedOn w:val="1"/>
    <w:qFormat/>
    <w:uiPriority w:val="0"/>
    <w:pPr>
      <w:adjustRightInd w:val="0"/>
      <w:snapToGrid w:val="0"/>
      <w:spacing w:line="360" w:lineRule="auto"/>
      <w:ind w:firstLine="440"/>
    </w:pPr>
    <w:rPr>
      <w:rFonts w:ascii="Hiragino Sans GB W3" w:hAnsi="Hiragino Sans GB W3" w:eastAsia="Hiragino Sans GB W3" w:cs="宋体"/>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13358</Words>
  <Characters>13711</Characters>
  <Lines>111</Lines>
  <Paragraphs>31</Paragraphs>
  <TotalTime>36</TotalTime>
  <ScaleCrop>false</ScaleCrop>
  <LinksUpToDate>false</LinksUpToDate>
  <CharactersWithSpaces>14258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周文芳</cp:lastModifiedBy>
  <cp:lastPrinted>2022-01-21T10:35:00Z</cp:lastPrinted>
  <dcterms:modified xsi:type="dcterms:W3CDTF">2022-10-31T00:55:07Z</dcterms:modified>
  <cp:revision>951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A0B65A7BC8C841D6A38F377A970B791E</vt:lpwstr>
  </property>
</Properties>
</file>