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44"/>
          <w:szCs w:val="44"/>
        </w:rPr>
      </w:pPr>
      <w:r>
        <w:rPr>
          <w:rFonts w:hint="eastAsia" w:ascii="黑体" w:hAnsi="黑体" w:eastAsia="黑体" w:cs="黑体"/>
          <w:b/>
          <w:bCs/>
          <w:sz w:val="44"/>
          <w:szCs w:val="44"/>
        </w:rPr>
        <w:t>广东财经大学服务采购申报表</w:t>
      </w:r>
    </w:p>
    <w:p>
      <w:pPr>
        <w:jc w:val="center"/>
        <w:rPr>
          <w:rFonts w:ascii="黑体" w:hAnsi="黑体" w:eastAsia="黑体" w:cs="Times New Roman"/>
          <w:b/>
          <w:bCs/>
        </w:rPr>
      </w:pPr>
    </w:p>
    <w:tbl>
      <w:tblPr>
        <w:tblStyle w:val="6"/>
        <w:tblW w:w="10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134"/>
        <w:gridCol w:w="1927"/>
        <w:gridCol w:w="1475"/>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92" w:type="dxa"/>
            <w:vAlign w:val="center"/>
          </w:tcPr>
          <w:p>
            <w:pPr>
              <w:adjustRightInd w:val="0"/>
              <w:snapToGrid w:val="0"/>
              <w:rPr>
                <w:rFonts w:ascii="仿宋" w:hAnsi="仿宋" w:eastAsia="仿宋" w:cs="Times New Roman"/>
              </w:rPr>
            </w:pPr>
            <w:r>
              <w:rPr>
                <w:rFonts w:hint="eastAsia" w:ascii="仿宋" w:hAnsi="仿宋" w:eastAsia="仿宋" w:cs="仿宋"/>
              </w:rPr>
              <w:t>申报单位</w:t>
            </w:r>
          </w:p>
        </w:tc>
        <w:tc>
          <w:tcPr>
            <w:tcW w:w="3061" w:type="dxa"/>
            <w:gridSpan w:val="2"/>
            <w:vAlign w:val="center"/>
          </w:tcPr>
          <w:p>
            <w:pPr>
              <w:adjustRightInd w:val="0"/>
              <w:snapToGrid w:val="0"/>
              <w:jc w:val="center"/>
              <w:rPr>
                <w:rFonts w:hint="eastAsia" w:ascii="仿宋" w:hAnsi="仿宋" w:eastAsia="仿宋" w:cs="Times New Roman"/>
                <w:lang w:eastAsia="zh-CN"/>
              </w:rPr>
            </w:pPr>
            <w:r>
              <w:rPr>
                <w:rFonts w:hint="eastAsia" w:ascii="仿宋" w:hAnsi="仿宋" w:eastAsia="仿宋" w:cs="Times New Roman"/>
                <w:lang w:eastAsia="zh-CN"/>
              </w:rPr>
              <w:t>经济与管理实验教学中心</w:t>
            </w:r>
          </w:p>
        </w:tc>
        <w:tc>
          <w:tcPr>
            <w:tcW w:w="1475" w:type="dxa"/>
            <w:vAlign w:val="center"/>
          </w:tcPr>
          <w:p>
            <w:pPr>
              <w:adjustRightInd w:val="0"/>
              <w:snapToGrid w:val="0"/>
              <w:jc w:val="center"/>
              <w:rPr>
                <w:rFonts w:ascii="仿宋" w:hAnsi="仿宋" w:eastAsia="仿宋" w:cs="Times New Roman"/>
              </w:rPr>
            </w:pPr>
            <w:r>
              <w:rPr>
                <w:rFonts w:hint="eastAsia" w:ascii="仿宋" w:hAnsi="仿宋" w:eastAsia="仿宋" w:cs="仿宋"/>
              </w:rPr>
              <w:t>申报日期</w:t>
            </w:r>
          </w:p>
        </w:tc>
        <w:tc>
          <w:tcPr>
            <w:tcW w:w="4242" w:type="dxa"/>
            <w:vAlign w:val="center"/>
          </w:tcPr>
          <w:p>
            <w:pPr>
              <w:adjustRightInd w:val="0"/>
              <w:snapToGrid w:val="0"/>
              <w:jc w:val="center"/>
              <w:rPr>
                <w:rFonts w:ascii="仿宋" w:hAnsi="仿宋" w:eastAsia="仿宋" w:cs="Times New Roman"/>
              </w:rPr>
            </w:pPr>
            <w:r>
              <w:rPr>
                <w:rFonts w:hint="eastAsia" w:ascii="仿宋" w:hAnsi="仿宋" w:eastAsia="仿宋" w:cs="仿宋"/>
                <w:lang w:val="en-US" w:eastAsia="zh-CN"/>
              </w:rPr>
              <w:t>2020年11月12日</w:t>
            </w:r>
            <w:r>
              <w:rPr>
                <w:rFonts w:ascii="仿宋" w:hAnsi="仿宋" w:eastAsia="仿宋" w:cs="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92" w:type="dxa"/>
            <w:vAlign w:val="center"/>
          </w:tcPr>
          <w:p>
            <w:pPr>
              <w:adjustRightInd w:val="0"/>
              <w:snapToGrid w:val="0"/>
              <w:rPr>
                <w:rFonts w:ascii="仿宋" w:hAnsi="仿宋" w:eastAsia="仿宋" w:cs="Times New Roman"/>
              </w:rPr>
            </w:pPr>
            <w:r>
              <w:rPr>
                <w:rFonts w:hint="eastAsia" w:ascii="仿宋" w:hAnsi="仿宋" w:eastAsia="仿宋" w:cs="仿宋"/>
              </w:rPr>
              <w:t>申报人</w:t>
            </w:r>
          </w:p>
        </w:tc>
        <w:tc>
          <w:tcPr>
            <w:tcW w:w="3061" w:type="dxa"/>
            <w:gridSpan w:val="2"/>
            <w:vAlign w:val="center"/>
          </w:tcPr>
          <w:p>
            <w:pPr>
              <w:adjustRightInd w:val="0"/>
              <w:snapToGrid w:val="0"/>
              <w:jc w:val="center"/>
              <w:rPr>
                <w:rFonts w:hint="eastAsia" w:ascii="仿宋" w:hAnsi="仿宋" w:eastAsia="仿宋" w:cs="Times New Roman"/>
                <w:lang w:eastAsia="zh-CN"/>
              </w:rPr>
            </w:pPr>
            <w:r>
              <w:rPr>
                <w:rFonts w:hint="eastAsia" w:ascii="仿宋" w:hAnsi="仿宋" w:eastAsia="仿宋" w:cs="Times New Roman"/>
                <w:lang w:eastAsia="zh-CN"/>
              </w:rPr>
              <w:t>苏瑞</w:t>
            </w:r>
          </w:p>
        </w:tc>
        <w:tc>
          <w:tcPr>
            <w:tcW w:w="1475" w:type="dxa"/>
            <w:vAlign w:val="center"/>
          </w:tcPr>
          <w:p>
            <w:pPr>
              <w:adjustRightInd w:val="0"/>
              <w:snapToGrid w:val="0"/>
              <w:jc w:val="center"/>
              <w:rPr>
                <w:rFonts w:ascii="仿宋" w:hAnsi="仿宋" w:eastAsia="仿宋" w:cs="Times New Roman"/>
              </w:rPr>
            </w:pPr>
            <w:r>
              <w:rPr>
                <w:rFonts w:hint="eastAsia" w:ascii="仿宋" w:hAnsi="仿宋" w:eastAsia="仿宋" w:cs="仿宋"/>
              </w:rPr>
              <w:t>联系电话</w:t>
            </w:r>
          </w:p>
        </w:tc>
        <w:tc>
          <w:tcPr>
            <w:tcW w:w="4242" w:type="dxa"/>
            <w:vAlign w:val="center"/>
          </w:tcPr>
          <w:p>
            <w:pPr>
              <w:adjustRightInd w:val="0"/>
              <w:snapToGrid w:val="0"/>
              <w:jc w:val="center"/>
              <w:rPr>
                <w:rFonts w:hint="default" w:ascii="仿宋" w:hAnsi="仿宋" w:eastAsia="仿宋" w:cs="Times New Roman"/>
                <w:lang w:val="en-US" w:eastAsia="zh-CN"/>
              </w:rPr>
            </w:pPr>
            <w:r>
              <w:rPr>
                <w:rFonts w:hint="eastAsia" w:ascii="仿宋" w:hAnsi="仿宋" w:eastAsia="仿宋" w:cs="Times New Roman"/>
                <w:lang w:val="en-US" w:eastAsia="zh-CN"/>
              </w:rPr>
              <w:t>84096087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92" w:type="dxa"/>
            <w:vAlign w:val="center"/>
          </w:tcPr>
          <w:p>
            <w:pPr>
              <w:adjustRightInd w:val="0"/>
              <w:snapToGrid w:val="0"/>
              <w:rPr>
                <w:rFonts w:ascii="仿宋" w:hAnsi="仿宋" w:eastAsia="仿宋" w:cs="仿宋"/>
              </w:rPr>
            </w:pPr>
            <w:r>
              <w:rPr>
                <w:rFonts w:hint="eastAsia" w:ascii="仿宋" w:hAnsi="仿宋" w:eastAsia="仿宋" w:cs="仿宋"/>
              </w:rPr>
              <w:t>项目名称及卡号</w:t>
            </w:r>
          </w:p>
        </w:tc>
        <w:tc>
          <w:tcPr>
            <w:tcW w:w="3061" w:type="dxa"/>
            <w:gridSpan w:val="2"/>
            <w:vAlign w:val="center"/>
          </w:tcPr>
          <w:p>
            <w:pPr>
              <w:adjustRightInd w:val="0"/>
              <w:snapToGrid w:val="0"/>
              <w:jc w:val="center"/>
              <w:rPr>
                <w:rFonts w:ascii="仿宋" w:hAnsi="仿宋" w:eastAsia="仿宋" w:cs="Times New Roman"/>
              </w:rPr>
            </w:pPr>
            <w:bookmarkStart w:id="0" w:name="_GoBack"/>
            <w:bookmarkEnd w:id="0"/>
          </w:p>
        </w:tc>
        <w:tc>
          <w:tcPr>
            <w:tcW w:w="1475" w:type="dxa"/>
            <w:vAlign w:val="center"/>
          </w:tcPr>
          <w:p>
            <w:pPr>
              <w:adjustRightInd w:val="0"/>
              <w:snapToGrid w:val="0"/>
              <w:jc w:val="center"/>
              <w:rPr>
                <w:rFonts w:ascii="仿宋" w:hAnsi="仿宋" w:eastAsia="仿宋" w:cs="仿宋"/>
              </w:rPr>
            </w:pPr>
            <w:r>
              <w:rPr>
                <w:rFonts w:hint="eastAsia" w:ascii="仿宋" w:hAnsi="仿宋" w:eastAsia="仿宋" w:cs="仿宋"/>
              </w:rPr>
              <w:t>经费来源</w:t>
            </w:r>
          </w:p>
        </w:tc>
        <w:tc>
          <w:tcPr>
            <w:tcW w:w="4242" w:type="dxa"/>
            <w:vAlign w:val="center"/>
          </w:tcPr>
          <w:p>
            <w:pPr>
              <w:adjustRightInd w:val="0"/>
              <w:snapToGrid w:val="0"/>
              <w:jc w:val="center"/>
              <w:rPr>
                <w:rFonts w:ascii="仿宋" w:hAnsi="仿宋" w:eastAsia="仿宋" w:cs="Times New Roman"/>
              </w:rPr>
            </w:pPr>
            <w:r>
              <w:rPr>
                <w:rFonts w:hint="eastAsia" w:ascii="仿宋" w:hAnsi="仿宋" w:eastAsia="仿宋" w:cs="Times New Roman"/>
              </w:rPr>
              <w:sym w:font="Wingdings" w:char="F06F"/>
            </w:r>
            <w:r>
              <w:rPr>
                <w:rFonts w:hint="eastAsia" w:ascii="仿宋" w:hAnsi="仿宋" w:eastAsia="仿宋" w:cs="Times New Roman"/>
              </w:rPr>
              <w:t xml:space="preserve">创新强校  </w:t>
            </w:r>
            <w:r>
              <w:rPr>
                <w:rFonts w:hint="eastAsia" w:ascii="仿宋" w:hAnsi="仿宋" w:eastAsia="仿宋" w:cs="Times New Roman"/>
              </w:rPr>
              <w:sym w:font="Wingdings" w:char="F06F"/>
            </w:r>
            <w:r>
              <w:rPr>
                <w:rFonts w:hint="eastAsia" w:ascii="仿宋" w:hAnsi="仿宋" w:eastAsia="仿宋" w:cs="Times New Roman"/>
              </w:rPr>
              <w:t xml:space="preserve">中央财政 </w:t>
            </w:r>
            <w:r>
              <w:rPr>
                <w:rFonts w:hint="eastAsia" w:ascii="仿宋" w:hAnsi="仿宋" w:eastAsia="仿宋" w:cs="Times New Roman"/>
              </w:rPr>
              <w:sym w:font="Wingdings" w:char="F06F"/>
            </w:r>
            <w:r>
              <w:rPr>
                <w:rFonts w:hint="eastAsia" w:ascii="仿宋" w:hAnsi="仿宋" w:eastAsia="仿宋" w:cs="Times New Roman"/>
              </w:rPr>
              <w:t xml:space="preserve">冲补强  </w:t>
            </w:r>
            <w:r>
              <w:rPr>
                <w:rFonts w:hint="eastAsia" w:ascii="仿宋" w:hAnsi="仿宋" w:eastAsia="仿宋" w:cs="Times New Roman"/>
              </w:rPr>
              <w:sym w:font="Wingdings" w:char="F06F"/>
            </w:r>
            <w:r>
              <w:rPr>
                <w:rFonts w:hint="eastAsia" w:ascii="仿宋" w:hAnsi="仿宋" w:eastAsia="仿宋" w:cs="Times New Roma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470" w:type="dxa"/>
            <w:gridSpan w:val="5"/>
            <w:vAlign w:val="center"/>
          </w:tcPr>
          <w:p>
            <w:pPr>
              <w:adjustRightInd w:val="0"/>
              <w:snapToGrid w:val="0"/>
              <w:jc w:val="center"/>
              <w:rPr>
                <w:rFonts w:ascii="仿宋" w:hAnsi="仿宋" w:eastAsia="仿宋" w:cs="Times New Roman"/>
              </w:rPr>
            </w:pPr>
            <w:r>
              <w:rPr>
                <w:rFonts w:hint="eastAsia" w:ascii="仿宋" w:hAnsi="仿宋" w:eastAsia="仿宋" w:cs="仿宋"/>
              </w:rPr>
              <w:t>用户需求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 w:hAnsi="仿宋" w:eastAsia="仿宋" w:cs="Times New Roman"/>
                <w:color w:val="000000"/>
              </w:rPr>
            </w:pPr>
            <w:r>
              <w:rPr>
                <w:rFonts w:hint="eastAsia" w:ascii="仿宋" w:hAnsi="仿宋" w:eastAsia="仿宋" w:cs="Times New Roman"/>
                <w:color w:val="000000"/>
              </w:rPr>
              <w:t>服务项目名称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ind w:left="-107" w:leftChars="-51" w:right="174" w:rightChars="83"/>
              <w:jc w:val="center"/>
              <w:rPr>
                <w:rFonts w:ascii="仿宋" w:hAnsi="仿宋" w:eastAsia="仿宋" w:cs="Times New Roman"/>
                <w:spacing w:val="-20"/>
              </w:rPr>
            </w:pPr>
            <w:r>
              <w:rPr>
                <w:rFonts w:hint="eastAsia" w:ascii="仿宋" w:hAnsi="仿宋" w:eastAsia="仿宋" w:cs="Times New Roman"/>
                <w:spacing w:val="-20"/>
              </w:rPr>
              <w:t>预算价格</w:t>
            </w:r>
          </w:p>
        </w:tc>
        <w:tc>
          <w:tcPr>
            <w:tcW w:w="764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ascii="仿宋" w:hAnsi="仿宋" w:eastAsia="仿宋" w:cs="Times New Roman"/>
                <w:spacing w:val="-20"/>
              </w:rPr>
            </w:pPr>
            <w:r>
              <w:rPr>
                <w:rFonts w:hint="eastAsia" w:ascii="仿宋" w:hAnsi="仿宋" w:eastAsia="仿宋" w:cs="Times New Roman"/>
                <w:spacing w:val="-20"/>
              </w:rPr>
              <w:t>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jc w:val="center"/>
        </w:trPr>
        <w:tc>
          <w:tcPr>
            <w:tcW w:w="16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hint="eastAsia" w:ascii="仿宋" w:hAnsi="仿宋" w:eastAsia="仿宋" w:cs="Times New Roman"/>
                <w:color w:val="4F81BD" w:themeColor="accent1"/>
                <w:lang w:val="en-US" w:eastAsia="zh-CN"/>
                <w14:textFill>
                  <w14:solidFill>
                    <w14:schemeClr w14:val="accent1"/>
                  </w14:solidFill>
                </w14:textFill>
              </w:rPr>
            </w:pPr>
            <w:r>
              <w:rPr>
                <w:rFonts w:hint="eastAsia" w:ascii="仿宋" w:hAnsi="仿宋" w:eastAsia="仿宋" w:cs="Times New Roman"/>
                <w:color w:val="4F81BD" w:themeColor="accent1"/>
                <w:lang w:val="en-US" w:eastAsia="zh-CN"/>
                <w14:textFill>
                  <w14:solidFill>
                    <w14:schemeClr w14:val="accent1"/>
                  </w14:solidFill>
                </w14:textFill>
              </w:rPr>
              <w:t>《全球商战模拟》教学服务</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ind w:left="-107" w:leftChars="-51" w:right="174" w:rightChars="83"/>
              <w:jc w:val="center"/>
              <w:rPr>
                <w:rFonts w:ascii="仿宋" w:hAnsi="仿宋" w:eastAsia="仿宋" w:cs="Times New Roman"/>
                <w:spacing w:val="-20"/>
              </w:rPr>
            </w:pPr>
            <w:r>
              <w:rPr>
                <w:rFonts w:hint="eastAsia" w:ascii="仿宋" w:hAnsi="仿宋" w:eastAsia="仿宋" w:cs="Times New Roman"/>
                <w:spacing w:val="-20"/>
              </w:rPr>
              <w:t>￥99,</w:t>
            </w:r>
            <w:r>
              <w:rPr>
                <w:rFonts w:hint="eastAsia" w:ascii="仿宋" w:hAnsi="仿宋" w:eastAsia="仿宋" w:cs="Times New Roman"/>
                <w:spacing w:val="-20"/>
                <w:lang w:val="en-US" w:eastAsia="zh-CN"/>
              </w:rPr>
              <w:t>9</w:t>
            </w:r>
            <w:r>
              <w:rPr>
                <w:rFonts w:hint="eastAsia" w:ascii="仿宋" w:hAnsi="仿宋" w:eastAsia="仿宋" w:cs="Times New Roman"/>
                <w:spacing w:val="-20"/>
              </w:rPr>
              <w:t>00</w:t>
            </w:r>
          </w:p>
        </w:tc>
        <w:tc>
          <w:tcPr>
            <w:tcW w:w="764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jc w:val="center"/>
              <w:rPr>
                <w:rFonts w:hint="eastAsia" w:ascii="仿宋" w:hAnsi="仿宋" w:eastAsia="仿宋" w:cs="仿宋"/>
              </w:rPr>
            </w:pPr>
            <w:r>
              <w:rPr>
                <w:rFonts w:hint="eastAsia" w:ascii="仿宋" w:hAnsi="仿宋" w:eastAsia="仿宋" w:cs="仿宋"/>
              </w:rPr>
              <w:t>内容参数</w:t>
            </w:r>
          </w:p>
          <w:p>
            <w:pPr>
              <w:pStyle w:val="13"/>
              <w:numPr>
                <w:ilvl w:val="0"/>
                <w:numId w:val="1"/>
              </w:numPr>
              <w:spacing w:line="276" w:lineRule="auto"/>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内容设计遵循国际化经济的理念，选用国际化案例，采用全球通用的各类经济指标，如财务指标，国际化税收定义等。</w:t>
            </w:r>
          </w:p>
          <w:p>
            <w:pPr>
              <w:pStyle w:val="13"/>
              <w:numPr>
                <w:ilvl w:val="0"/>
                <w:numId w:val="1"/>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内容</w:t>
            </w:r>
            <w:r>
              <w:rPr>
                <w:rFonts w:asciiTheme="minorHAnsi" w:hAnsiTheme="minorHAnsi" w:eastAsiaTheme="minorEastAsia" w:cstheme="minorBidi"/>
                <w:sz w:val="20"/>
                <w:szCs w:val="20"/>
              </w:rPr>
              <w:t>涵盖了企业的各个职能领域，如需求、生产、研发、营销、物流、财务、库存、人力资源等</w:t>
            </w:r>
            <w:r>
              <w:rPr>
                <w:rFonts w:hint="eastAsia" w:asciiTheme="minorHAnsi" w:hAnsiTheme="minorHAnsi" w:eastAsiaTheme="minorEastAsia" w:cstheme="minorBidi"/>
                <w:sz w:val="20"/>
                <w:szCs w:val="20"/>
              </w:rPr>
              <w:t>。</w:t>
            </w:r>
          </w:p>
          <w:p>
            <w:pPr>
              <w:pStyle w:val="13"/>
              <w:numPr>
                <w:ilvl w:val="0"/>
                <w:numId w:val="1"/>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公司整体的系列整合财务报表，以及各区域的财务报表。通过学生互评功能</w:t>
            </w:r>
            <w:r>
              <w:rPr>
                <w:rFonts w:asciiTheme="minorHAnsi" w:hAnsiTheme="minorHAnsi" w:eastAsiaTheme="minorEastAsia" w:cstheme="minorBidi"/>
                <w:sz w:val="20"/>
                <w:szCs w:val="20"/>
              </w:rPr>
              <w:t>团队合作的软技能和问题解决技巧也通过模拟课程得以大幅度地提高。</w:t>
            </w:r>
          </w:p>
          <w:p>
            <w:pPr>
              <w:pStyle w:val="13"/>
              <w:numPr>
                <w:ilvl w:val="0"/>
                <w:numId w:val="1"/>
              </w:numPr>
              <w:spacing w:line="276" w:lineRule="auto"/>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模拟中的案例内容能够与真实的市场环境密切相结合。在竞争的环境中强调国际化经营的联动性，让学生能够掌握更多的全球化经营思维理念。</w:t>
            </w:r>
          </w:p>
          <w:p>
            <w:pPr>
              <w:pStyle w:val="13"/>
              <w:numPr>
                <w:ilvl w:val="0"/>
                <w:numId w:val="1"/>
              </w:numPr>
              <w:spacing w:line="276" w:lineRule="auto"/>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学生在学习中</w:t>
            </w:r>
            <w:r>
              <w:rPr>
                <w:rFonts w:hint="eastAsia" w:asciiTheme="minorHAnsi" w:hAnsiTheme="minorHAnsi" w:eastAsiaTheme="minorEastAsia" w:cstheme="minorBidi"/>
                <w:sz w:val="20"/>
                <w:szCs w:val="20"/>
              </w:rPr>
              <w:t>需要使用</w:t>
            </w:r>
            <w:r>
              <w:rPr>
                <w:rFonts w:asciiTheme="minorHAnsi" w:hAnsiTheme="minorHAnsi" w:eastAsiaTheme="minorEastAsia" w:cstheme="minorBidi"/>
                <w:sz w:val="20"/>
                <w:szCs w:val="20"/>
              </w:rPr>
              <w:t>国际化市场战略和生产策略，以及各种与学科相关的知识：经济、政治、财务、人力资源、会计、采购、生产、物流、研发与创新和营销等。</w:t>
            </w:r>
          </w:p>
          <w:p>
            <w:pPr>
              <w:pStyle w:val="13"/>
              <w:numPr>
                <w:ilvl w:val="0"/>
                <w:numId w:val="1"/>
              </w:numPr>
              <w:spacing w:line="276" w:lineRule="auto"/>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在模拟中，企业的主要财务数据是衡量企业运营成功的标志，其中包括市场份额、净利润、资本回报率、股东回报率、每股收益、产能利用率和生产不良率。最终获胜标准是累计股东回报率，它包含了所有关键的成功要素，并可作为各模拟企业间彼此评判经营管理的依据。</w:t>
            </w:r>
          </w:p>
          <w:p>
            <w:pPr>
              <w:pStyle w:val="13"/>
              <w:numPr>
                <w:ilvl w:val="0"/>
                <w:numId w:val="1"/>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需求管理逻辑：全球总需求增长率，区域如亚洲、欧洲、美国各地区产品销售量；分产品分技术市场份额；自动计算出预测销量。提供各种技术的网络覆盖率在各区域的发展情况预测图表，图表可根据指导老师案例要求设置。</w:t>
            </w:r>
          </w:p>
          <w:p>
            <w:pPr>
              <w:pStyle w:val="13"/>
              <w:numPr>
                <w:ilvl w:val="0"/>
                <w:numId w:val="1"/>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产品需求逻辑：某区域的整体市场需求按技术分配；体现区域消费者偏好。指导老师可自主调整需求弹性。影响市场总需求的因素包括:经济状况、平均价格水平、 平均广告预算、新技术的普及，影响公司某个产品需求的因素：产品的定价、对该产品的广告投入、产品搭载的功能数量、历史市场份额、销售同样技术产品的公司数量。</w:t>
            </w:r>
          </w:p>
          <w:p>
            <w:pPr>
              <w:pStyle w:val="13"/>
              <w:numPr>
                <w:ilvl w:val="0"/>
                <w:numId w:val="1"/>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生产管理逻辑：涵盖供应链进行管理，如建厂、生产产品、物流，以需定产等；产品研发、产能分配；自动计算可变生产成本、产品不良率规律、产品外包、生产学习曲线效用、生产线开工率有关的成本函数(U-形曲线)等现象或原理。</w:t>
            </w:r>
          </w:p>
          <w:p>
            <w:pPr>
              <w:pStyle w:val="13"/>
              <w:numPr>
                <w:ilvl w:val="0"/>
                <w:numId w:val="1"/>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库存管理逻辑：库存计划、生产与库存、库存资金成本、库存计价。</w:t>
            </w:r>
          </w:p>
          <w:p>
            <w:pPr>
              <w:pStyle w:val="13"/>
              <w:numPr>
                <w:ilvl w:val="0"/>
                <w:numId w:val="1"/>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投资管理逻辑：工厂建设投资、工厂买卖、投资与现金流、投资与筹资、投资回报率、资本成本、资本加权成本、估值等。</w:t>
            </w:r>
          </w:p>
          <w:p>
            <w:pPr>
              <w:pStyle w:val="13"/>
              <w:numPr>
                <w:ilvl w:val="0"/>
                <w:numId w:val="1"/>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★采购管理逻辑：供应商管理、企业的社会责任、价格管理等。</w:t>
            </w:r>
          </w:p>
          <w:p>
            <w:pPr>
              <w:pStyle w:val="13"/>
              <w:numPr>
                <w:ilvl w:val="0"/>
                <w:numId w:val="1"/>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★物流管理逻辑：国际间物流规划、物流优先级。</w:t>
            </w:r>
          </w:p>
          <w:p>
            <w:pPr>
              <w:pStyle w:val="13"/>
              <w:numPr>
                <w:ilvl w:val="0"/>
                <w:numId w:val="1"/>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★税收筹划：国际间税收筹划功能，允许利用关联公司进行以减低税金的交易，用户可设置转让定价乘数。</w:t>
            </w:r>
          </w:p>
          <w:p>
            <w:pPr>
              <w:pStyle w:val="13"/>
              <w:numPr>
                <w:ilvl w:val="0"/>
                <w:numId w:val="1"/>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人力资源：可选择是否设置人力资源决策模块（由指导老师设置）。人力资源决策包括：员工人数、工资、培训预算、招聘与解雇及其费用等。</w:t>
            </w:r>
          </w:p>
          <w:p>
            <w:pPr>
              <w:pStyle w:val="13"/>
              <w:numPr>
                <w:ilvl w:val="0"/>
                <w:numId w:val="1"/>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研发管理：包含自主研发、引进外部技术决策。体现研发战略的不确定性、博弈性。</w:t>
            </w:r>
          </w:p>
          <w:p>
            <w:pPr>
              <w:pStyle w:val="13"/>
              <w:numPr>
                <w:ilvl w:val="0"/>
                <w:numId w:val="1"/>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财务决策：长短期贷款决策、股票发行和回购、发放股息、资金管理 (在集团公司内部转移基金)等。受经营决策行为影响的指标包括：销售回报率(ROS)、权益率、本债比、已动用资本回报率、股本回报率、每股盈利(EPS)、股息收益率、市盈率、累计股东总回报率等。</w:t>
            </w:r>
          </w:p>
          <w:p>
            <w:pPr>
              <w:pStyle w:val="13"/>
              <w:numPr>
                <w:ilvl w:val="0"/>
                <w:numId w:val="1"/>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★预算管理：提供预算管理功能，能根据决策的变动动态更新，可预估集团的整体收益状况和各个市场地区的收益状况及主要财务指标。</w:t>
            </w:r>
          </w:p>
          <w:p>
            <w:pPr>
              <w:adjustRightInd w:val="0"/>
              <w:snapToGrid w:val="0"/>
              <w:jc w:val="center"/>
              <w:rPr>
                <w:rFonts w:ascii="仿宋" w:hAnsi="仿宋" w:eastAsia="仿宋" w:cs="仿宋"/>
              </w:rPr>
            </w:pPr>
            <w:r>
              <w:rPr>
                <w:rFonts w:hint="eastAsia" w:ascii="仿宋" w:hAnsi="仿宋" w:eastAsia="仿宋" w:cs="仿宋"/>
              </w:rPr>
              <w:t>技术内容要求</w:t>
            </w:r>
          </w:p>
          <w:p>
            <w:pPr>
              <w:pStyle w:val="13"/>
              <w:numPr>
                <w:ilvl w:val="0"/>
                <w:numId w:val="2"/>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w:t>
            </w:r>
            <w:r>
              <w:rPr>
                <w:rFonts w:asciiTheme="minorHAnsi" w:hAnsiTheme="minorHAnsi" w:eastAsiaTheme="minorEastAsia" w:cstheme="minorBidi"/>
                <w:sz w:val="20"/>
                <w:szCs w:val="20"/>
              </w:rPr>
              <w:t>采用先进的现代模拟技术，以计算机为操作平台，</w:t>
            </w:r>
            <w:r>
              <w:rPr>
                <w:rFonts w:hint="eastAsia" w:asciiTheme="minorHAnsi" w:hAnsiTheme="minorHAnsi" w:eastAsiaTheme="minorEastAsia" w:cstheme="minorBidi"/>
                <w:sz w:val="20"/>
                <w:szCs w:val="20"/>
              </w:rPr>
              <w:t>可全在线远程操作，</w:t>
            </w:r>
            <w:r>
              <w:rPr>
                <w:rFonts w:asciiTheme="minorHAnsi" w:hAnsiTheme="minorHAnsi" w:eastAsiaTheme="minorEastAsia" w:cstheme="minorBidi"/>
                <w:sz w:val="20"/>
                <w:szCs w:val="20"/>
              </w:rPr>
              <w:t>不需要下载或安装应用程序或客户端类型的模型。</w:t>
            </w:r>
          </w:p>
          <w:p>
            <w:pPr>
              <w:pStyle w:val="13"/>
              <w:numPr>
                <w:ilvl w:val="0"/>
                <w:numId w:val="2"/>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w:t>
            </w:r>
            <w:r>
              <w:rPr>
                <w:rFonts w:asciiTheme="minorHAnsi" w:hAnsiTheme="minorHAnsi" w:eastAsiaTheme="minorEastAsia" w:cstheme="minorBidi"/>
                <w:sz w:val="20"/>
                <w:szCs w:val="20"/>
              </w:rPr>
              <w:t>支持Android、IOS、Windows等各种操作系统，可以在电脑、iPad和各类平板电脑以及智能手机上操作使用。</w:t>
            </w:r>
          </w:p>
          <w:p>
            <w:pPr>
              <w:pStyle w:val="13"/>
              <w:numPr>
                <w:ilvl w:val="0"/>
                <w:numId w:val="2"/>
              </w:numPr>
              <w:spacing w:line="276" w:lineRule="auto"/>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用户只需在支持HTML的各浏览器上运行系统，如IE，Firefox，Chrome，Opera， Safari等浏览器都可以支持系统的使用。</w:t>
            </w:r>
          </w:p>
          <w:p>
            <w:pPr>
              <w:pStyle w:val="13"/>
              <w:numPr>
                <w:ilvl w:val="0"/>
                <w:numId w:val="2"/>
              </w:numPr>
              <w:spacing w:line="276" w:lineRule="auto"/>
              <w:rPr>
                <w:rFonts w:asciiTheme="minorHAnsi" w:hAnsiTheme="minorHAnsi" w:eastAsiaTheme="minorEastAsia" w:cstheme="minorBidi"/>
                <w:sz w:val="20"/>
                <w:szCs w:val="20"/>
              </w:rPr>
            </w:pPr>
            <w:r>
              <w:rPr>
                <w:rFonts w:asciiTheme="minorHAnsi" w:hAnsiTheme="minorHAnsi" w:eastAsiaTheme="minorEastAsia" w:cstheme="minorBidi"/>
                <w:sz w:val="20"/>
                <w:szCs w:val="20"/>
              </w:rPr>
              <w:t>系统能够让逾千名或更多学生大规模同时使用的功能，满足学校组织并进行校内和全国模拟比赛的要求。</w:t>
            </w:r>
          </w:p>
          <w:p>
            <w:pPr>
              <w:pStyle w:val="13"/>
              <w:numPr>
                <w:ilvl w:val="0"/>
                <w:numId w:val="2"/>
              </w:numPr>
              <w:spacing w:line="276" w:lineRule="auto"/>
              <w:rPr>
                <w:rFonts w:asciiTheme="minorHAnsi" w:hAnsiTheme="minorHAnsi" w:eastAsiaTheme="minorEastAsia" w:cstheme="minorBidi"/>
                <w:sz w:val="20"/>
                <w:szCs w:val="20"/>
              </w:rPr>
            </w:pPr>
            <w:r>
              <w:rPr>
                <w:rFonts w:asciiTheme="minorHAnsi" w:hAnsiTheme="minorHAnsi" w:eastAsiaTheme="minorEastAsia" w:cstheme="minorBidi"/>
                <w:sz w:val="20"/>
                <w:szCs w:val="20"/>
              </w:rPr>
              <w:t>包含中英文在内的多语言选择，可以在不同语言之间随时相互切换，</w:t>
            </w:r>
            <w:r>
              <w:rPr>
                <w:rFonts w:hint="eastAsia" w:asciiTheme="minorHAnsi" w:hAnsiTheme="minorHAnsi" w:eastAsiaTheme="minorEastAsia" w:cstheme="minorBidi"/>
                <w:sz w:val="20"/>
                <w:szCs w:val="20"/>
              </w:rPr>
              <w:t>老师可以指定语言，</w:t>
            </w:r>
            <w:r>
              <w:rPr>
                <w:rFonts w:asciiTheme="minorHAnsi" w:hAnsiTheme="minorHAnsi" w:eastAsiaTheme="minorEastAsia" w:cstheme="minorBidi"/>
                <w:sz w:val="20"/>
                <w:szCs w:val="20"/>
              </w:rPr>
              <w:t>学生</w:t>
            </w:r>
            <w:r>
              <w:rPr>
                <w:rFonts w:hint="eastAsia" w:asciiTheme="minorHAnsi" w:hAnsiTheme="minorHAnsi" w:eastAsiaTheme="minorEastAsia" w:cstheme="minorBidi"/>
                <w:sz w:val="20"/>
                <w:szCs w:val="20"/>
              </w:rPr>
              <w:t>端</w:t>
            </w:r>
            <w:r>
              <w:rPr>
                <w:rFonts w:asciiTheme="minorHAnsi" w:hAnsiTheme="minorHAnsi" w:eastAsiaTheme="minorEastAsia" w:cstheme="minorBidi"/>
                <w:sz w:val="20"/>
                <w:szCs w:val="20"/>
              </w:rPr>
              <w:t>可以自由切换</w:t>
            </w:r>
            <w:r>
              <w:rPr>
                <w:rFonts w:hint="eastAsia" w:asciiTheme="minorHAnsi" w:hAnsiTheme="minorHAnsi" w:eastAsiaTheme="minorEastAsia" w:cstheme="minorBidi"/>
                <w:sz w:val="20"/>
                <w:szCs w:val="20"/>
              </w:rPr>
              <w:t>语言</w:t>
            </w:r>
            <w:r>
              <w:rPr>
                <w:rFonts w:asciiTheme="minorHAnsi" w:hAnsiTheme="minorHAnsi" w:eastAsiaTheme="minorEastAsia" w:cstheme="minorBidi"/>
                <w:sz w:val="20"/>
                <w:szCs w:val="20"/>
              </w:rPr>
              <w:t>，支持双语教学</w:t>
            </w:r>
            <w:r>
              <w:rPr>
                <w:rFonts w:hint="eastAsia" w:asciiTheme="minorHAnsi" w:hAnsiTheme="minorHAnsi" w:eastAsiaTheme="minorEastAsia" w:cstheme="minorBidi"/>
                <w:sz w:val="20"/>
                <w:szCs w:val="20"/>
              </w:rPr>
              <w:t>。</w:t>
            </w:r>
          </w:p>
          <w:p>
            <w:pPr>
              <w:pStyle w:val="13"/>
              <w:numPr>
                <w:ilvl w:val="0"/>
                <w:numId w:val="2"/>
              </w:numPr>
              <w:spacing w:line="276" w:lineRule="auto"/>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操作实用简便，所有的使用指南和案例内容设置在平台中，随时可以下载或网上阅读，方便学生和指导教师使用。</w:t>
            </w:r>
          </w:p>
          <w:p>
            <w:pPr>
              <w:pStyle w:val="13"/>
              <w:numPr>
                <w:ilvl w:val="0"/>
                <w:numId w:val="2"/>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w:t>
            </w:r>
            <w:r>
              <w:rPr>
                <w:rFonts w:asciiTheme="minorHAnsi" w:hAnsiTheme="minorHAnsi" w:eastAsiaTheme="minorEastAsia" w:cstheme="minorBidi"/>
                <w:sz w:val="20"/>
                <w:szCs w:val="20"/>
              </w:rPr>
              <w:t>允许指导教师修改案例背景、参数、增减模块，设置自己的案例库， 可更换案例。</w:t>
            </w:r>
          </w:p>
          <w:p>
            <w:pPr>
              <w:pStyle w:val="13"/>
              <w:numPr>
                <w:ilvl w:val="0"/>
                <w:numId w:val="2"/>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w:t>
            </w:r>
            <w:r>
              <w:rPr>
                <w:rFonts w:asciiTheme="minorHAnsi" w:hAnsiTheme="minorHAnsi" w:eastAsiaTheme="minorEastAsia" w:cstheme="minorBidi"/>
                <w:sz w:val="20"/>
                <w:szCs w:val="20"/>
              </w:rPr>
              <w:t>具备决策模块可选择的特点，教师可以修改案例或参数以适合不同</w:t>
            </w:r>
            <w:r>
              <w:rPr>
                <w:rFonts w:hint="eastAsia" w:asciiTheme="minorHAnsi" w:hAnsiTheme="minorHAnsi" w:eastAsiaTheme="minorEastAsia" w:cstheme="minorBidi"/>
                <w:sz w:val="20"/>
                <w:szCs w:val="20"/>
              </w:rPr>
              <w:t>学生</w:t>
            </w:r>
            <w:r>
              <w:rPr>
                <w:rFonts w:asciiTheme="minorHAnsi" w:hAnsiTheme="minorHAnsi" w:eastAsiaTheme="minorEastAsia" w:cstheme="minorBidi"/>
                <w:sz w:val="20"/>
                <w:szCs w:val="20"/>
              </w:rPr>
              <w:t>和知识结构的学生使用。</w:t>
            </w:r>
          </w:p>
          <w:p>
            <w:pPr>
              <w:pStyle w:val="13"/>
              <w:numPr>
                <w:ilvl w:val="0"/>
                <w:numId w:val="2"/>
              </w:numPr>
              <w:spacing w:line="276" w:lineRule="auto"/>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进行模拟的学生都有个人登录账号，可以制定自己的决策和方案，并能在“决策列表”页面中与小组其他成员进行决策整合，小组成员间可以通过课程交流平台进行讨论和交流。</w:t>
            </w:r>
          </w:p>
          <w:p>
            <w:pPr>
              <w:pStyle w:val="13"/>
              <w:numPr>
                <w:ilvl w:val="0"/>
                <w:numId w:val="2"/>
              </w:numPr>
              <w:spacing w:line="276" w:lineRule="auto"/>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带有方便学生相互交流与学习的论坛，以方便教师与学生的交流与管理。</w:t>
            </w:r>
          </w:p>
          <w:p>
            <w:pPr>
              <w:pStyle w:val="13"/>
              <w:numPr>
                <w:ilvl w:val="0"/>
                <w:numId w:val="2"/>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w:t>
            </w:r>
            <w:r>
              <w:rPr>
                <w:rFonts w:asciiTheme="minorHAnsi" w:hAnsiTheme="minorHAnsi" w:eastAsiaTheme="minorEastAsia" w:cstheme="minorBidi"/>
                <w:sz w:val="20"/>
                <w:szCs w:val="20"/>
              </w:rPr>
              <w:t>具有可选的测验添加功能，方便教师检查和评定学生的学习效果。</w:t>
            </w:r>
          </w:p>
          <w:p>
            <w:pPr>
              <w:pStyle w:val="13"/>
              <w:numPr>
                <w:ilvl w:val="0"/>
                <w:numId w:val="2"/>
              </w:numPr>
              <w:spacing w:line="276" w:lineRule="auto"/>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同一个教师平台中可根据授课需要设置不同的模拟课程，教师可以全程跟踪、测量和评估学生的学习情况，包括总在线时间、最后一次登陆时间、决策结果预览等等。</w:t>
            </w:r>
          </w:p>
          <w:p>
            <w:pPr>
              <w:pStyle w:val="13"/>
              <w:numPr>
                <w:ilvl w:val="0"/>
                <w:numId w:val="2"/>
              </w:numPr>
              <w:spacing w:line="276" w:lineRule="auto"/>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学生的决策结果可选择“EXCEL版本”或者“可打印版本”进行保存。即使课程结束，教师和学生可随时进入平台进行决策查看。</w:t>
            </w:r>
          </w:p>
          <w:p>
            <w:pPr>
              <w:pStyle w:val="13"/>
              <w:numPr>
                <w:ilvl w:val="0"/>
                <w:numId w:val="2"/>
              </w:numPr>
              <w:spacing w:line="276" w:lineRule="auto"/>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教师平台提供财务指标、市场情况等不同维度的结果分析功能，教师可自由选择数据，以图表或表格作为载体帮助学生分析结果。</w:t>
            </w:r>
          </w:p>
          <w:p>
            <w:pPr>
              <w:pStyle w:val="13"/>
              <w:numPr>
                <w:ilvl w:val="0"/>
                <w:numId w:val="2"/>
              </w:numPr>
              <w:spacing w:line="276" w:lineRule="auto"/>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支持学员互评功能，要求学员之间匿名，并可以自动计算成绩，为教师提供更加多元且客观的课程评定基础。</w:t>
            </w:r>
          </w:p>
          <w:p>
            <w:pPr>
              <w:pStyle w:val="13"/>
              <w:numPr>
                <w:ilvl w:val="0"/>
                <w:numId w:val="2"/>
              </w:numPr>
              <w:spacing w:line="276" w:lineRule="auto"/>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报告数字与图表配比合理，方便学生理解和体会。系统所提供的经营报告不但能够以数据和图表的形式在互联网上浏览，而且还可以方便导出为Excel文件，方便学生和老师用于计算和分析结果。</w:t>
            </w:r>
          </w:p>
          <w:p>
            <w:pPr>
              <w:pStyle w:val="13"/>
              <w:numPr>
                <w:ilvl w:val="0"/>
                <w:numId w:val="2"/>
              </w:numPr>
              <w:spacing w:line="276" w:lineRule="auto"/>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要求可以统计小组成绩，同时可以客观数据计算并统计每位学生的模拟成绩，以方便学校对学生个体的成绩管理，并符合各类国际性认证的实践教学要求。</w:t>
            </w:r>
          </w:p>
          <w:p>
            <w:pPr>
              <w:pStyle w:val="13"/>
              <w:numPr>
                <w:ilvl w:val="0"/>
                <w:numId w:val="2"/>
              </w:numPr>
              <w:spacing w:line="276" w:lineRule="auto"/>
              <w:jc w:val="both"/>
              <w:rPr>
                <w:rFonts w:asciiTheme="minorHAnsi" w:hAnsiTheme="minorHAnsi" w:eastAsiaTheme="minorEastAsia" w:cstheme="minorBidi"/>
                <w:sz w:val="20"/>
                <w:szCs w:val="20"/>
              </w:rPr>
            </w:pPr>
            <w:r>
              <w:rPr>
                <w:rFonts w:hint="eastAsia" w:asciiTheme="minorHAnsi" w:hAnsiTheme="minorHAnsi" w:eastAsiaTheme="minorEastAsia" w:cstheme="minorBidi"/>
                <w:sz w:val="20"/>
                <w:szCs w:val="20"/>
              </w:rPr>
              <w:t>★</w:t>
            </w:r>
            <w:r>
              <w:rPr>
                <w:rFonts w:asciiTheme="minorHAnsi" w:hAnsiTheme="minorHAnsi" w:eastAsiaTheme="minorEastAsia" w:cstheme="minorBidi"/>
                <w:sz w:val="20"/>
                <w:szCs w:val="20"/>
              </w:rPr>
              <w:t>赛事辅助功能，同时支持</w:t>
            </w:r>
            <w:r>
              <w:rPr>
                <w:rFonts w:hint="eastAsia" w:asciiTheme="minorHAnsi" w:hAnsiTheme="minorHAnsi" w:eastAsiaTheme="minorEastAsia" w:cstheme="minorBidi"/>
                <w:sz w:val="20"/>
                <w:szCs w:val="20"/>
              </w:rPr>
              <w:t>5000</w:t>
            </w:r>
            <w:r>
              <w:rPr>
                <w:rFonts w:asciiTheme="minorHAnsi" w:hAnsiTheme="minorHAnsi" w:eastAsiaTheme="minorEastAsia" w:cstheme="minorBidi"/>
                <w:sz w:val="20"/>
                <w:szCs w:val="20"/>
              </w:rPr>
              <w:t>人以上规模竞赛，可以支持组织校内赛、省市比赛等多种规模的学生活动。</w:t>
            </w:r>
          </w:p>
          <w:p>
            <w:pPr>
              <w:pStyle w:val="13"/>
              <w:numPr>
                <w:ilvl w:val="0"/>
                <w:numId w:val="3"/>
              </w:numPr>
              <w:spacing w:line="276" w:lineRule="auto"/>
              <w:jc w:val="both"/>
              <w:rPr>
                <w:rFonts w:hint="eastAsia" w:ascii="仿宋" w:hAnsi="仿宋" w:eastAsia="仿宋" w:cs="Times New Roman"/>
                <w:spacing w:val="-20"/>
                <w:sz w:val="20"/>
                <w:szCs w:val="20"/>
              </w:rPr>
            </w:pPr>
            <w:r>
              <w:rPr>
                <w:rFonts w:hint="eastAsia" w:asciiTheme="minorHAnsi" w:hAnsiTheme="minorHAnsi" w:eastAsiaTheme="minorEastAsia" w:cstheme="minorBidi"/>
                <w:sz w:val="20"/>
                <w:szCs w:val="20"/>
              </w:rPr>
              <w:t>为必须具备项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1692" w:type="dxa"/>
            <w:vAlign w:val="center"/>
          </w:tcPr>
          <w:p>
            <w:pPr>
              <w:adjustRightInd w:val="0"/>
              <w:snapToGrid w:val="0"/>
              <w:jc w:val="center"/>
              <w:rPr>
                <w:rFonts w:ascii="仿宋" w:hAnsi="仿宋" w:eastAsia="仿宋" w:cs="仿宋"/>
              </w:rPr>
            </w:pPr>
            <w:r>
              <w:rPr>
                <w:rFonts w:hint="eastAsia" w:ascii="仿宋" w:hAnsi="仿宋" w:eastAsia="仿宋" w:cs="仿宋"/>
              </w:rPr>
              <w:t>专项经费项目</w:t>
            </w:r>
          </w:p>
          <w:p>
            <w:pPr>
              <w:adjustRightInd w:val="0"/>
              <w:snapToGrid w:val="0"/>
              <w:jc w:val="center"/>
              <w:rPr>
                <w:rFonts w:ascii="仿宋" w:hAnsi="仿宋" w:eastAsia="仿宋" w:cs="Times New Roman"/>
              </w:rPr>
            </w:pPr>
            <w:r>
              <w:rPr>
                <w:rFonts w:hint="eastAsia" w:ascii="仿宋" w:hAnsi="仿宋" w:eastAsia="仿宋" w:cs="仿宋"/>
              </w:rPr>
              <w:t>负责人意见</w:t>
            </w:r>
          </w:p>
        </w:tc>
        <w:tc>
          <w:tcPr>
            <w:tcW w:w="8778" w:type="dxa"/>
            <w:gridSpan w:val="4"/>
            <w:vAlign w:val="center"/>
          </w:tcPr>
          <w:p>
            <w:pPr>
              <w:adjustRightInd w:val="0"/>
              <w:snapToGrid w:val="0"/>
              <w:rPr>
                <w:rFonts w:ascii="仿宋" w:hAnsi="仿宋" w:eastAsia="仿宋" w:cs="Times New Roman"/>
              </w:rPr>
            </w:pPr>
            <w:r>
              <w:rPr>
                <w:rFonts w:hint="eastAsia" w:ascii="仿宋" w:hAnsi="仿宋" w:eastAsia="仿宋" w:cs="仿宋"/>
              </w:rPr>
              <w:t>使用人为：</w:t>
            </w:r>
            <w:r>
              <w:rPr>
                <w:rFonts w:hint="eastAsia" w:ascii="仿宋" w:hAnsi="仿宋" w:eastAsia="仿宋" w:cs="Times New Roman"/>
              </w:rPr>
              <w:sym w:font="Wingdings" w:char="F06F"/>
            </w:r>
            <w:r>
              <w:rPr>
                <w:rFonts w:hint="eastAsia" w:ascii="仿宋" w:hAnsi="仿宋" w:eastAsia="仿宋" w:cs="Times New Roman"/>
              </w:rPr>
              <w:t xml:space="preserve">项目负责人   </w:t>
            </w:r>
            <w:r>
              <w:rPr>
                <w:rFonts w:hint="eastAsia" w:ascii="仿宋" w:hAnsi="仿宋" w:eastAsia="仿宋" w:cs="Times New Roman"/>
              </w:rPr>
              <w:sym w:font="Wingdings" w:char="F06F"/>
            </w:r>
            <w:r>
              <w:rPr>
                <w:rFonts w:hint="eastAsia" w:ascii="仿宋" w:hAnsi="仿宋" w:eastAsia="仿宋" w:cs="Times New Roman"/>
              </w:rPr>
              <w:t>项目组成员</w:t>
            </w:r>
          </w:p>
          <w:p>
            <w:pPr>
              <w:adjustRightInd w:val="0"/>
              <w:snapToGrid w:val="0"/>
              <w:ind w:firstLine="2310" w:firstLineChars="1100"/>
              <w:rPr>
                <w:rFonts w:ascii="仿宋" w:hAnsi="仿宋" w:eastAsia="仿宋" w:cs="仿宋"/>
              </w:rPr>
            </w:pPr>
          </w:p>
          <w:p>
            <w:pPr>
              <w:adjustRightInd w:val="0"/>
              <w:snapToGrid w:val="0"/>
              <w:ind w:firstLine="4620" w:firstLineChars="2200"/>
              <w:rPr>
                <w:rFonts w:ascii="仿宋" w:hAnsi="仿宋" w:eastAsia="仿宋" w:cs="Times New Roman"/>
              </w:rPr>
            </w:pPr>
            <w:r>
              <w:rPr>
                <w:rFonts w:hint="eastAsia" w:ascii="仿宋" w:hAnsi="仿宋" w:eastAsia="仿宋" w:cs="仿宋"/>
              </w:rPr>
              <w:t>专项经费负责人签名：</w:t>
            </w:r>
          </w:p>
          <w:p>
            <w:pPr>
              <w:adjustRightInd w:val="0"/>
              <w:snapToGrid w:val="0"/>
              <w:ind w:firstLine="1155" w:firstLineChars="550"/>
              <w:rPr>
                <w:rFonts w:ascii="仿宋" w:hAnsi="仿宋" w:eastAsia="仿宋" w:cs="Times New Roman"/>
              </w:rPr>
            </w:pPr>
            <w:r>
              <w:rPr>
                <w:rFonts w:ascii="仿宋" w:hAnsi="仿宋" w:eastAsia="仿宋" w:cs="仿宋"/>
              </w:rPr>
              <w:t xml:space="preserve">                     </w:t>
            </w:r>
            <w:r>
              <w:rPr>
                <w:rFonts w:hint="eastAsia" w:ascii="仿宋" w:hAnsi="仿宋" w:eastAsia="仿宋" w:cs="仿宋"/>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1692" w:type="dxa"/>
            <w:vAlign w:val="center"/>
          </w:tcPr>
          <w:p>
            <w:pPr>
              <w:adjustRightInd w:val="0"/>
              <w:snapToGrid w:val="0"/>
              <w:jc w:val="center"/>
              <w:rPr>
                <w:rFonts w:ascii="仿宋" w:hAnsi="仿宋" w:eastAsia="仿宋" w:cs="Times New Roman"/>
              </w:rPr>
            </w:pPr>
            <w:r>
              <w:rPr>
                <w:rFonts w:hint="eastAsia" w:ascii="仿宋" w:hAnsi="仿宋" w:eastAsia="仿宋" w:cs="仿宋"/>
              </w:rPr>
              <w:t>申报单位意见</w:t>
            </w:r>
          </w:p>
        </w:tc>
        <w:tc>
          <w:tcPr>
            <w:tcW w:w="8778" w:type="dxa"/>
            <w:gridSpan w:val="4"/>
            <w:vAlign w:val="center"/>
          </w:tcPr>
          <w:p>
            <w:pPr>
              <w:adjustRightInd w:val="0"/>
              <w:snapToGrid w:val="0"/>
              <w:rPr>
                <w:rFonts w:ascii="仿宋" w:hAnsi="仿宋" w:eastAsia="仿宋" w:cs="Times New Roman"/>
              </w:rPr>
            </w:pPr>
          </w:p>
          <w:p>
            <w:pPr>
              <w:adjustRightInd w:val="0"/>
              <w:snapToGrid w:val="0"/>
              <w:rPr>
                <w:rFonts w:ascii="仿宋" w:hAnsi="仿宋" w:eastAsia="仿宋" w:cs="Times New Roman"/>
              </w:rPr>
            </w:pPr>
          </w:p>
          <w:p>
            <w:pPr>
              <w:adjustRightInd w:val="0"/>
              <w:snapToGrid w:val="0"/>
              <w:rPr>
                <w:rFonts w:ascii="仿宋" w:hAnsi="仿宋" w:eastAsia="仿宋" w:cs="仿宋"/>
              </w:rPr>
            </w:pPr>
            <w:r>
              <w:rPr>
                <w:rFonts w:ascii="仿宋" w:hAnsi="仿宋" w:eastAsia="仿宋" w:cs="仿宋"/>
              </w:rPr>
              <w:t xml:space="preserve">           </w:t>
            </w:r>
            <w:r>
              <w:rPr>
                <w:rFonts w:hint="eastAsia" w:ascii="仿宋" w:hAnsi="仿宋" w:eastAsia="仿宋" w:cs="仿宋"/>
              </w:rPr>
              <w:t xml:space="preserve">                              </w:t>
            </w:r>
            <w:r>
              <w:rPr>
                <w:rFonts w:ascii="仿宋" w:hAnsi="仿宋" w:eastAsia="仿宋" w:cs="仿宋"/>
              </w:rPr>
              <w:t xml:space="preserve"> </w:t>
            </w:r>
            <w:r>
              <w:rPr>
                <w:rFonts w:hint="eastAsia" w:ascii="仿宋" w:hAnsi="仿宋" w:eastAsia="仿宋" w:cs="仿宋"/>
              </w:rPr>
              <w:t>单位负责人签名（盖章）：</w:t>
            </w:r>
            <w:r>
              <w:rPr>
                <w:rFonts w:ascii="仿宋" w:hAnsi="仿宋" w:eastAsia="仿宋" w:cs="仿宋"/>
              </w:rPr>
              <w:t xml:space="preserve">   </w:t>
            </w:r>
          </w:p>
          <w:p>
            <w:pPr>
              <w:adjustRightInd w:val="0"/>
              <w:snapToGrid w:val="0"/>
              <w:rPr>
                <w:rFonts w:ascii="仿宋" w:hAnsi="仿宋" w:eastAsia="仿宋" w:cs="Times New Roman"/>
              </w:rPr>
            </w:pPr>
            <w:r>
              <w:rPr>
                <w:rFonts w:ascii="仿宋" w:hAnsi="仿宋" w:eastAsia="仿宋" w:cs="仿宋"/>
              </w:rPr>
              <w:t xml:space="preserve">                         </w:t>
            </w:r>
            <w:r>
              <w:rPr>
                <w:rFonts w:hint="eastAsia" w:ascii="仿宋" w:hAnsi="仿宋" w:eastAsia="仿宋" w:cs="仿宋"/>
              </w:rPr>
              <w:t xml:space="preserve">                              </w:t>
            </w:r>
            <w:r>
              <w:rPr>
                <w:rFonts w:ascii="仿宋" w:hAnsi="仿宋" w:eastAsia="仿宋" w:cs="仿宋"/>
              </w:rPr>
              <w:t xml:space="preserve">    </w:t>
            </w:r>
            <w:r>
              <w:rPr>
                <w:rFonts w:hint="eastAsia" w:ascii="仿宋" w:hAnsi="仿宋" w:eastAsia="仿宋" w:cs="仿宋"/>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1692" w:type="dxa"/>
            <w:vAlign w:val="center"/>
          </w:tcPr>
          <w:p>
            <w:pPr>
              <w:adjustRightInd w:val="0"/>
              <w:snapToGrid w:val="0"/>
              <w:rPr>
                <w:rFonts w:ascii="仿宋" w:hAnsi="仿宋" w:eastAsia="仿宋" w:cs="Times New Roman"/>
              </w:rPr>
            </w:pPr>
            <w:r>
              <w:rPr>
                <w:rFonts w:hint="eastAsia" w:ascii="仿宋" w:hAnsi="仿宋" w:eastAsia="仿宋" w:cs="仿宋"/>
              </w:rPr>
              <w:t>专项经费归口管理单位意见</w:t>
            </w:r>
          </w:p>
        </w:tc>
        <w:tc>
          <w:tcPr>
            <w:tcW w:w="8778" w:type="dxa"/>
            <w:gridSpan w:val="4"/>
            <w:vAlign w:val="center"/>
          </w:tcPr>
          <w:p>
            <w:pPr>
              <w:adjustRightInd w:val="0"/>
              <w:snapToGrid w:val="0"/>
              <w:rPr>
                <w:rFonts w:ascii="仿宋" w:hAnsi="仿宋" w:eastAsia="仿宋" w:cs="Times New Roman"/>
              </w:rPr>
            </w:pPr>
          </w:p>
          <w:p>
            <w:pPr>
              <w:adjustRightInd w:val="0"/>
              <w:snapToGrid w:val="0"/>
              <w:rPr>
                <w:rFonts w:ascii="仿宋" w:hAnsi="仿宋" w:eastAsia="仿宋" w:cs="Times New Roman"/>
              </w:rPr>
            </w:pPr>
            <w:r>
              <w:rPr>
                <w:rFonts w:hint="eastAsia" w:ascii="仿宋" w:hAnsi="仿宋" w:eastAsia="仿宋" w:cs="Times New Roman"/>
              </w:rPr>
              <w:t xml:space="preserve">          </w:t>
            </w:r>
          </w:p>
          <w:p>
            <w:pPr>
              <w:adjustRightInd w:val="0"/>
              <w:snapToGrid w:val="0"/>
              <w:ind w:firstLine="4410" w:firstLineChars="2100"/>
              <w:rPr>
                <w:rFonts w:ascii="仿宋" w:hAnsi="仿宋" w:eastAsia="仿宋" w:cs="Times New Roman"/>
              </w:rPr>
            </w:pPr>
            <w:r>
              <w:rPr>
                <w:rFonts w:hint="eastAsia" w:ascii="仿宋" w:hAnsi="仿宋" w:eastAsia="仿宋" w:cs="仿宋"/>
              </w:rPr>
              <w:t>单位负责人签名（盖章）：</w:t>
            </w:r>
          </w:p>
          <w:p>
            <w:pPr>
              <w:adjustRightInd w:val="0"/>
              <w:snapToGrid w:val="0"/>
              <w:ind w:firstLine="6195" w:firstLineChars="2950"/>
              <w:rPr>
                <w:rFonts w:ascii="仿宋" w:hAnsi="仿宋" w:eastAsia="仿宋" w:cs="Times New Roman"/>
              </w:rPr>
            </w:pPr>
            <w:r>
              <w:rPr>
                <w:rFonts w:hint="eastAsia" w:ascii="仿宋" w:hAnsi="仿宋" w:eastAsia="仿宋" w:cs="仿宋"/>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692" w:type="dxa"/>
            <w:vAlign w:val="center"/>
          </w:tcPr>
          <w:p>
            <w:pPr>
              <w:adjustRightInd w:val="0"/>
              <w:snapToGrid w:val="0"/>
              <w:jc w:val="center"/>
              <w:rPr>
                <w:rFonts w:ascii="仿宋" w:hAnsi="仿宋" w:eastAsia="仿宋" w:cs="Times New Roman"/>
              </w:rPr>
            </w:pPr>
            <w:r>
              <w:rPr>
                <w:rFonts w:hint="eastAsia" w:ascii="仿宋" w:hAnsi="仿宋" w:eastAsia="仿宋" w:cs="仿宋"/>
              </w:rPr>
              <w:t>备注</w:t>
            </w:r>
          </w:p>
        </w:tc>
        <w:tc>
          <w:tcPr>
            <w:tcW w:w="8778" w:type="dxa"/>
            <w:gridSpan w:val="4"/>
            <w:vAlign w:val="center"/>
          </w:tcPr>
          <w:p>
            <w:pPr>
              <w:adjustRightInd w:val="0"/>
              <w:snapToGrid w:val="0"/>
              <w:jc w:val="center"/>
              <w:rPr>
                <w:rFonts w:ascii="仿宋" w:hAnsi="仿宋" w:eastAsia="仿宋" w:cs="Times New Roman"/>
              </w:rPr>
            </w:pPr>
          </w:p>
        </w:tc>
      </w:tr>
    </w:tbl>
    <w:p>
      <w:pPr>
        <w:spacing w:line="360" w:lineRule="auto"/>
        <w:ind w:left="-991" w:leftChars="-472" w:right="-949" w:rightChars="-452" w:firstLine="2"/>
        <w:rPr>
          <w:rFonts w:ascii="仿宋" w:hAnsi="仿宋" w:eastAsia="仿宋" w:cs="Times New Roman"/>
        </w:rPr>
      </w:pPr>
      <w:r>
        <w:rPr>
          <w:rFonts w:hint="eastAsia" w:ascii="仿宋" w:hAnsi="仿宋" w:eastAsia="仿宋" w:cs="仿宋"/>
        </w:rPr>
        <w:t>填表说明：</w:t>
      </w:r>
    </w:p>
    <w:p>
      <w:pPr>
        <w:spacing w:line="360" w:lineRule="auto"/>
        <w:ind w:left="-991" w:leftChars="-472" w:right="-949" w:rightChars="-452"/>
        <w:rPr>
          <w:rFonts w:ascii="仿宋" w:hAnsi="仿宋" w:eastAsia="仿宋"/>
        </w:rPr>
      </w:pPr>
      <w:r>
        <w:rPr>
          <w:rFonts w:hint="eastAsia" w:ascii="仿宋" w:hAnsi="仿宋" w:eastAsia="仿宋"/>
          <w:b/>
        </w:rPr>
        <w:t>1.填表要求：</w:t>
      </w:r>
      <w:r>
        <w:rPr>
          <w:rFonts w:hint="eastAsia" w:ascii="仿宋" w:hAnsi="仿宋" w:eastAsia="仿宋"/>
        </w:rPr>
        <w:t>表中所有项目必须填写齐全、准确，并按时申报。否则，不予受理。</w:t>
      </w:r>
    </w:p>
    <w:p>
      <w:pPr>
        <w:spacing w:line="360" w:lineRule="auto"/>
        <w:ind w:left="-991" w:leftChars="-472" w:right="-949" w:rightChars="-452"/>
        <w:rPr>
          <w:rFonts w:ascii="仿宋" w:hAnsi="仿宋" w:eastAsia="仿宋"/>
        </w:rPr>
      </w:pPr>
      <w:r>
        <w:rPr>
          <w:rFonts w:hint="eastAsia" w:ascii="仿宋" w:hAnsi="仿宋" w:eastAsia="仿宋"/>
          <w:b/>
        </w:rPr>
        <w:t>2.申报时间：</w:t>
      </w:r>
      <w:r>
        <w:rPr>
          <w:rFonts w:hint="eastAsia" w:ascii="仿宋" w:hAnsi="仿宋" w:eastAsia="仿宋"/>
        </w:rPr>
        <w:t>每年上半年在</w:t>
      </w:r>
      <w:r>
        <w:rPr>
          <w:rFonts w:hint="eastAsia" w:ascii="仿宋" w:hAnsi="仿宋" w:eastAsia="仿宋"/>
          <w:b/>
        </w:rPr>
        <w:t>3月30日前</w:t>
      </w:r>
      <w:r>
        <w:rPr>
          <w:rFonts w:hint="eastAsia" w:ascii="仿宋" w:hAnsi="仿宋" w:eastAsia="仿宋"/>
        </w:rPr>
        <w:t>申报，下半年在</w:t>
      </w:r>
      <w:r>
        <w:rPr>
          <w:rFonts w:hint="eastAsia" w:ascii="仿宋" w:hAnsi="仿宋" w:eastAsia="仿宋"/>
          <w:b/>
        </w:rPr>
        <w:t>9月30日前</w:t>
      </w:r>
      <w:r>
        <w:rPr>
          <w:rFonts w:hint="eastAsia" w:ascii="仿宋" w:hAnsi="仿宋" w:eastAsia="仿宋"/>
        </w:rPr>
        <w:t>申报；</w:t>
      </w:r>
    </w:p>
    <w:p>
      <w:pPr>
        <w:spacing w:line="360" w:lineRule="auto"/>
        <w:ind w:left="-991" w:leftChars="-472" w:right="-949" w:rightChars="-452"/>
        <w:rPr>
          <w:rFonts w:ascii="仿宋" w:hAnsi="仿宋" w:eastAsia="仿宋" w:cs="Times New Roman"/>
        </w:rPr>
      </w:pPr>
      <w:r>
        <w:rPr>
          <w:rFonts w:hint="eastAsia" w:ascii="仿宋" w:hAnsi="仿宋" w:eastAsia="仿宋" w:cs="Times New Roman"/>
          <w:b/>
        </w:rPr>
        <w:t>3.经费来源：</w:t>
      </w:r>
      <w:r>
        <w:rPr>
          <w:rFonts w:hint="eastAsia" w:ascii="仿宋" w:hAnsi="仿宋" w:eastAsia="仿宋" w:cs="Times New Roman"/>
        </w:rPr>
        <w:t>创新强校、中央财政、冲补强等专项资金属国库支付经费，需填写清楚，否则将影响报账支付；</w:t>
      </w:r>
    </w:p>
    <w:sectPr>
      <w:footerReference r:id="rId3" w:type="default"/>
      <w:pgSz w:w="11906" w:h="16838"/>
      <w:pgMar w:top="1440" w:right="1701" w:bottom="1440"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fldChar w:fldCharType="begin"/>
    </w:r>
    <w:r>
      <w:instrText xml:space="preserve">PAGE   \* MERGEFORMAT</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14BB"/>
    <w:multiLevelType w:val="multilevel"/>
    <w:tmpl w:val="14BF14BB"/>
    <w:lvl w:ilvl="0" w:tentative="0">
      <w:start w:val="18"/>
      <w:numFmt w:val="bullet"/>
      <w:lvlText w:val="★"/>
      <w:lvlJc w:val="left"/>
      <w:pPr>
        <w:ind w:left="720" w:hanging="360"/>
      </w:pPr>
      <w:rPr>
        <w:rFonts w:hint="eastAsia" w:ascii="宋体" w:hAnsi="宋体" w:eastAsia="宋体"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6751393"/>
    <w:multiLevelType w:val="multilevel"/>
    <w:tmpl w:val="2675139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EB83EC2"/>
    <w:multiLevelType w:val="multilevel"/>
    <w:tmpl w:val="4EB83EC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55"/>
    <w:rsid w:val="000436E9"/>
    <w:rsid w:val="00053A88"/>
    <w:rsid w:val="000B0A67"/>
    <w:rsid w:val="000F49F8"/>
    <w:rsid w:val="00100AD7"/>
    <w:rsid w:val="00103811"/>
    <w:rsid w:val="001278BF"/>
    <w:rsid w:val="00131041"/>
    <w:rsid w:val="001568AF"/>
    <w:rsid w:val="001756D5"/>
    <w:rsid w:val="001803AF"/>
    <w:rsid w:val="001932A6"/>
    <w:rsid w:val="00193E5B"/>
    <w:rsid w:val="001963EC"/>
    <w:rsid w:val="001A133F"/>
    <w:rsid w:val="001C4EF3"/>
    <w:rsid w:val="0025333D"/>
    <w:rsid w:val="00260A88"/>
    <w:rsid w:val="002832D7"/>
    <w:rsid w:val="002956B4"/>
    <w:rsid w:val="002A01F9"/>
    <w:rsid w:val="002A7124"/>
    <w:rsid w:val="002C7FE9"/>
    <w:rsid w:val="002E29B3"/>
    <w:rsid w:val="002E68F7"/>
    <w:rsid w:val="002F5B82"/>
    <w:rsid w:val="003045A2"/>
    <w:rsid w:val="0031300F"/>
    <w:rsid w:val="00316B7A"/>
    <w:rsid w:val="003173FC"/>
    <w:rsid w:val="00320887"/>
    <w:rsid w:val="00363B72"/>
    <w:rsid w:val="003653FE"/>
    <w:rsid w:val="00386A36"/>
    <w:rsid w:val="003915C4"/>
    <w:rsid w:val="003E19E1"/>
    <w:rsid w:val="00407159"/>
    <w:rsid w:val="00420C28"/>
    <w:rsid w:val="00457A40"/>
    <w:rsid w:val="0046149A"/>
    <w:rsid w:val="00467426"/>
    <w:rsid w:val="00474701"/>
    <w:rsid w:val="004B62E5"/>
    <w:rsid w:val="004C3EC0"/>
    <w:rsid w:val="004D2D2F"/>
    <w:rsid w:val="00501955"/>
    <w:rsid w:val="00504A8F"/>
    <w:rsid w:val="005124F9"/>
    <w:rsid w:val="00551ADE"/>
    <w:rsid w:val="005807B6"/>
    <w:rsid w:val="005863A9"/>
    <w:rsid w:val="00586CA6"/>
    <w:rsid w:val="005A0786"/>
    <w:rsid w:val="005B3E91"/>
    <w:rsid w:val="005B7DE1"/>
    <w:rsid w:val="005B7F05"/>
    <w:rsid w:val="005C39E6"/>
    <w:rsid w:val="005D4332"/>
    <w:rsid w:val="005F4573"/>
    <w:rsid w:val="005F4F4D"/>
    <w:rsid w:val="006214EF"/>
    <w:rsid w:val="00630D36"/>
    <w:rsid w:val="006505E4"/>
    <w:rsid w:val="006775E8"/>
    <w:rsid w:val="00681B00"/>
    <w:rsid w:val="006A212A"/>
    <w:rsid w:val="006A59D6"/>
    <w:rsid w:val="006A7A24"/>
    <w:rsid w:val="006B64BC"/>
    <w:rsid w:val="00704F3C"/>
    <w:rsid w:val="00705B98"/>
    <w:rsid w:val="00715599"/>
    <w:rsid w:val="00732471"/>
    <w:rsid w:val="00732A76"/>
    <w:rsid w:val="00736F24"/>
    <w:rsid w:val="00767582"/>
    <w:rsid w:val="00780FEF"/>
    <w:rsid w:val="007911F0"/>
    <w:rsid w:val="00792F81"/>
    <w:rsid w:val="007B135C"/>
    <w:rsid w:val="007B47DB"/>
    <w:rsid w:val="007E29AF"/>
    <w:rsid w:val="00804775"/>
    <w:rsid w:val="008230D0"/>
    <w:rsid w:val="00840FD3"/>
    <w:rsid w:val="0085351A"/>
    <w:rsid w:val="00860241"/>
    <w:rsid w:val="0086101F"/>
    <w:rsid w:val="00861168"/>
    <w:rsid w:val="00882772"/>
    <w:rsid w:val="00897958"/>
    <w:rsid w:val="0090282A"/>
    <w:rsid w:val="00915159"/>
    <w:rsid w:val="00923089"/>
    <w:rsid w:val="009353C3"/>
    <w:rsid w:val="00942C06"/>
    <w:rsid w:val="009761B4"/>
    <w:rsid w:val="009806F7"/>
    <w:rsid w:val="00982DCC"/>
    <w:rsid w:val="009A5CEB"/>
    <w:rsid w:val="009B0032"/>
    <w:rsid w:val="009B38D8"/>
    <w:rsid w:val="009D6C0A"/>
    <w:rsid w:val="009D728B"/>
    <w:rsid w:val="009E270C"/>
    <w:rsid w:val="009F281D"/>
    <w:rsid w:val="009F4104"/>
    <w:rsid w:val="00A40986"/>
    <w:rsid w:val="00A46866"/>
    <w:rsid w:val="00A5350C"/>
    <w:rsid w:val="00A64147"/>
    <w:rsid w:val="00A77AA0"/>
    <w:rsid w:val="00AA1600"/>
    <w:rsid w:val="00AD4C89"/>
    <w:rsid w:val="00AE3B25"/>
    <w:rsid w:val="00B11543"/>
    <w:rsid w:val="00B1337F"/>
    <w:rsid w:val="00B47251"/>
    <w:rsid w:val="00B66E62"/>
    <w:rsid w:val="00B705BC"/>
    <w:rsid w:val="00B7636B"/>
    <w:rsid w:val="00BB6642"/>
    <w:rsid w:val="00BD65DF"/>
    <w:rsid w:val="00BE763B"/>
    <w:rsid w:val="00C16BDB"/>
    <w:rsid w:val="00C222AE"/>
    <w:rsid w:val="00C33F5D"/>
    <w:rsid w:val="00C361F2"/>
    <w:rsid w:val="00C41873"/>
    <w:rsid w:val="00C440BE"/>
    <w:rsid w:val="00C5097D"/>
    <w:rsid w:val="00C71F86"/>
    <w:rsid w:val="00C95CCF"/>
    <w:rsid w:val="00CA7281"/>
    <w:rsid w:val="00CB731F"/>
    <w:rsid w:val="00CF4833"/>
    <w:rsid w:val="00D12A74"/>
    <w:rsid w:val="00D13F57"/>
    <w:rsid w:val="00D36920"/>
    <w:rsid w:val="00D41C57"/>
    <w:rsid w:val="00D4243E"/>
    <w:rsid w:val="00D54F66"/>
    <w:rsid w:val="00D74A42"/>
    <w:rsid w:val="00D80DF0"/>
    <w:rsid w:val="00DA5993"/>
    <w:rsid w:val="00DA74CD"/>
    <w:rsid w:val="00DD3EE0"/>
    <w:rsid w:val="00DE0384"/>
    <w:rsid w:val="00DE16ED"/>
    <w:rsid w:val="00E166CB"/>
    <w:rsid w:val="00E56880"/>
    <w:rsid w:val="00E66064"/>
    <w:rsid w:val="00E7511A"/>
    <w:rsid w:val="00E81E66"/>
    <w:rsid w:val="00E83771"/>
    <w:rsid w:val="00E83D0B"/>
    <w:rsid w:val="00E93BB7"/>
    <w:rsid w:val="00F002F2"/>
    <w:rsid w:val="00F00DE5"/>
    <w:rsid w:val="00F44F24"/>
    <w:rsid w:val="00F67EFF"/>
    <w:rsid w:val="00F86FA7"/>
    <w:rsid w:val="00FB6E81"/>
    <w:rsid w:val="00FC2E51"/>
    <w:rsid w:val="00FE50E4"/>
    <w:rsid w:val="2059684E"/>
    <w:rsid w:val="3CF94340"/>
    <w:rsid w:val="3FE14DD1"/>
    <w:rsid w:val="49ED38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Calibri"/>
      <w:kern w:val="2"/>
      <w:sz w:val="21"/>
      <w:szCs w:val="21"/>
      <w:lang w:val="en-US" w:eastAsia="zh-CN" w:bidi="ar-SA"/>
    </w:rPr>
  </w:style>
  <w:style w:type="paragraph" w:styleId="2">
    <w:name w:val="heading 2"/>
    <w:basedOn w:val="1"/>
    <w:next w:val="1"/>
    <w:link w:val="12"/>
    <w:unhideWhenUsed/>
    <w:qFormat/>
    <w:locked/>
    <w:uiPriority w:val="9"/>
    <w:pPr>
      <w:keepNext/>
      <w:keepLines/>
      <w:spacing w:before="260" w:after="260" w:line="416" w:lineRule="auto"/>
      <w:outlineLvl w:val="1"/>
    </w:pPr>
    <w:rPr>
      <w:rFonts w:asciiTheme="majorHAnsi" w:hAnsiTheme="majorHAnsi" w:eastAsiaTheme="majorEastAsia" w:cstheme="majorBidi"/>
      <w:b/>
      <w:bCs/>
      <w:kern w:val="0"/>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locked/>
    <w:uiPriority w:val="99"/>
    <w:rPr>
      <w:sz w:val="18"/>
      <w:szCs w:val="18"/>
    </w:rPr>
  </w:style>
  <w:style w:type="character" w:customStyle="1" w:styleId="9">
    <w:name w:val="Footer Char"/>
    <w:basedOn w:val="7"/>
    <w:link w:val="4"/>
    <w:qFormat/>
    <w:locked/>
    <w:uiPriority w:val="99"/>
    <w:rPr>
      <w:sz w:val="18"/>
      <w:szCs w:val="18"/>
    </w:rPr>
  </w:style>
  <w:style w:type="character" w:customStyle="1" w:styleId="10">
    <w:name w:val="Balloon Text Char"/>
    <w:basedOn w:val="7"/>
    <w:link w:val="3"/>
    <w:semiHidden/>
    <w:qFormat/>
    <w:uiPriority w:val="99"/>
    <w:rPr>
      <w:rFonts w:cs="Calibri"/>
      <w:sz w:val="0"/>
      <w:szCs w:val="0"/>
    </w:rPr>
  </w:style>
  <w:style w:type="paragraph" w:styleId="11">
    <w:name w:val="List Paragraph"/>
    <w:basedOn w:val="1"/>
    <w:qFormat/>
    <w:uiPriority w:val="34"/>
    <w:pPr>
      <w:widowControl/>
      <w:ind w:left="720"/>
      <w:contextualSpacing/>
      <w:jc w:val="left"/>
    </w:pPr>
    <w:rPr>
      <w:rFonts w:asciiTheme="minorHAnsi" w:hAnsiTheme="minorHAnsi" w:eastAsiaTheme="minorEastAsia" w:cstheme="minorBidi"/>
      <w:kern w:val="0"/>
      <w:sz w:val="22"/>
      <w:szCs w:val="22"/>
    </w:rPr>
  </w:style>
  <w:style w:type="character" w:customStyle="1" w:styleId="12">
    <w:name w:val="Heading 2 Char"/>
    <w:basedOn w:val="7"/>
    <w:link w:val="2"/>
    <w:uiPriority w:val="9"/>
    <w:rPr>
      <w:rFonts w:asciiTheme="majorHAnsi" w:hAnsiTheme="majorHAnsi" w:eastAsiaTheme="majorEastAsia" w:cstheme="majorBidi"/>
      <w:b/>
      <w:bCs/>
      <w:sz w:val="32"/>
      <w:szCs w:val="32"/>
      <w:lang w:val="en-US"/>
    </w:rPr>
  </w:style>
  <w:style w:type="paragraph" w:customStyle="1" w:styleId="13">
    <w:name w:val="石墨文档正文"/>
    <w:qFormat/>
    <w:uiPriority w:val="0"/>
    <w:pPr>
      <w:spacing w:after="0" w:line="240" w:lineRule="auto"/>
    </w:pPr>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418</Words>
  <Characters>2388</Characters>
  <Lines>19</Lines>
  <Paragraphs>5</Paragraphs>
  <TotalTime>1</TotalTime>
  <ScaleCrop>false</ScaleCrop>
  <LinksUpToDate>false</LinksUpToDate>
  <CharactersWithSpaces>2801</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2020-11-02T16:41:00Z</dcterms:created>
  <dc:creator>曾华强</dc:creator>
  <cp:lastModifiedBy>Administrator</cp:lastModifiedBy>
  <cp:lastPrinted>2018-03-19T00:50:00Z</cp:lastPrinted>
  <dcterms:modified xsi:type="dcterms:W3CDTF">2020-11-12T03:30:48Z</dcterms:modified>
  <dc:title>附表3</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