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2023</w:t>
      </w:r>
      <w:r>
        <w:rPr>
          <w:rFonts w:hint="eastAsia" w:ascii="宋体" w:hAnsi="宋体"/>
          <w:b/>
          <w:sz w:val="36"/>
          <w:u w:val="single"/>
          <w:lang w:eastAsia="zh-CN"/>
        </w:rPr>
        <w:t>年</w:t>
      </w:r>
      <w:r>
        <w:rPr>
          <w:rFonts w:hint="eastAsia" w:ascii="宋体" w:hAnsi="宋体"/>
          <w:b/>
          <w:sz w:val="36"/>
          <w:u w:val="single"/>
        </w:rPr>
        <w:t>在线开放课程建设　</w:t>
      </w:r>
    </w:p>
    <w:p>
      <w:pPr>
        <w:spacing w:line="760" w:lineRule="exact"/>
        <w:ind w:firstLine="1084" w:firstLineChars="300"/>
        <w:rPr>
          <w:rFonts w:hint="default" w:ascii="宋体" w:hAnsi="宋体" w:eastAsia="宋体"/>
          <w:b/>
          <w:sz w:val="36"/>
          <w:szCs w:val="36"/>
          <w:u w:val="single"/>
          <w:lang w:val="en-US" w:eastAsia="zh-CN"/>
        </w:rPr>
      </w:pPr>
      <w:r>
        <w:rPr>
          <w:rFonts w:hint="eastAsia"/>
          <w:b/>
          <w:sz w:val="36"/>
          <w:szCs w:val="36"/>
        </w:rPr>
        <w:t>采购单位：</w:t>
      </w:r>
      <w:r>
        <w:rPr>
          <w:rFonts w:hint="eastAsia" w:ascii="宋体" w:hAnsi="宋体" w:eastAsia="宋体" w:cs="宋体"/>
          <w:b/>
          <w:sz w:val="36"/>
          <w:szCs w:val="36"/>
          <w:u w:val="single"/>
          <w:lang w:val="en-US" w:eastAsia="zh-CN"/>
        </w:rPr>
        <w:t xml:space="preserve">  </w:t>
      </w:r>
      <w:r>
        <w:rPr>
          <w:rFonts w:hint="eastAsia" w:ascii="宋体" w:hAnsi="宋体"/>
          <w:b/>
          <w:sz w:val="36"/>
          <w:u w:val="single"/>
        </w:rPr>
        <w:t>广东财经大学</w:t>
      </w:r>
      <w:r>
        <w:rPr>
          <w:rFonts w:hint="eastAsia" w:ascii="宋体" w:hAnsi="宋体"/>
          <w:b/>
          <w:sz w:val="36"/>
          <w:u w:val="single"/>
          <w:lang w:eastAsia="zh-CN"/>
        </w:rPr>
        <w:t>经济学院</w:t>
      </w:r>
      <w:r>
        <w:rPr>
          <w:rFonts w:hint="eastAsia" w:ascii="宋体" w:hAnsi="宋体"/>
          <w:b/>
          <w:sz w:val="36"/>
          <w:u w:val="single"/>
          <w:lang w:val="en-US" w:eastAsia="zh-CN"/>
        </w:rPr>
        <w:t xml:space="preserve">   </w:t>
      </w:r>
    </w:p>
    <w:p>
      <w:pPr>
        <w:spacing w:line="760" w:lineRule="exact"/>
        <w:ind w:firstLine="1084" w:firstLineChars="300"/>
        <w:rPr>
          <w:rFonts w:ascii="宋体" w:hAnsi="宋体"/>
          <w:b/>
          <w:sz w:val="36"/>
          <w:szCs w:val="36"/>
          <w:u w:val="single"/>
        </w:rPr>
      </w:pPr>
      <w:r>
        <w:rPr>
          <w:rFonts w:hint="eastAsia"/>
          <w:b/>
          <w:sz w:val="36"/>
          <w:szCs w:val="36"/>
        </w:rPr>
        <w:t>发布时间：</w:t>
      </w:r>
      <w:r>
        <w:rPr>
          <w:rFonts w:hint="eastAsia" w:ascii="宋体" w:hAnsi="宋体" w:eastAsia="宋体" w:cs="宋体"/>
          <w:b/>
          <w:sz w:val="36"/>
          <w:szCs w:val="36"/>
          <w:u w:val="single"/>
          <w:lang w:val="en-US" w:eastAsia="zh-CN"/>
        </w:rPr>
        <w:t xml:space="preserve">    </w:t>
      </w:r>
      <w:r>
        <w:rPr>
          <w:rFonts w:hint="eastAsia" w:ascii="宋体" w:hAnsi="宋体"/>
          <w:b/>
          <w:sz w:val="36"/>
          <w:u w:val="single"/>
        </w:rPr>
        <w:t>2023年1</w:t>
      </w:r>
      <w:r>
        <w:rPr>
          <w:rFonts w:hint="eastAsia" w:ascii="宋体" w:hAnsi="宋体"/>
          <w:b/>
          <w:sz w:val="36"/>
          <w:u w:val="single"/>
          <w:lang w:val="en-US" w:eastAsia="zh-CN"/>
        </w:rPr>
        <w:t>1</w:t>
      </w:r>
      <w:r>
        <w:rPr>
          <w:rFonts w:hint="eastAsia" w:ascii="宋体" w:hAnsi="宋体"/>
          <w:b/>
          <w:sz w:val="36"/>
          <w:u w:val="single"/>
        </w:rPr>
        <w:t>月1</w:t>
      </w:r>
      <w:r>
        <w:rPr>
          <w:rFonts w:hint="eastAsia" w:ascii="宋体" w:hAnsi="宋体"/>
          <w:b/>
          <w:sz w:val="36"/>
          <w:u w:val="single"/>
          <w:lang w:val="en-US" w:eastAsia="zh-CN"/>
        </w:rPr>
        <w:t>5</w:t>
      </w:r>
      <w:r>
        <w:rPr>
          <w:rFonts w:hint="eastAsia" w:ascii="宋体" w:hAnsi="宋体"/>
          <w:b/>
          <w:sz w:val="36"/>
          <w:u w:val="single"/>
        </w:rPr>
        <w:t xml:space="preserve">日    </w:t>
      </w: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fldChar w:fldCharType="end"/>
      </w:r>
    </w:p>
    <w:p>
      <w:pPr>
        <w:pStyle w:val="18"/>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6</w:t>
      </w:r>
    </w:p>
    <w:p>
      <w:pPr>
        <w:pStyle w:val="24"/>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采购内容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6</w:t>
      </w:r>
    </w:p>
    <w:p>
      <w:pPr>
        <w:pStyle w:val="24"/>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lang w:eastAsia="zh-CN"/>
        </w:rPr>
        <w:t>技术</w:t>
      </w:r>
      <w:r>
        <w:rPr>
          <w:rFonts w:hint="eastAsia" w:asciiTheme="minorEastAsia" w:hAnsiTheme="minorEastAsia" w:eastAsiaTheme="minorEastAsia" w:cstheme="minorEastAsia"/>
          <w:sz w:val="28"/>
          <w:szCs w:val="28"/>
        </w:rPr>
        <w:t>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6</w:t>
      </w:r>
    </w:p>
    <w:p>
      <w:pPr>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 xml:space="preserve">   三、商务要求..............................................34</w:t>
      </w:r>
    </w:p>
    <w:p>
      <w:pPr>
        <w:pStyle w:val="18"/>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6</w:t>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eastAsia="宋体" w:cs="宋体"/>
          <w:bCs/>
          <w:sz w:val="28"/>
          <w:szCs w:val="28"/>
          <w:u w:val="single"/>
        </w:rPr>
      </w:pPr>
      <w:bookmarkStart w:id="7" w:name="_Toc60236699"/>
      <w:bookmarkStart w:id="8" w:name="_Toc508103352"/>
      <w:bookmarkStart w:id="9" w:name="_Toc28829"/>
      <w:r>
        <w:rPr>
          <w:rFonts w:hint="eastAsia" w:ascii="宋体" w:hAnsi="宋体" w:eastAsia="宋体" w:cs="宋体"/>
          <w:bCs/>
          <w:sz w:val="28"/>
          <w:szCs w:val="28"/>
        </w:rPr>
        <w:t>1.项目名称：</w:t>
      </w:r>
      <w:r>
        <w:rPr>
          <w:rFonts w:hint="eastAsia" w:ascii="宋体" w:hAnsi="宋体" w:eastAsia="宋体" w:cs="宋体"/>
          <w:bCs/>
          <w:sz w:val="28"/>
          <w:szCs w:val="28"/>
          <w:u w:val="single"/>
        </w:rPr>
        <w:t xml:space="preserve"> 2023</w:t>
      </w:r>
      <w:r>
        <w:rPr>
          <w:rFonts w:hint="eastAsia" w:ascii="宋体" w:hAnsi="宋体" w:eastAsia="宋体" w:cs="宋体"/>
          <w:bCs/>
          <w:sz w:val="28"/>
          <w:szCs w:val="28"/>
          <w:u w:val="single"/>
          <w:lang w:eastAsia="zh-CN"/>
        </w:rPr>
        <w:t>年</w:t>
      </w:r>
      <w:r>
        <w:rPr>
          <w:rFonts w:hint="eastAsia" w:ascii="宋体" w:hAnsi="宋体" w:eastAsia="宋体" w:cs="宋体"/>
          <w:bCs/>
          <w:sz w:val="28"/>
          <w:szCs w:val="28"/>
          <w:u w:val="single"/>
        </w:rPr>
        <w:t>在线开放课程建设</w:t>
      </w:r>
      <w:r>
        <w:rPr>
          <w:rFonts w:hint="eastAsia" w:ascii="宋体" w:hAnsi="宋体" w:eastAsia="宋体" w:cs="宋体"/>
          <w:bCs/>
          <w:sz w:val="28"/>
          <w:szCs w:val="28"/>
        </w:rPr>
        <w:t>。</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rPr>
        <w:t>2.经费预算：人民币</w:t>
      </w:r>
      <w:r>
        <w:rPr>
          <w:rFonts w:hint="eastAsia" w:ascii="宋体" w:hAnsi="宋体" w:eastAsia="宋体" w:cs="宋体"/>
          <w:bCs/>
          <w:sz w:val="28"/>
          <w:szCs w:val="28"/>
          <w:u w:val="single"/>
        </w:rPr>
        <w:t xml:space="preserve"> 9.95</w:t>
      </w:r>
      <w:r>
        <w:rPr>
          <w:rFonts w:hint="eastAsia" w:ascii="宋体" w:hAnsi="宋体" w:eastAsia="宋体" w:cs="宋体"/>
          <w:bCs/>
          <w:sz w:val="28"/>
          <w:szCs w:val="28"/>
        </w:rPr>
        <w:t>万元，资金来源:</w:t>
      </w:r>
      <w:r>
        <w:rPr>
          <w:rFonts w:hint="eastAsia" w:ascii="宋体" w:hAnsi="宋体" w:eastAsia="宋体" w:cs="宋体"/>
          <w:bCs/>
          <w:sz w:val="28"/>
          <w:szCs w:val="28"/>
          <w:u w:val="single"/>
        </w:rPr>
        <w:t>《微观经济学》课程经费。</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rPr>
        <w:t>3.预算及报价费用包括：</w:t>
      </w:r>
      <w:r>
        <w:rPr>
          <w:rFonts w:hint="eastAsia" w:ascii="宋体" w:hAnsi="宋体" w:eastAsia="宋体" w:cs="宋体"/>
          <w:bCs/>
          <w:sz w:val="28"/>
          <w:szCs w:val="28"/>
          <w:u w:val="words"/>
        </w:rPr>
        <w:t>《微观经济学》在</w:t>
      </w:r>
      <w:r>
        <w:rPr>
          <w:rFonts w:hint="eastAsia" w:ascii="宋体" w:hAnsi="宋体" w:eastAsia="宋体" w:cs="宋体"/>
          <w:bCs/>
          <w:sz w:val="28"/>
          <w:szCs w:val="28"/>
          <w:u w:val="single"/>
        </w:rPr>
        <w:t>线开放课程制作（一个宣传片和不少于400分钟的教学视频设计与拍摄、课程内容制作，并配合上线粤港澳大湾区联盟平台、学银在线）。</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4.项目简介与总体要求：</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为促进优质教育资源开放共享和课程教学模式改革，探索校本在线开放课程建设模式和混合式教学模式，我校持续开展在线开放课程建设，精心打造具有校本特色的高质量课程。</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课程制作服务的要求：</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在合同签订后6个月内完成在线开放课程拍摄、制作工作，并配合学校上线粤港澳大湾区联盟平台、学银在线</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820" w:type="dxa"/>
            <w:gridSpan w:val="2"/>
            <w:noWrap/>
            <w:vAlign w:val="center"/>
          </w:tcPr>
          <w:p>
            <w:pPr>
              <w:jc w:val="center"/>
              <w:rPr>
                <w:b/>
                <w:sz w:val="24"/>
              </w:rPr>
            </w:pPr>
            <w:r>
              <w:rPr>
                <w:b/>
                <w:sz w:val="24"/>
              </w:rPr>
              <w:t>评审因素</w:t>
            </w:r>
          </w:p>
        </w:tc>
        <w:tc>
          <w:tcPr>
            <w:tcW w:w="1080" w:type="dxa"/>
            <w:noWrap/>
            <w:vAlign w:val="center"/>
          </w:tcPr>
          <w:p>
            <w:pPr>
              <w:jc w:val="center"/>
              <w:rPr>
                <w:b/>
                <w:sz w:val="24"/>
              </w:rPr>
            </w:pPr>
            <w:r>
              <w:rPr>
                <w:rFonts w:hint="eastAsia"/>
                <w:b/>
                <w:sz w:val="24"/>
              </w:rPr>
              <w:t>权重</w:t>
            </w:r>
          </w:p>
        </w:tc>
        <w:tc>
          <w:tcPr>
            <w:tcW w:w="5400" w:type="dxa"/>
            <w:noWrap/>
            <w:vAlign w:val="center"/>
          </w:tcPr>
          <w:p>
            <w:pPr>
              <w:jc w:val="center"/>
              <w:rPr>
                <w:b/>
                <w:sz w:val="24"/>
              </w:rPr>
            </w:pPr>
            <w:r>
              <w:rPr>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20" w:type="dxa"/>
            <w:gridSpan w:val="2"/>
            <w:noWrap/>
            <w:vAlign w:val="center"/>
          </w:tcPr>
          <w:p>
            <w:pPr>
              <w:jc w:val="center"/>
              <w:rPr>
                <w:sz w:val="24"/>
              </w:rPr>
            </w:pPr>
            <w:r>
              <w:rPr>
                <w:rFonts w:hint="eastAsia"/>
                <w:sz w:val="24"/>
              </w:rPr>
              <w:t>报价</w:t>
            </w:r>
          </w:p>
          <w:p>
            <w:pPr>
              <w:jc w:val="both"/>
              <w:rPr>
                <w:sz w:val="24"/>
              </w:rPr>
            </w:pPr>
          </w:p>
        </w:tc>
        <w:tc>
          <w:tcPr>
            <w:tcW w:w="1080" w:type="dxa"/>
            <w:noWrap/>
            <w:vAlign w:val="center"/>
          </w:tcPr>
          <w:p>
            <w:pPr>
              <w:jc w:val="center"/>
              <w:rPr>
                <w:sz w:val="24"/>
              </w:rPr>
            </w:pPr>
            <w:r>
              <w:rPr>
                <w:sz w:val="24"/>
              </w:rPr>
              <w:t>10</w:t>
            </w:r>
          </w:p>
        </w:tc>
        <w:tc>
          <w:tcPr>
            <w:tcW w:w="5400" w:type="dxa"/>
            <w:noWrap/>
            <w:vAlign w:val="center"/>
          </w:tcPr>
          <w:p>
            <w:pPr>
              <w:ind w:left="-2" w:leftChars="-1"/>
              <w:rPr>
                <w:rFonts w:hint="eastAsia"/>
                <w:sz w:val="24"/>
              </w:rPr>
            </w:pPr>
            <w:r>
              <w:rPr>
                <w:rFonts w:hint="eastAsia"/>
                <w:sz w:val="24"/>
              </w:rPr>
              <w:t>1、价格评审满分为10分，为客观计算得分。</w:t>
            </w:r>
          </w:p>
          <w:p>
            <w:pPr>
              <w:ind w:left="-2" w:leftChars="-1"/>
              <w:rPr>
                <w:rFonts w:hint="eastAsia"/>
                <w:sz w:val="24"/>
              </w:rPr>
            </w:pPr>
            <w:r>
              <w:rPr>
                <w:rFonts w:hint="eastAsia"/>
                <w:sz w:val="24"/>
              </w:rPr>
              <w:t>2、以所有通过资格性与符合性审查的投标人的投标报价作为评审的依据，投标人价格得分评分方法如下：</w:t>
            </w:r>
          </w:p>
          <w:p>
            <w:pPr>
              <w:ind w:left="-2" w:leftChars="-1"/>
              <w:rPr>
                <w:rFonts w:hint="eastAsia"/>
                <w:sz w:val="24"/>
              </w:rPr>
            </w:pPr>
            <w:r>
              <w:rPr>
                <w:rFonts w:hint="eastAsia"/>
                <w:sz w:val="24"/>
              </w:rPr>
              <w:t>评标基准价＝实质性满足招标文件要求且投标价格最低的投标报价；</w:t>
            </w:r>
          </w:p>
          <w:p>
            <w:pPr>
              <w:ind w:left="-2" w:leftChars="-1"/>
              <w:rPr>
                <w:sz w:val="24"/>
              </w:rPr>
            </w:pPr>
            <w:r>
              <w:rPr>
                <w:rFonts w:hint="eastAsia"/>
                <w:sz w:val="24"/>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40" w:type="dxa"/>
            <w:vMerge w:val="restart"/>
            <w:noWrap/>
            <w:textDirection w:val="tbRlV"/>
            <w:vAlign w:val="center"/>
          </w:tcPr>
          <w:p>
            <w:pPr>
              <w:ind w:left="113" w:right="113"/>
              <w:jc w:val="center"/>
              <w:rPr>
                <w:sz w:val="24"/>
              </w:rPr>
            </w:pPr>
            <w:r>
              <w:rPr>
                <w:sz w:val="24"/>
              </w:rPr>
              <w:t>技术</w:t>
            </w:r>
            <w:r>
              <w:rPr>
                <w:rFonts w:hint="eastAsia"/>
                <w:sz w:val="24"/>
              </w:rPr>
              <w:t>因素</w:t>
            </w:r>
          </w:p>
        </w:tc>
        <w:tc>
          <w:tcPr>
            <w:tcW w:w="1980" w:type="dxa"/>
            <w:noWrap/>
            <w:vAlign w:val="center"/>
          </w:tcPr>
          <w:p>
            <w:pPr>
              <w:jc w:val="center"/>
              <w:rPr>
                <w:rFonts w:hint="eastAsia" w:eastAsia="宋体"/>
                <w:sz w:val="24"/>
                <w:lang w:eastAsia="zh-CN"/>
              </w:rPr>
            </w:pPr>
            <w:r>
              <w:rPr>
                <w:rFonts w:hint="eastAsia" w:cs="宋体" w:asciiTheme="minorEastAsia" w:hAnsiTheme="minorEastAsia"/>
                <w:sz w:val="24"/>
              </w:rPr>
              <w:t>技术响应</w:t>
            </w:r>
            <w:r>
              <w:rPr>
                <w:rFonts w:hint="eastAsia" w:cs="宋体" w:asciiTheme="minorEastAsia" w:hAnsiTheme="minorEastAsia"/>
                <w:sz w:val="24"/>
                <w:lang w:eastAsia="zh-CN"/>
              </w:rPr>
              <w:t>程度</w:t>
            </w:r>
          </w:p>
        </w:tc>
        <w:tc>
          <w:tcPr>
            <w:tcW w:w="1080" w:type="dxa"/>
            <w:noWrap/>
            <w:vAlign w:val="center"/>
          </w:tcPr>
          <w:p>
            <w:pPr>
              <w:jc w:val="center"/>
              <w:rPr>
                <w:sz w:val="24"/>
              </w:rPr>
            </w:pPr>
            <w:r>
              <w:rPr>
                <w:sz w:val="24"/>
              </w:rPr>
              <w:t>15</w:t>
            </w:r>
          </w:p>
        </w:tc>
        <w:tc>
          <w:tcPr>
            <w:tcW w:w="5400" w:type="dxa"/>
            <w:noWrap/>
            <w:vAlign w:val="center"/>
          </w:tcPr>
          <w:p>
            <w:pPr>
              <w:rPr>
                <w:sz w:val="24"/>
              </w:rPr>
            </w:pPr>
            <w:r>
              <w:rPr>
                <w:rFonts w:hint="eastAsia"/>
                <w:sz w:val="24"/>
              </w:rPr>
              <w:t>考查有效投标人投标产品的技术参数响应程度，完全满足得15分；投标人技术响应程度存在负偏离的，在15分的基础上扣除相应分数，每项带“</w:t>
            </w:r>
            <w:bookmarkStart w:id="28" w:name="_GoBack"/>
            <w:r>
              <w:rPr>
                <w:rFonts w:hint="eastAsia"/>
                <w:sz w:val="24"/>
              </w:rPr>
              <w:t>▲</w:t>
            </w:r>
            <w:bookmarkEnd w:id="28"/>
            <w:r>
              <w:rPr>
                <w:rFonts w:hint="eastAsia"/>
                <w:sz w:val="24"/>
              </w:rPr>
              <w:t>”号技术参数不满足扣1分，非“★”、非“▲”项每负偏离一项扣0.5分，直到扣完为止。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lang w:eastAsia="zh-CN"/>
              </w:rPr>
              <w:t>项目执行整体</w:t>
            </w:r>
            <w:r>
              <w:rPr>
                <w:rFonts w:hint="eastAsia" w:cs="宋体" w:asciiTheme="minorEastAsia" w:hAnsiTheme="minorEastAsia"/>
                <w:sz w:val="24"/>
              </w:rPr>
              <w:t>方案</w:t>
            </w:r>
          </w:p>
        </w:tc>
        <w:tc>
          <w:tcPr>
            <w:tcW w:w="1080" w:type="dxa"/>
            <w:noWrap/>
            <w:vAlign w:val="center"/>
          </w:tcPr>
          <w:p>
            <w:pPr>
              <w:jc w:val="center"/>
              <w:rPr>
                <w:rFonts w:hint="eastAsia" w:eastAsia="宋体"/>
                <w:sz w:val="24"/>
                <w:lang w:eastAsia="zh-CN"/>
              </w:rPr>
            </w:pPr>
            <w:r>
              <w:rPr>
                <w:rFonts w:hint="eastAsia"/>
                <w:sz w:val="24"/>
                <w:lang w:val="en-US" w:eastAsia="zh-CN"/>
              </w:rPr>
              <w:t>7</w:t>
            </w:r>
          </w:p>
        </w:tc>
        <w:tc>
          <w:tcPr>
            <w:tcW w:w="5400" w:type="dxa"/>
            <w:noWrap/>
            <w:vAlign w:val="center"/>
          </w:tcPr>
          <w:p>
            <w:pPr>
              <w:rPr>
                <w:rFonts w:hint="eastAsia"/>
                <w:sz w:val="24"/>
              </w:rPr>
            </w:pPr>
            <w:r>
              <w:rPr>
                <w:rFonts w:hint="eastAsia"/>
                <w:sz w:val="24"/>
              </w:rPr>
              <w:t>投标人针对本项目需求制定的项目执行整体方案，包括但不限于项目重点难点的理解和分析、根据课程制作流程制定的项目执行总体计划等。</w:t>
            </w:r>
          </w:p>
          <w:p>
            <w:pPr>
              <w:rPr>
                <w:rFonts w:hint="eastAsia"/>
                <w:sz w:val="24"/>
              </w:rPr>
            </w:pPr>
            <w:r>
              <w:rPr>
                <w:rFonts w:hint="eastAsia"/>
                <w:sz w:val="24"/>
              </w:rPr>
              <w:t>项目实施方案全面、可行、合理、具体得7分；</w:t>
            </w:r>
          </w:p>
          <w:p>
            <w:pPr>
              <w:rPr>
                <w:rFonts w:hint="eastAsia"/>
                <w:sz w:val="24"/>
              </w:rPr>
            </w:pPr>
            <w:r>
              <w:rPr>
                <w:rFonts w:hint="eastAsia"/>
                <w:sz w:val="24"/>
              </w:rPr>
              <w:t>项目实施方案较为全面、可行、合理、具体得5分；</w:t>
            </w:r>
          </w:p>
          <w:p>
            <w:pPr>
              <w:rPr>
                <w:rFonts w:hint="eastAsia"/>
                <w:sz w:val="24"/>
              </w:rPr>
            </w:pPr>
            <w:r>
              <w:rPr>
                <w:rFonts w:hint="eastAsia"/>
                <w:sz w:val="24"/>
              </w:rPr>
              <w:t>项目实施方案一般全面、可行、合理、具体得3分；</w:t>
            </w:r>
          </w:p>
          <w:p>
            <w:pPr>
              <w:rPr>
                <w:rFonts w:hint="eastAsia"/>
                <w:sz w:val="24"/>
              </w:rPr>
            </w:pPr>
            <w:r>
              <w:rPr>
                <w:rFonts w:hint="eastAsia"/>
                <w:sz w:val="24"/>
              </w:rPr>
              <w:t>项目实施方案较差、缺乏可行性、合理性不足、不够具体得1分。</w:t>
            </w:r>
          </w:p>
          <w:p>
            <w:pPr>
              <w:rPr>
                <w:sz w:val="24"/>
              </w:rPr>
            </w:pPr>
            <w:r>
              <w:rPr>
                <w:rFonts w:hint="eastAsia"/>
                <w:sz w:val="24"/>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rFonts w:hint="eastAsia" w:eastAsia="宋体" w:cs="宋体" w:asciiTheme="minorEastAsia" w:hAnsiTheme="minorEastAsia"/>
                <w:sz w:val="24"/>
                <w:lang w:eastAsia="zh-CN"/>
              </w:rPr>
            </w:pPr>
            <w:r>
              <w:rPr>
                <w:rFonts w:hint="eastAsia" w:cs="宋体" w:asciiTheme="minorEastAsia" w:hAnsiTheme="minorEastAsia"/>
                <w:sz w:val="24"/>
              </w:rPr>
              <w:t>演示</w:t>
            </w:r>
            <w:r>
              <w:rPr>
                <w:rFonts w:hint="eastAsia" w:cs="宋体" w:asciiTheme="minorEastAsia" w:hAnsiTheme="minorEastAsia"/>
                <w:sz w:val="24"/>
                <w:lang w:eastAsia="zh-CN"/>
              </w:rPr>
              <w:t>要求</w:t>
            </w:r>
          </w:p>
        </w:tc>
        <w:tc>
          <w:tcPr>
            <w:tcW w:w="1080" w:type="dxa"/>
            <w:noWrap/>
            <w:vAlign w:val="center"/>
          </w:tcPr>
          <w:p>
            <w:pPr>
              <w:jc w:val="center"/>
              <w:rPr>
                <w:rFonts w:hint="default" w:eastAsia="宋体"/>
                <w:sz w:val="24"/>
                <w:lang w:val="en-US" w:eastAsia="zh-CN"/>
              </w:rPr>
            </w:pPr>
            <w:r>
              <w:rPr>
                <w:rFonts w:hint="eastAsia"/>
                <w:sz w:val="24"/>
                <w:lang w:val="en-US" w:eastAsia="zh-CN"/>
              </w:rPr>
              <w:t>20</w:t>
            </w:r>
          </w:p>
        </w:tc>
        <w:tc>
          <w:tcPr>
            <w:tcW w:w="5400" w:type="dxa"/>
            <w:noWrap/>
            <w:vAlign w:val="center"/>
          </w:tcPr>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en-US" w:eastAsia="zh-CN"/>
              </w:rPr>
              <w:t>1、</w:t>
            </w:r>
            <w:r>
              <w:rPr>
                <w:rFonts w:hint="eastAsia" w:cs="宋体" w:asciiTheme="minorEastAsia" w:hAnsiTheme="minorEastAsia" w:eastAsiaTheme="minorEastAsia"/>
                <w:szCs w:val="24"/>
                <w:lang w:val="zh-CN"/>
              </w:rPr>
              <w:t>宣传片与视频成品演示：完全达到演示要求的得3分，没有达到演示要求的得0分。</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en-US" w:eastAsia="zh-CN"/>
              </w:rPr>
              <w:t>2、</w:t>
            </w:r>
            <w:r>
              <w:rPr>
                <w:rFonts w:hint="eastAsia" w:cs="宋体" w:asciiTheme="minorEastAsia" w:hAnsiTheme="minorEastAsia" w:eastAsiaTheme="minorEastAsia"/>
                <w:szCs w:val="24"/>
                <w:lang w:val="zh-CN"/>
              </w:rPr>
              <w:t>课程设计与教学互动演示：每达到一项内容得1分，达到所有演示要求的得9分，没有达到演示要求的得0分。</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lang w:val="zh-CN"/>
              </w:rPr>
              <w:t>移动学习演示：完全达到演示要求的得5分，没有达到演示要求的得0分。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lang w:val="zh-CN"/>
              </w:rPr>
              <w:t>备课资源库演示：完全达到演示要求的得3分，没有达到演示要求的得0分。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售后方案</w:t>
            </w:r>
          </w:p>
        </w:tc>
        <w:tc>
          <w:tcPr>
            <w:tcW w:w="1080" w:type="dxa"/>
            <w:noWrap/>
            <w:vAlign w:val="center"/>
          </w:tcPr>
          <w:p>
            <w:pPr>
              <w:jc w:val="center"/>
              <w:rPr>
                <w:rFonts w:hint="eastAsia" w:eastAsia="宋体"/>
                <w:sz w:val="24"/>
                <w:lang w:eastAsia="zh-CN"/>
              </w:rPr>
            </w:pPr>
            <w:r>
              <w:rPr>
                <w:rFonts w:hint="eastAsia" w:cs="宋体" w:asciiTheme="minorEastAsia" w:hAnsiTheme="minorEastAsia"/>
                <w:sz w:val="24"/>
                <w:lang w:val="en-US" w:eastAsia="zh-CN"/>
              </w:rPr>
              <w:t>6</w:t>
            </w:r>
          </w:p>
        </w:tc>
        <w:tc>
          <w:tcPr>
            <w:tcW w:w="5400" w:type="dxa"/>
            <w:noWrap/>
            <w:vAlign w:val="center"/>
          </w:tcPr>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对比项目售后质量保证措施的完善性，售后服务的可行性，培训计划的可靠性（包括但不限于培训方案、质量保证措施、验收方案、质保期限、服务响应速度等的的服务承诺）：</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项目售后质量保证措施的完善性好，售后服务的可行性好，培训计划好，得6分；</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项目售后质量保证措施的完善性较好，售后服务的可行性较好，培训计划较好，得3分；</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项目售后质量保证措施的完善性一般，售后服务的可行性一般，培训计划一般，得2分；</w:t>
            </w:r>
          </w:p>
          <w:p>
            <w:pPr>
              <w:pStyle w:val="102"/>
              <w:spacing w:before="0" w:after="0" w:line="360" w:lineRule="exact"/>
              <w:rPr>
                <w:rFonts w:hint="eastAsia"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项目售后质量保证措施的完善性差，售后服务的可行性差，培训计划差得1分；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不提供得0分。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rFonts w:hint="eastAsia" w:cs="宋体" w:asciiTheme="minorEastAsia" w:hAnsiTheme="minorEastAsia"/>
                <w:sz w:val="24"/>
              </w:rPr>
            </w:pPr>
            <w:r>
              <w:rPr>
                <w:rFonts w:hint="eastAsia" w:cs="宋体" w:asciiTheme="minorEastAsia" w:hAnsiTheme="minorEastAsia"/>
                <w:sz w:val="24"/>
              </w:rPr>
              <w:t>实力展示</w:t>
            </w:r>
          </w:p>
        </w:tc>
        <w:tc>
          <w:tcPr>
            <w:tcW w:w="1080" w:type="dxa"/>
            <w:noWrap/>
            <w:vAlign w:val="center"/>
          </w:tcPr>
          <w:p>
            <w:pPr>
              <w:jc w:val="center"/>
              <w:rPr>
                <w:rFonts w:hint="eastAsia" w:eastAsia="宋体" w:cs="宋体" w:asciiTheme="minorEastAsia" w:hAnsiTheme="minorEastAsia"/>
                <w:sz w:val="24"/>
                <w:lang w:val="en-US" w:eastAsia="zh-CN"/>
              </w:rPr>
            </w:pPr>
            <w:r>
              <w:rPr>
                <w:rFonts w:hint="eastAsia" w:cs="宋体" w:asciiTheme="minorEastAsia" w:hAnsiTheme="minorEastAsia"/>
                <w:sz w:val="24"/>
                <w:lang w:val="en-US" w:eastAsia="zh-CN"/>
              </w:rPr>
              <w:t>4</w:t>
            </w:r>
          </w:p>
        </w:tc>
        <w:tc>
          <w:tcPr>
            <w:tcW w:w="5400" w:type="dxa"/>
            <w:noWrap/>
            <w:vAlign w:val="center"/>
          </w:tcPr>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对比投标人拟投入慕课制作的设备、场景、道具等（设备、道具须提供设备清单，清单内容包括设备名称、数量、对应照片等，场景须提供照片。（提供的材料须加盖投标人公章）。</w:t>
            </w:r>
          </w:p>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投标人拟投入慕课制作的设备、场景、道具等（设备、道具须提供设备清单，清单内容包括设备名称、数量、对应照片等，场景须提供照片。响应情况好得4分；</w:t>
            </w:r>
          </w:p>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投标人拟投入慕课制作的设备、场景、道具等（设备、道具须提供设备清单，清单内容包括设备名称、数量、对应照片等，场景须提供照片。响应情况较好得3分；</w:t>
            </w:r>
          </w:p>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投标人拟投入慕课制作的设备、场景、道具等（设备、道具须提供设备清单，清单内容包括设备名称、数量、对应照片等，场景须提供照片。响应情况一般得2分；</w:t>
            </w:r>
          </w:p>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投标人拟投入慕课制作的设备、场景、道具等（设备、道具须提供设备清单，清单内容包括设备名称、数量、对应照片等，场景须提供照片。响应情况差得1分；</w:t>
            </w:r>
          </w:p>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其他或资料不全不得分。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rFonts w:hint="eastAsia" w:cs="宋体" w:asciiTheme="minorEastAsia" w:hAnsiTheme="minorEastAsia"/>
                <w:sz w:val="24"/>
              </w:rPr>
            </w:pPr>
            <w:r>
              <w:rPr>
                <w:rFonts w:hint="eastAsia" w:cs="宋体" w:asciiTheme="minorEastAsia" w:hAnsiTheme="minorEastAsia"/>
                <w:sz w:val="24"/>
              </w:rPr>
              <w:t>本地化机构</w:t>
            </w:r>
          </w:p>
        </w:tc>
        <w:tc>
          <w:tcPr>
            <w:tcW w:w="1080" w:type="dxa"/>
            <w:noWrap/>
            <w:vAlign w:val="center"/>
          </w:tcPr>
          <w:p>
            <w:pPr>
              <w:jc w:val="center"/>
              <w:rPr>
                <w:rFonts w:hint="eastAsia" w:eastAsia="宋体" w:cs="宋体" w:asciiTheme="minorEastAsia" w:hAnsiTheme="minorEastAsia"/>
                <w:sz w:val="24"/>
                <w:lang w:val="en-US" w:eastAsia="zh-CN"/>
              </w:rPr>
            </w:pPr>
            <w:r>
              <w:rPr>
                <w:rFonts w:hint="eastAsia" w:cs="宋体" w:asciiTheme="minorEastAsia" w:hAnsiTheme="minorEastAsia"/>
                <w:sz w:val="24"/>
                <w:lang w:val="en-US" w:eastAsia="zh-CN"/>
              </w:rPr>
              <w:t>3</w:t>
            </w:r>
          </w:p>
        </w:tc>
        <w:tc>
          <w:tcPr>
            <w:tcW w:w="5400" w:type="dxa"/>
            <w:noWrap/>
            <w:vAlign w:val="center"/>
          </w:tcPr>
          <w:p>
            <w:pPr>
              <w:pStyle w:val="102"/>
              <w:spacing w:before="0" w:after="0" w:line="360" w:lineRule="exact"/>
              <w:rPr>
                <w:rFonts w:hint="eastAsia" w:cs="宋体" w:asciiTheme="minorEastAsia" w:hAnsiTheme="minorEastAsia"/>
                <w:szCs w:val="24"/>
              </w:rPr>
            </w:pPr>
            <w:r>
              <w:rPr>
                <w:rFonts w:hint="eastAsia" w:cs="宋体" w:asciiTheme="minorEastAsia" w:hAnsiTheme="minorEastAsia"/>
                <w:szCs w:val="24"/>
              </w:rPr>
              <w:t>投标人在广州市有专业摄影棚制作场地及售后服务机构（须提供加盖投标人公章的售后服务机构的营业执照或产权证明或已备案的房屋租赁合同的复印件），资料齐全得3分，否则0分。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0" w:type="dxa"/>
            <w:vMerge w:val="restart"/>
            <w:noWrap/>
            <w:textDirection w:val="tbRlV"/>
            <w:vAlign w:val="center"/>
          </w:tcPr>
          <w:p>
            <w:pPr>
              <w:ind w:left="113" w:leftChars="54" w:right="113" w:firstLine="600" w:firstLineChars="250"/>
              <w:jc w:val="center"/>
              <w:rPr>
                <w:sz w:val="24"/>
              </w:rPr>
            </w:pPr>
            <w:r>
              <w:rPr>
                <w:rFonts w:hint="eastAsia"/>
                <w:sz w:val="24"/>
              </w:rPr>
              <w:t>商务因素</w:t>
            </w:r>
          </w:p>
        </w:tc>
        <w:tc>
          <w:tcPr>
            <w:tcW w:w="1980" w:type="dxa"/>
            <w:noWrap/>
            <w:vAlign w:val="center"/>
          </w:tcPr>
          <w:p>
            <w:pPr>
              <w:jc w:val="center"/>
              <w:rPr>
                <w:sz w:val="24"/>
              </w:rPr>
            </w:pPr>
            <w:r>
              <w:rPr>
                <w:rFonts w:hint="eastAsia"/>
                <w:sz w:val="24"/>
              </w:rPr>
              <w:t>商务响应</w:t>
            </w:r>
          </w:p>
        </w:tc>
        <w:tc>
          <w:tcPr>
            <w:tcW w:w="1080" w:type="dxa"/>
            <w:noWrap/>
            <w:vAlign w:val="center"/>
          </w:tcPr>
          <w:p>
            <w:pPr>
              <w:jc w:val="center"/>
              <w:rPr>
                <w:rFonts w:hint="eastAsia" w:eastAsia="宋体"/>
                <w:sz w:val="24"/>
                <w:lang w:eastAsia="zh-CN"/>
              </w:rPr>
            </w:pPr>
            <w:r>
              <w:rPr>
                <w:rFonts w:hint="eastAsia"/>
                <w:sz w:val="24"/>
                <w:lang w:val="en-US" w:eastAsia="zh-CN"/>
              </w:rPr>
              <w:t>5</w:t>
            </w:r>
          </w:p>
        </w:tc>
        <w:tc>
          <w:tcPr>
            <w:tcW w:w="5400" w:type="dxa"/>
            <w:noWrap/>
            <w:vAlign w:val="center"/>
          </w:tcPr>
          <w:p>
            <w:pPr>
              <w:rPr>
                <w:sz w:val="24"/>
              </w:rPr>
            </w:pPr>
            <w:r>
              <w:rPr>
                <w:rFonts w:hint="eastAsia"/>
                <w:sz w:val="24"/>
              </w:rPr>
              <w:t>完全响应招标文件“商务要求”条款的，得5分；每负偏离一项扣2分，扣完为止。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服务保障力</w:t>
            </w:r>
          </w:p>
        </w:tc>
        <w:tc>
          <w:tcPr>
            <w:tcW w:w="1080" w:type="dxa"/>
            <w:noWrap/>
            <w:vAlign w:val="center"/>
          </w:tcPr>
          <w:p>
            <w:pPr>
              <w:jc w:val="center"/>
              <w:rPr>
                <w:rFonts w:hint="default" w:eastAsia="宋体"/>
                <w:sz w:val="24"/>
                <w:lang w:val="en-US" w:eastAsia="zh-CN"/>
              </w:rPr>
            </w:pPr>
            <w:r>
              <w:rPr>
                <w:rFonts w:hint="eastAsia"/>
                <w:sz w:val="24"/>
                <w:lang w:val="en-US" w:eastAsia="zh-CN"/>
              </w:rPr>
              <w:t>10</w:t>
            </w:r>
          </w:p>
        </w:tc>
        <w:tc>
          <w:tcPr>
            <w:tcW w:w="5400" w:type="dxa"/>
            <w:noWrap/>
            <w:vAlign w:val="center"/>
          </w:tcPr>
          <w:p>
            <w:pPr>
              <w:rPr>
                <w:rFonts w:hint="eastAsia"/>
                <w:sz w:val="24"/>
              </w:rPr>
            </w:pPr>
            <w:r>
              <w:rPr>
                <w:rFonts w:hint="eastAsia"/>
                <w:sz w:val="24"/>
              </w:rPr>
              <w:t xml:space="preserve">投标人具有以下资质： </w:t>
            </w:r>
          </w:p>
          <w:p>
            <w:pPr>
              <w:rPr>
                <w:rFonts w:hint="eastAsia"/>
                <w:sz w:val="24"/>
              </w:rPr>
            </w:pPr>
            <w:r>
              <w:rPr>
                <w:rFonts w:hint="eastAsia"/>
                <w:sz w:val="24"/>
              </w:rPr>
              <w:t>1、具有AAA企业信用等级证书，得2分</w:t>
            </w:r>
          </w:p>
          <w:p>
            <w:pPr>
              <w:rPr>
                <w:rFonts w:hint="eastAsia"/>
                <w:sz w:val="24"/>
              </w:rPr>
            </w:pPr>
            <w:r>
              <w:rPr>
                <w:rFonts w:hint="eastAsia"/>
                <w:sz w:val="24"/>
              </w:rPr>
              <w:t xml:space="preserve">2、获得广东省“守合同重信用企业”公示证书，得2分； </w:t>
            </w:r>
          </w:p>
          <w:p>
            <w:pPr>
              <w:rPr>
                <w:rFonts w:hint="eastAsia"/>
                <w:sz w:val="24"/>
              </w:rPr>
            </w:pPr>
            <w:r>
              <w:rPr>
                <w:rFonts w:hint="eastAsia"/>
                <w:sz w:val="24"/>
              </w:rPr>
              <w:t>3、具有著作权：网络教学管理平台，得2分；</w:t>
            </w:r>
          </w:p>
          <w:p>
            <w:pPr>
              <w:rPr>
                <w:rFonts w:hint="eastAsia"/>
                <w:sz w:val="24"/>
              </w:rPr>
            </w:pPr>
            <w:r>
              <w:rPr>
                <w:rFonts w:hint="eastAsia"/>
                <w:sz w:val="24"/>
              </w:rPr>
              <w:t>4、获得“广播电视节目制作经营许可证”，得2分；</w:t>
            </w:r>
          </w:p>
          <w:p>
            <w:pPr>
              <w:rPr>
                <w:rFonts w:hint="eastAsia"/>
                <w:sz w:val="24"/>
              </w:rPr>
            </w:pPr>
            <w:r>
              <w:rPr>
                <w:rFonts w:hint="eastAsia"/>
                <w:sz w:val="24"/>
              </w:rPr>
              <w:t xml:space="preserve">5、具有ISO9001质量管理体系认证证书，得2分。 </w:t>
            </w:r>
          </w:p>
          <w:p>
            <w:pPr>
              <w:rPr>
                <w:sz w:val="24"/>
              </w:rPr>
            </w:pPr>
            <w:r>
              <w:rPr>
                <w:rFonts w:hint="eastAsia"/>
                <w:sz w:val="24"/>
              </w:rPr>
              <w:t>注：提供有效证书复印件并加盖投标人公章，不提供不得分。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业绩证明</w:t>
            </w:r>
          </w:p>
        </w:tc>
        <w:tc>
          <w:tcPr>
            <w:tcW w:w="1080" w:type="dxa"/>
            <w:noWrap/>
            <w:vAlign w:val="center"/>
          </w:tcPr>
          <w:p>
            <w:pPr>
              <w:jc w:val="center"/>
              <w:rPr>
                <w:rFonts w:hint="default" w:eastAsia="宋体"/>
                <w:sz w:val="24"/>
                <w:lang w:val="en-US" w:eastAsia="zh-CN"/>
              </w:rPr>
            </w:pPr>
            <w:r>
              <w:rPr>
                <w:rFonts w:hint="eastAsia"/>
                <w:sz w:val="24"/>
                <w:lang w:val="en-US" w:eastAsia="zh-CN"/>
              </w:rPr>
              <w:t>10</w:t>
            </w:r>
          </w:p>
        </w:tc>
        <w:tc>
          <w:tcPr>
            <w:tcW w:w="5400" w:type="dxa"/>
            <w:noWrap/>
            <w:vAlign w:val="center"/>
          </w:tcPr>
          <w:p>
            <w:pPr>
              <w:rPr>
                <w:rFonts w:hint="eastAsia"/>
                <w:sz w:val="24"/>
              </w:rPr>
            </w:pPr>
            <w:r>
              <w:rPr>
                <w:rFonts w:hint="eastAsia"/>
                <w:sz w:val="24"/>
              </w:rPr>
              <w:t xml:space="preserve">2019年1月1日以来，投标人须提供自已独立制作完成的在线开放课程制作、加工剪辑的成功案例。 </w:t>
            </w:r>
          </w:p>
          <w:p>
            <w:pPr>
              <w:rPr>
                <w:sz w:val="24"/>
              </w:rPr>
            </w:pPr>
            <w:r>
              <w:rPr>
                <w:rFonts w:hint="eastAsia"/>
                <w:sz w:val="24"/>
              </w:rPr>
              <w:t>注：提供合同复印件并加盖投标人公章，每提供1个业绩得1分，最多得10分，不提供不得分。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0"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拟投入本项目的技术服务力量</w:t>
            </w:r>
          </w:p>
        </w:tc>
        <w:tc>
          <w:tcPr>
            <w:tcW w:w="1080" w:type="dxa"/>
            <w:noWrap/>
            <w:vAlign w:val="center"/>
          </w:tcPr>
          <w:p>
            <w:pPr>
              <w:jc w:val="center"/>
              <w:rPr>
                <w:rFonts w:hint="default" w:eastAsia="宋体"/>
                <w:sz w:val="24"/>
                <w:lang w:val="en-US" w:eastAsia="zh-CN"/>
              </w:rPr>
            </w:pPr>
            <w:r>
              <w:rPr>
                <w:rFonts w:hint="eastAsia"/>
                <w:sz w:val="24"/>
                <w:lang w:val="en-US" w:eastAsia="zh-CN"/>
              </w:rPr>
              <w:t>10</w:t>
            </w:r>
          </w:p>
        </w:tc>
        <w:tc>
          <w:tcPr>
            <w:tcW w:w="5400" w:type="dxa"/>
            <w:noWrap/>
            <w:vAlign w:val="center"/>
          </w:tcPr>
          <w:p>
            <w:pPr>
              <w:rPr>
                <w:rFonts w:hint="eastAsia"/>
                <w:sz w:val="24"/>
              </w:rPr>
            </w:pPr>
            <w:r>
              <w:rPr>
                <w:rFonts w:hint="eastAsia"/>
                <w:sz w:val="24"/>
              </w:rPr>
              <w:t>对比投标人拟派本项目负责人和制作人员（要求提供不少于9人的团队）具备专业拍摄和视频处理能力，拟投入本项目的技术服务力量需具备如下资质：</w:t>
            </w:r>
          </w:p>
          <w:p>
            <w:pPr>
              <w:rPr>
                <w:rFonts w:hint="eastAsia"/>
                <w:sz w:val="24"/>
              </w:rPr>
            </w:pPr>
            <w:r>
              <w:rPr>
                <w:rFonts w:hint="eastAsia"/>
                <w:sz w:val="24"/>
              </w:rPr>
              <w:t>1、获得PMP项目管理资质证书，提供证书复印件并加盖投标人公章，每提供一个得1分，最多得3分，不提供不得分；</w:t>
            </w:r>
          </w:p>
          <w:p>
            <w:pPr>
              <w:rPr>
                <w:rFonts w:hint="eastAsia"/>
                <w:sz w:val="24"/>
              </w:rPr>
            </w:pPr>
            <w:r>
              <w:rPr>
                <w:rFonts w:hint="eastAsia"/>
                <w:sz w:val="24"/>
              </w:rPr>
              <w:t>2、提供如下专业类型人员：“计算机图像/图像制作专业”、“动画专业”、“动漫设计与制作专业”、“广播电视学专业”、“播音与主持艺术（广播电视编导）专业”、“教育技术学专业”、“数字媒体技术专业”、新闻采编与制作专业”等人员团队。提供毕业证书复印件并加盖投标人公章，一人提供多证，只按一个证书计算，每提供一个得1分，最多得5分，不提供不得分。</w:t>
            </w:r>
          </w:p>
          <w:p>
            <w:pPr>
              <w:rPr>
                <w:sz w:val="24"/>
              </w:rPr>
            </w:pPr>
            <w:r>
              <w:rPr>
                <w:rFonts w:hint="eastAsia"/>
                <w:sz w:val="24"/>
              </w:rPr>
              <w:t>注：提供投标截止日之前3个月内的加盖社保局印章的社保证明文件复印件并加盖投标人公章，不提供不得分。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300" w:type="dxa"/>
            <w:gridSpan w:val="4"/>
            <w:noWrap/>
            <w:vAlign w:val="center"/>
          </w:tcPr>
          <w:p>
            <w:pPr>
              <w:rPr>
                <w:sz w:val="24"/>
              </w:rPr>
            </w:pPr>
            <w:r>
              <w:rPr>
                <w:rFonts w:hint="eastAsia"/>
                <w:sz w:val="24"/>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spacing w:line="560" w:lineRule="exact"/>
        <w:ind w:firstLine="560" w:firstLineChars="200"/>
        <w:jc w:val="left"/>
        <w:outlineLvl w:val="1"/>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1.需求内容说明</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①每门课程400分钟的课程教学视频拍摄、制作（含不超过400秒的二维动画制作），提供拍摄所需的布景；</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②课程宣传片拍摄、制作，提供拍摄所需的布景；</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③课程资料制作、上传，确保正常运行；</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④提供用于在线开放课程制作及学习的数字资源服务；</w:t>
      </w:r>
    </w:p>
    <w:p>
      <w:pPr>
        <w:spacing w:line="560" w:lineRule="exact"/>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rPr>
        <w:t>⑤对课程教学团队进行相应的指导和培训，参与课程设计；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u w:val="single"/>
        </w:rPr>
        <w:t>⑥提供后期的课程应用技术支持服务，含课程上线、资源更新、课程推广等。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2.采购清单</w:t>
      </w:r>
    </w:p>
    <w:tbl>
      <w:tblPr>
        <w:tblStyle w:val="27"/>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789"/>
        <w:gridCol w:w="1298"/>
        <w:gridCol w:w="84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2352" w:type="dxa"/>
            <w:shd w:val="clear" w:color="auto" w:fill="auto"/>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1789" w:type="dxa"/>
            <w:shd w:val="clear" w:color="auto" w:fill="auto"/>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单位</w:t>
            </w:r>
          </w:p>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（台、件）</w:t>
            </w:r>
          </w:p>
        </w:tc>
        <w:tc>
          <w:tcPr>
            <w:tcW w:w="1298" w:type="dxa"/>
            <w:shd w:val="clear" w:color="auto" w:fill="auto"/>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单价（元）</w:t>
            </w:r>
          </w:p>
        </w:tc>
        <w:tc>
          <w:tcPr>
            <w:tcW w:w="841" w:type="dxa"/>
            <w:shd w:val="clear" w:color="auto" w:fill="auto"/>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1523" w:type="dxa"/>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52" w:type="dxa"/>
            <w:shd w:val="clear" w:color="auto" w:fill="auto"/>
            <w:vAlign w:val="center"/>
          </w:tcPr>
          <w:p>
            <w:pPr>
              <w:widowControl/>
              <w:spacing w:line="560" w:lineRule="exact"/>
              <w:jc w:val="center"/>
              <w:textAlignment w:val="center"/>
              <w:rPr>
                <w:rFonts w:hint="eastAsia" w:ascii="宋体" w:hAnsi="宋体" w:eastAsia="宋体" w:cs="宋体"/>
                <w:sz w:val="28"/>
                <w:szCs w:val="28"/>
              </w:rPr>
            </w:pPr>
            <w:r>
              <w:rPr>
                <w:rFonts w:hint="eastAsia" w:ascii="宋体" w:hAnsi="宋体" w:eastAsia="宋体" w:cs="宋体"/>
                <w:bCs/>
                <w:sz w:val="28"/>
                <w:szCs w:val="28"/>
              </w:rPr>
              <w:t>《微观经济学》</w:t>
            </w:r>
          </w:p>
        </w:tc>
        <w:tc>
          <w:tcPr>
            <w:tcW w:w="1789" w:type="dxa"/>
            <w:shd w:val="clear" w:color="auto" w:fill="auto"/>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门</w:t>
            </w:r>
          </w:p>
        </w:tc>
        <w:tc>
          <w:tcPr>
            <w:tcW w:w="1298" w:type="dxa"/>
            <w:shd w:val="clear" w:color="auto" w:fill="auto"/>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99500</w:t>
            </w:r>
          </w:p>
        </w:tc>
        <w:tc>
          <w:tcPr>
            <w:tcW w:w="841" w:type="dxa"/>
            <w:shd w:val="clear" w:color="auto" w:fill="auto"/>
            <w:vAlign w:val="center"/>
          </w:tcPr>
          <w:p>
            <w:pPr>
              <w:spacing w:line="560" w:lineRule="exact"/>
              <w:ind w:firstLine="420" w:firstLineChars="150"/>
              <w:jc w:val="center"/>
              <w:rPr>
                <w:rFonts w:hint="eastAsia" w:ascii="宋体" w:hAnsi="宋体" w:eastAsia="宋体" w:cs="宋体"/>
                <w:sz w:val="28"/>
                <w:szCs w:val="28"/>
              </w:rPr>
            </w:pPr>
            <w:r>
              <w:rPr>
                <w:rFonts w:hint="eastAsia" w:ascii="宋体" w:hAnsi="宋体" w:eastAsia="宋体" w:cs="宋体"/>
                <w:sz w:val="28"/>
                <w:szCs w:val="28"/>
              </w:rPr>
              <w:t>1</w:t>
            </w:r>
          </w:p>
        </w:tc>
        <w:tc>
          <w:tcPr>
            <w:tcW w:w="1523" w:type="dxa"/>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99500</w:t>
            </w:r>
          </w:p>
        </w:tc>
      </w:tr>
    </w:tbl>
    <w:p>
      <w:pPr>
        <w:spacing w:line="560" w:lineRule="exact"/>
        <w:ind w:firstLine="560" w:firstLineChars="200"/>
        <w:jc w:val="left"/>
        <w:outlineLvl w:val="1"/>
        <w:rPr>
          <w:rFonts w:hint="eastAsia" w:ascii="宋体" w:hAnsi="宋体" w:eastAsia="宋体" w:cs="宋体"/>
          <w:sz w:val="28"/>
          <w:szCs w:val="28"/>
        </w:rPr>
      </w:pPr>
      <w:r>
        <w:rPr>
          <w:rFonts w:hint="eastAsia" w:ascii="宋体" w:hAnsi="宋体" w:cs="宋体"/>
          <w:sz w:val="28"/>
          <w:szCs w:val="28"/>
          <w:lang w:eastAsia="zh-CN"/>
        </w:rPr>
        <w:t>二</w:t>
      </w:r>
      <w:r>
        <w:rPr>
          <w:rFonts w:hint="eastAsia" w:ascii="宋体" w:hAnsi="宋体" w:eastAsia="宋体" w:cs="宋体"/>
          <w:sz w:val="28"/>
          <w:szCs w:val="28"/>
        </w:rPr>
        <w:t>、技术要求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1.总体要求</w:t>
      </w:r>
    </w:p>
    <w:p>
      <w:pPr>
        <w:spacing w:line="560" w:lineRule="exact"/>
        <w:ind w:firstLine="700" w:firstLineChars="250"/>
        <w:rPr>
          <w:rFonts w:hint="eastAsia" w:ascii="宋体" w:hAnsi="宋体" w:eastAsia="宋体" w:cs="宋体"/>
          <w:bCs/>
          <w:sz w:val="28"/>
          <w:szCs w:val="28"/>
          <w:u w:val="single"/>
        </w:rPr>
      </w:pPr>
      <w:r>
        <w:rPr>
          <w:rFonts w:hint="eastAsia" w:ascii="宋体" w:hAnsi="宋体" w:eastAsia="宋体" w:cs="宋体"/>
          <w:bCs/>
          <w:sz w:val="28"/>
          <w:szCs w:val="28"/>
          <w:u w:val="single"/>
        </w:rPr>
        <w:t>《微观经济学》在线开放课程的宣传片、400分钟的课程教学视频及相关资源建设工作并提供后期的课程应用技术支持服务。版权归属于广东财经大学。</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bCs/>
          <w:sz w:val="28"/>
          <w:szCs w:val="28"/>
        </w:rPr>
        <w:t>投标人用于课程制作的素材不能侵犯第三方知识产权，制作完成的课程知识产权属于采购人。</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2.具体技术指标及性能要求</w:t>
      </w:r>
    </w:p>
    <w:p>
      <w:pPr>
        <w:spacing w:line="560" w:lineRule="exact"/>
        <w:ind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（1）课程内容制作需求</w:t>
      </w:r>
    </w:p>
    <w:tbl>
      <w:tblPr>
        <w:tblStyle w:val="2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8"/>
        <w:gridCol w:w="12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14" w:type="dxa"/>
            <w:gridSpan w:val="2"/>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一级</w:t>
            </w:r>
          </w:p>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指标</w:t>
            </w:r>
          </w:p>
        </w:tc>
        <w:tc>
          <w:tcPr>
            <w:tcW w:w="1259" w:type="dxa"/>
            <w:noWrap/>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二级</w:t>
            </w:r>
          </w:p>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指标</w:t>
            </w:r>
          </w:p>
        </w:tc>
        <w:tc>
          <w:tcPr>
            <w:tcW w:w="7274" w:type="dxa"/>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214" w:type="dxa"/>
            <w:gridSpan w:val="2"/>
            <w:vMerge w:val="restart"/>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b/>
                <w:bCs/>
                <w:sz w:val="28"/>
                <w:szCs w:val="28"/>
              </w:rPr>
              <w:t>1.1</w:t>
            </w:r>
            <w:r>
              <w:rPr>
                <w:rFonts w:hint="eastAsia" w:ascii="宋体" w:hAnsi="宋体" w:eastAsia="宋体" w:cs="宋体"/>
                <w:kern w:val="0"/>
                <w:sz w:val="28"/>
                <w:szCs w:val="28"/>
              </w:rPr>
              <w:t>课程视频制作需求</w:t>
            </w:r>
          </w:p>
        </w:tc>
        <w:tc>
          <w:tcPr>
            <w:tcW w:w="1259" w:type="dxa"/>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b/>
                <w:bCs/>
                <w:sz w:val="28"/>
                <w:szCs w:val="28"/>
              </w:rPr>
              <w:t>1.1.1</w:t>
            </w:r>
            <w:r>
              <w:rPr>
                <w:rFonts w:hint="eastAsia" w:ascii="宋体" w:hAnsi="宋体" w:eastAsia="宋体" w:cs="宋体"/>
                <w:kern w:val="0"/>
                <w:sz w:val="28"/>
                <w:szCs w:val="28"/>
              </w:rPr>
              <w:t>视频内容</w:t>
            </w:r>
          </w:p>
        </w:tc>
        <w:tc>
          <w:tcPr>
            <w:tcW w:w="7274" w:type="dxa"/>
            <w:vAlign w:val="center"/>
          </w:tcPr>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（1）宣传片标准：</w:t>
            </w:r>
          </w:p>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时长：3分钟以内</w:t>
            </w:r>
          </w:p>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规格：1920*1080  25帧/秒  mp4格式  H264编码</w:t>
            </w:r>
          </w:p>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（2）课程视频成片标准</w:t>
            </w:r>
          </w:p>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时长：课程制作总时长400分钟，每个视频片段5-15分钟以内</w:t>
            </w:r>
          </w:p>
          <w:p>
            <w:pPr>
              <w:widowControl/>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规格：1920*1080  25帧/秒  mp4格式  H264编码</w:t>
            </w:r>
          </w:p>
          <w:p>
            <w:pPr>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（3）每个知识点对应的视频教学一般不超过10-15分钟。</w:t>
            </w:r>
          </w:p>
          <w:p>
            <w:pPr>
              <w:spacing w:line="560" w:lineRule="exact"/>
              <w:ind w:left="169" w:leftChars="80" w:hanging="1"/>
              <w:rPr>
                <w:rFonts w:hint="eastAsia" w:ascii="宋体" w:hAnsi="宋体" w:eastAsia="宋体" w:cs="宋体"/>
                <w:sz w:val="28"/>
                <w:szCs w:val="28"/>
              </w:rPr>
            </w:pPr>
            <w:r>
              <w:rPr>
                <w:rFonts w:hint="eastAsia" w:ascii="宋体" w:hAnsi="宋体" w:eastAsia="宋体" w:cs="宋体"/>
                <w:sz w:val="28"/>
                <w:szCs w:val="28"/>
              </w:rPr>
              <w:t>（4）不超过200秒的二维动画制作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14" w:type="dxa"/>
            <w:gridSpan w:val="2"/>
            <w:vMerge w:val="continue"/>
            <w:vAlign w:val="center"/>
          </w:tcPr>
          <w:p>
            <w:pPr>
              <w:widowControl/>
              <w:spacing w:line="560" w:lineRule="exact"/>
              <w:jc w:val="center"/>
              <w:rPr>
                <w:rFonts w:hint="eastAsia" w:ascii="宋体" w:hAnsi="宋体" w:eastAsia="宋体" w:cs="宋体"/>
                <w:b/>
                <w:bCs/>
                <w:sz w:val="28"/>
                <w:szCs w:val="28"/>
              </w:rPr>
            </w:pPr>
          </w:p>
        </w:tc>
        <w:tc>
          <w:tcPr>
            <w:tcW w:w="1259" w:type="dxa"/>
            <w:vAlign w:val="center"/>
          </w:tcPr>
          <w:p>
            <w:pPr>
              <w:widowControl/>
              <w:spacing w:line="560" w:lineRule="exact"/>
              <w:jc w:val="center"/>
              <w:rPr>
                <w:rFonts w:hint="eastAsia" w:ascii="宋体" w:hAnsi="宋体" w:eastAsia="宋体" w:cs="宋体"/>
                <w:bCs/>
                <w:sz w:val="28"/>
                <w:szCs w:val="28"/>
              </w:rPr>
            </w:pPr>
            <w:r>
              <w:rPr>
                <w:rFonts w:hint="eastAsia" w:ascii="宋体" w:hAnsi="宋体" w:eastAsia="宋体" w:cs="宋体"/>
                <w:b/>
                <w:bCs/>
                <w:sz w:val="28"/>
                <w:szCs w:val="28"/>
              </w:rPr>
              <w:t>1.1.2</w:t>
            </w:r>
            <w:r>
              <w:rPr>
                <w:rFonts w:hint="eastAsia" w:ascii="宋体" w:hAnsi="宋体" w:eastAsia="宋体" w:cs="宋体"/>
                <w:bCs/>
                <w:sz w:val="28"/>
                <w:szCs w:val="28"/>
              </w:rPr>
              <w:t>视频技术指标</w:t>
            </w:r>
          </w:p>
        </w:tc>
        <w:tc>
          <w:tcPr>
            <w:tcW w:w="7274" w:type="dxa"/>
            <w:vAlign w:val="center"/>
          </w:tcPr>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（1）视频压缩格式及技术参数</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全片图像同步性能稳定，无失步现象，图像无抖动跳跃，色彩无突变，编辑点处图像稳定。白平衡正确，无明显偏色，多机拍摄的镜头衔接处无明显色差。视频压缩采用H.264/AVC (MPEG-4 Part10)编码、使用二次编码、不包含字幕的MP4格式。</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视频码流率：动态码流的最高码率不高于4M，最低码率不得低于1.5M。</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视频分辨率：采用1920X1080，帧率不低于25帧/秒</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（2）音频压缩格式及技术参数：</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声音清晰、饱满、圆润，无失真、噪声杂音干扰、音量忽大忽小现象。</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音频压缩采用AAC(MPEG4 Part3)格式，采样率48KHz，音频码流率不低于128Kbps，必须是双声道，必须做混音处理。</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（3）外挂唱词文件</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对老师讲课的内容进行全片外挂唱词的添加，生成外挂唱词文件。</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唱词的文件格式：独立的SRT格式的唱词文件。</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唱词的行数：每屏只有一行唱词。</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唱词的字数：画幅比为16：9的，每行不超过20个字。</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唱词的位置：保持每屏唱词出现位置一致。</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唱词中的标点符号：只有书名号及书名号中的标点、间隔号、连接号、具有特殊含意的词语的引号可以出现在唱词中，在每屏唱词中用空格代替标点表示语气停顿，所有标点及空格均使用全角。</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唱词的断句：不简单按照字数断句，以内容为断句依据。</w:t>
            </w:r>
          </w:p>
          <w:p>
            <w:pPr>
              <w:widowControl/>
              <w:spacing w:line="560" w:lineRule="exact"/>
              <w:ind w:left="166" w:leftChars="79" w:firstLine="53" w:firstLineChars="19"/>
              <w:rPr>
                <w:rFonts w:hint="eastAsia" w:ascii="宋体" w:hAnsi="宋体" w:eastAsia="宋体" w:cs="宋体"/>
                <w:sz w:val="28"/>
                <w:szCs w:val="28"/>
              </w:rPr>
            </w:pPr>
            <w:r>
              <w:rPr>
                <w:rFonts w:hint="eastAsia" w:ascii="宋体" w:hAnsi="宋体" w:eastAsia="宋体" w:cs="宋体"/>
                <w:sz w:val="28"/>
                <w:szCs w:val="28"/>
              </w:rPr>
              <w:t>唱词中的数学公式、化学分子式、物理量和单位，尽量以文本文字呈现；不宜用文本文字呈现的且在视频画面中已经通过PPT、板书等方式显示清楚的，可以不加该行唱词。</w:t>
            </w:r>
          </w:p>
          <w:p>
            <w:pPr>
              <w:widowControl/>
              <w:spacing w:line="560" w:lineRule="exact"/>
              <w:ind w:left="166" w:leftChars="79" w:firstLine="53" w:firstLineChars="19"/>
              <w:rPr>
                <w:rFonts w:hint="eastAsia" w:ascii="宋体" w:hAnsi="宋体" w:eastAsia="宋体" w:cs="宋体"/>
                <w:sz w:val="28"/>
                <w:szCs w:val="28"/>
              </w:rPr>
            </w:pPr>
            <w:r>
              <w:rPr>
                <w:rFonts w:hint="eastAsia" w:ascii="宋体" w:hAnsi="宋体" w:eastAsia="宋体" w:cs="宋体"/>
                <w:sz w:val="28"/>
                <w:szCs w:val="28"/>
              </w:rPr>
              <w:t>唱词文字：中文。如有需要，除制作中文唱词外，可另外制作英文唱词。字幕要使用符合国家标准的规范字，不出现繁体字、异体字(国家规定的除外)、错别字。</w:t>
            </w:r>
          </w:p>
          <w:p>
            <w:pPr>
              <w:widowControl/>
              <w:spacing w:line="560" w:lineRule="exact"/>
              <w:ind w:left="166" w:leftChars="79" w:firstLine="53" w:firstLineChars="19"/>
              <w:rPr>
                <w:rFonts w:hint="eastAsia" w:ascii="宋体" w:hAnsi="宋体" w:eastAsia="宋体" w:cs="宋体"/>
                <w:sz w:val="28"/>
                <w:szCs w:val="28"/>
              </w:rPr>
            </w:pPr>
            <w:r>
              <w:rPr>
                <w:rFonts w:hint="eastAsia" w:ascii="宋体" w:hAnsi="宋体" w:eastAsia="宋体" w:cs="宋体"/>
                <w:sz w:val="28"/>
                <w:szCs w:val="28"/>
              </w:rPr>
              <w:t>字幕的字体、大小、色彩搭配、摆放位置、停留时间、出入屏方式力求与其他要素（画面、解说词、音乐）配合适当，不能破坏原有画面。</w:t>
            </w:r>
          </w:p>
          <w:p>
            <w:pPr>
              <w:widowControl/>
              <w:spacing w:line="560" w:lineRule="exact"/>
              <w:ind w:left="166" w:leftChars="79" w:firstLine="53" w:firstLineChars="19"/>
              <w:rPr>
                <w:rFonts w:hint="eastAsia" w:ascii="宋体" w:hAnsi="宋体" w:eastAsia="宋体" w:cs="宋体"/>
                <w:sz w:val="28"/>
                <w:szCs w:val="28"/>
              </w:rPr>
            </w:pPr>
            <w:r>
              <w:rPr>
                <w:rFonts w:hint="eastAsia" w:ascii="宋体" w:hAnsi="宋体" w:eastAsia="宋体" w:cs="宋体"/>
                <w:sz w:val="28"/>
                <w:szCs w:val="28"/>
              </w:rPr>
              <w:t>（3）交付载体</w:t>
            </w:r>
          </w:p>
          <w:p>
            <w:pPr>
              <w:widowControl/>
              <w:spacing w:line="560" w:lineRule="exact"/>
              <w:ind w:left="166" w:leftChars="79" w:firstLine="53" w:firstLineChars="19"/>
              <w:rPr>
                <w:rFonts w:hint="eastAsia" w:ascii="宋体" w:hAnsi="宋体" w:eastAsia="宋体" w:cs="宋体"/>
                <w:sz w:val="28"/>
                <w:szCs w:val="28"/>
              </w:rPr>
            </w:pPr>
            <w:r>
              <w:rPr>
                <w:rFonts w:hint="eastAsia" w:ascii="宋体" w:hAnsi="宋体" w:eastAsia="宋体" w:cs="宋体"/>
                <w:sz w:val="28"/>
                <w:szCs w:val="28"/>
              </w:rPr>
              <w:t>所有视频文件及相应的SRT唱词文件请刻录在DVD+R光盘上，并对刻录光盘做封口处理。每张DVD+R光盘可以刻录多讲内容（每一讲内容包括视频文件及相应的SRT唱词文件），盘面上应注明光盘中的内容清单（标记学校名称、课程名称、讲次及标题、主讲教师、时长等），并提供相应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96" w:type="dxa"/>
            <w:vMerge w:val="restart"/>
            <w:vAlign w:val="center"/>
          </w:tcPr>
          <w:p>
            <w:pPr>
              <w:widowControl/>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1.2</w:t>
            </w:r>
            <w:r>
              <w:rPr>
                <w:rFonts w:hint="eastAsia" w:ascii="宋体" w:hAnsi="宋体" w:eastAsia="宋体" w:cs="宋体"/>
                <w:kern w:val="0"/>
                <w:sz w:val="28"/>
                <w:szCs w:val="28"/>
              </w:rPr>
              <w:t>课程内容结构需求</w:t>
            </w:r>
          </w:p>
        </w:tc>
        <w:tc>
          <w:tcPr>
            <w:tcW w:w="1277" w:type="dxa"/>
            <w:gridSpan w:val="2"/>
            <w:vAlign w:val="center"/>
          </w:tcPr>
          <w:p>
            <w:pPr>
              <w:widowControl/>
              <w:spacing w:line="560" w:lineRule="exact"/>
              <w:jc w:val="left"/>
              <w:rPr>
                <w:rFonts w:hint="eastAsia" w:ascii="宋体" w:hAnsi="宋体" w:eastAsia="宋体" w:cs="宋体"/>
                <w:bCs/>
                <w:sz w:val="28"/>
                <w:szCs w:val="28"/>
              </w:rPr>
            </w:pPr>
            <w:r>
              <w:rPr>
                <w:rFonts w:hint="eastAsia" w:ascii="宋体" w:hAnsi="宋体" w:eastAsia="宋体" w:cs="宋体"/>
                <w:bCs/>
                <w:sz w:val="28"/>
                <w:szCs w:val="28"/>
              </w:rPr>
              <w:t>1.2.1</w:t>
            </w:r>
          </w:p>
          <w:p>
            <w:pPr>
              <w:widowControl/>
              <w:spacing w:line="560" w:lineRule="exact"/>
              <w:jc w:val="left"/>
              <w:rPr>
                <w:rFonts w:hint="eastAsia" w:ascii="宋体" w:hAnsi="宋体" w:eastAsia="宋体" w:cs="宋体"/>
                <w:b/>
                <w:bCs/>
                <w:sz w:val="28"/>
                <w:szCs w:val="28"/>
              </w:rPr>
            </w:pPr>
            <w:r>
              <w:rPr>
                <w:rFonts w:hint="eastAsia" w:ascii="宋体" w:hAnsi="宋体" w:eastAsia="宋体" w:cs="宋体"/>
                <w:kern w:val="0"/>
                <w:sz w:val="28"/>
                <w:szCs w:val="28"/>
              </w:rPr>
              <w:t>课程内容框架</w:t>
            </w:r>
          </w:p>
        </w:tc>
        <w:tc>
          <w:tcPr>
            <w:tcW w:w="7274" w:type="dxa"/>
            <w:vAlign w:val="center"/>
          </w:tcPr>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在线开放课程内容框架完备，至少包括以下内容架构:</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授课内容：以授课视频为主的知识点内容。</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参考文献：应提供课程的参考文献，提供电子版，学生与教师均可在线打开阅读，支持WORD、PPT等文档格式在线预览。</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教学目标：提供明确的教学目标。</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教学大纲：提供明确的教学大纲。</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教学任务：根据教学大纲制定教学任务，可包含授课视频播放、参考资料阅读、讨论、作业、考试等各种任务类型，根据需要选择。</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考核办法：提供明确的考核办法，分为知识单元考核与课程整体考核两种。</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作业考试：建设题库，用于作业及考试，考试题包括判断、选择等客观题，也可包含主观题。</w:t>
            </w:r>
          </w:p>
          <w:p>
            <w:pPr>
              <w:widowControl/>
              <w:spacing w:line="560" w:lineRule="exact"/>
              <w:ind w:firstLine="140" w:firstLineChars="50"/>
              <w:rPr>
                <w:rFonts w:hint="eastAsia" w:ascii="宋体" w:hAnsi="宋体" w:eastAsia="宋体" w:cs="宋体"/>
                <w:kern w:val="0"/>
                <w:sz w:val="28"/>
                <w:szCs w:val="28"/>
              </w:rPr>
            </w:pPr>
            <w:r>
              <w:rPr>
                <w:rFonts w:hint="eastAsia" w:ascii="宋体" w:hAnsi="宋体" w:eastAsia="宋体" w:cs="宋体"/>
                <w:sz w:val="28"/>
                <w:szCs w:val="28"/>
              </w:rPr>
              <w:t>课程素材：提供文本、音频、视频等课程参考素材，帮助学生理解所学课程内容。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96" w:type="dxa"/>
            <w:vMerge w:val="continue"/>
            <w:vAlign w:val="center"/>
          </w:tcPr>
          <w:p>
            <w:pPr>
              <w:widowControl/>
              <w:spacing w:line="560" w:lineRule="exact"/>
              <w:jc w:val="center"/>
              <w:rPr>
                <w:rFonts w:hint="eastAsia" w:ascii="宋体" w:hAnsi="宋体" w:eastAsia="宋体" w:cs="宋体"/>
                <w:b/>
                <w:bCs/>
                <w:sz w:val="28"/>
                <w:szCs w:val="28"/>
              </w:rPr>
            </w:pPr>
          </w:p>
        </w:tc>
        <w:tc>
          <w:tcPr>
            <w:tcW w:w="1277" w:type="dxa"/>
            <w:gridSpan w:val="2"/>
            <w:vAlign w:val="center"/>
          </w:tcPr>
          <w:p>
            <w:pPr>
              <w:widowControl/>
              <w:spacing w:line="560" w:lineRule="exact"/>
              <w:jc w:val="left"/>
              <w:rPr>
                <w:rFonts w:hint="eastAsia" w:ascii="宋体" w:hAnsi="宋体" w:eastAsia="宋体" w:cs="宋体"/>
                <w:kern w:val="0"/>
                <w:sz w:val="28"/>
                <w:szCs w:val="28"/>
              </w:rPr>
            </w:pPr>
            <w:r>
              <w:rPr>
                <w:rFonts w:hint="eastAsia" w:ascii="宋体" w:hAnsi="宋体" w:eastAsia="宋体" w:cs="宋体"/>
                <w:bCs/>
                <w:sz w:val="28"/>
                <w:szCs w:val="28"/>
              </w:rPr>
              <w:t>1.2.2</w:t>
            </w:r>
            <w:r>
              <w:rPr>
                <w:rFonts w:hint="eastAsia" w:ascii="宋体" w:hAnsi="宋体" w:eastAsia="宋体" w:cs="宋体"/>
                <w:kern w:val="0"/>
                <w:sz w:val="28"/>
                <w:szCs w:val="28"/>
              </w:rPr>
              <w:t>知识点内容</w:t>
            </w:r>
          </w:p>
        </w:tc>
        <w:tc>
          <w:tcPr>
            <w:tcW w:w="7274" w:type="dxa"/>
            <w:vAlign w:val="center"/>
          </w:tcPr>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知识点内容：每个知识点包含授课视频、参考资料、作业题、考试题等内容。</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视频时长：每个知识点可分若干视频，每个视频时间以5～15分钟，此非强制标准，根据课程知识点而定。</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视频片头：知识点授课内容之前加上课程片头。</w:t>
            </w:r>
          </w:p>
          <w:p>
            <w:pPr>
              <w:widowControl/>
              <w:spacing w:line="560" w:lineRule="exact"/>
              <w:ind w:left="166" w:leftChars="79" w:firstLine="1"/>
              <w:rPr>
                <w:rFonts w:hint="eastAsia" w:ascii="宋体" w:hAnsi="宋体" w:eastAsia="宋体" w:cs="宋体"/>
                <w:sz w:val="28"/>
                <w:szCs w:val="28"/>
              </w:rPr>
            </w:pPr>
            <w:r>
              <w:rPr>
                <w:rFonts w:hint="eastAsia" w:ascii="宋体" w:hAnsi="宋体" w:eastAsia="宋体" w:cs="宋体"/>
                <w:sz w:val="28"/>
                <w:szCs w:val="28"/>
              </w:rPr>
              <w:t>知识点任务：每个知识点的内容可转化为学生的学习任务。</w:t>
            </w:r>
          </w:p>
          <w:p>
            <w:pPr>
              <w:widowControl/>
              <w:spacing w:line="560" w:lineRule="exact"/>
              <w:ind w:left="166" w:leftChars="79" w:firstLine="1"/>
              <w:rPr>
                <w:rFonts w:hint="eastAsia" w:ascii="宋体" w:hAnsi="宋体" w:eastAsia="宋体" w:cs="宋体"/>
                <w:kern w:val="0"/>
                <w:sz w:val="28"/>
                <w:szCs w:val="28"/>
              </w:rPr>
            </w:pPr>
            <w:r>
              <w:rPr>
                <w:rFonts w:hint="eastAsia" w:ascii="宋体" w:hAnsi="宋体" w:eastAsia="宋体" w:cs="宋体"/>
                <w:sz w:val="28"/>
                <w:szCs w:val="28"/>
              </w:rPr>
              <w:t>知识点考核：每个知识点设置考核点，包括作业、讨论等。</w:t>
            </w:r>
          </w:p>
        </w:tc>
      </w:tr>
    </w:tbl>
    <w:p>
      <w:pPr>
        <w:pStyle w:val="13"/>
        <w:tabs>
          <w:tab w:val="left" w:pos="540"/>
        </w:tabs>
        <w:adjustRightInd w:val="0"/>
        <w:snapToGrid w:val="0"/>
        <w:spacing w:line="560" w:lineRule="exact"/>
        <w:rPr>
          <w:rFonts w:hint="eastAsia" w:ascii="宋体" w:hAnsi="宋体" w:eastAsia="宋体" w:cs="宋体"/>
          <w:b/>
          <w:sz w:val="28"/>
          <w:szCs w:val="28"/>
        </w:rPr>
      </w:pPr>
    </w:p>
    <w:p>
      <w:pPr>
        <w:spacing w:line="560" w:lineRule="exact"/>
        <w:ind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2. 课程制作流程需求</w:t>
      </w:r>
    </w:p>
    <w:tbl>
      <w:tblPr>
        <w:tblStyle w:val="2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473" w:type="dxa"/>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一级指标</w:t>
            </w:r>
          </w:p>
        </w:tc>
        <w:tc>
          <w:tcPr>
            <w:tcW w:w="7274" w:type="dxa"/>
            <w:vAlign w:val="center"/>
          </w:tcPr>
          <w:p>
            <w:pPr>
              <w:widowControl/>
              <w:spacing w:line="56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73" w:type="dxa"/>
            <w:vAlign w:val="center"/>
          </w:tcPr>
          <w:p>
            <w:pPr>
              <w:widowControl/>
              <w:spacing w:line="560" w:lineRule="exact"/>
              <w:jc w:val="center"/>
              <w:rPr>
                <w:rFonts w:hint="eastAsia" w:ascii="宋体" w:hAnsi="宋体" w:eastAsia="宋体" w:cs="宋体"/>
                <w:bCs/>
                <w:sz w:val="28"/>
                <w:szCs w:val="28"/>
              </w:rPr>
            </w:pPr>
            <w:r>
              <w:rPr>
                <w:rFonts w:hint="eastAsia" w:ascii="宋体" w:hAnsi="宋体" w:eastAsia="宋体" w:cs="宋体"/>
                <w:bCs/>
                <w:sz w:val="28"/>
                <w:szCs w:val="28"/>
              </w:rPr>
              <w:t>2.1课程制作</w:t>
            </w:r>
          </w:p>
          <w:p>
            <w:pPr>
              <w:widowControl/>
              <w:spacing w:line="560" w:lineRule="exact"/>
              <w:jc w:val="center"/>
              <w:rPr>
                <w:rFonts w:hint="eastAsia" w:ascii="宋体" w:hAnsi="宋体" w:eastAsia="宋体" w:cs="宋体"/>
                <w:b/>
                <w:bCs/>
                <w:sz w:val="28"/>
                <w:szCs w:val="28"/>
              </w:rPr>
            </w:pPr>
            <w:r>
              <w:rPr>
                <w:rFonts w:hint="eastAsia" w:ascii="宋体" w:hAnsi="宋体" w:eastAsia="宋体" w:cs="宋体"/>
                <w:bCs/>
                <w:sz w:val="28"/>
                <w:szCs w:val="28"/>
              </w:rPr>
              <w:t>团队</w:t>
            </w:r>
          </w:p>
        </w:tc>
        <w:tc>
          <w:tcPr>
            <w:tcW w:w="7274" w:type="dxa"/>
            <w:vAlign w:val="center"/>
          </w:tcPr>
          <w:p>
            <w:pPr>
              <w:widowControl/>
              <w:spacing w:line="560" w:lineRule="exact"/>
              <w:rPr>
                <w:rFonts w:hint="eastAsia" w:ascii="宋体" w:hAnsi="宋体" w:eastAsia="宋体" w:cs="宋体"/>
                <w:sz w:val="28"/>
                <w:szCs w:val="28"/>
              </w:rPr>
            </w:pPr>
            <w:r>
              <w:rPr>
                <w:rFonts w:hint="eastAsia" w:ascii="宋体" w:hAnsi="宋体" w:eastAsia="宋体" w:cs="宋体"/>
                <w:sz w:val="28"/>
                <w:szCs w:val="28"/>
              </w:rPr>
              <w:t>▲2.1.1 投标人不仅要擅长影视制作，还要有教育行业服务经验，了解教学规律、理解慕课内涵、熟悉互联网教学应用等，配备高水平的制作人才（需提供个人业绩证明材料）。</w:t>
            </w:r>
          </w:p>
          <w:p>
            <w:pPr>
              <w:widowControl/>
              <w:spacing w:line="560" w:lineRule="exact"/>
              <w:rPr>
                <w:rFonts w:hint="eastAsia" w:ascii="宋体" w:hAnsi="宋体" w:eastAsia="宋体" w:cs="宋体"/>
                <w:sz w:val="28"/>
                <w:szCs w:val="28"/>
              </w:rPr>
            </w:pPr>
            <w:r>
              <w:rPr>
                <w:rFonts w:hint="eastAsia" w:ascii="宋体" w:hAnsi="宋体" w:eastAsia="宋体" w:cs="宋体"/>
                <w:sz w:val="28"/>
                <w:szCs w:val="28"/>
              </w:rPr>
              <w:t>2.1.2投标人需提供专业的摄像设备、音频设备、灯光设备和后期编辑设备；服务提供方必须但不限于配备以下岗位人员：项目负责人、策划师、编导、摄像师、编辑师、平面设计师等；</w:t>
            </w:r>
          </w:p>
          <w:p>
            <w:pPr>
              <w:widowControl/>
              <w:spacing w:line="560" w:lineRule="exact"/>
              <w:rPr>
                <w:rFonts w:hint="eastAsia" w:ascii="宋体" w:hAnsi="宋体" w:eastAsia="宋体" w:cs="宋体"/>
                <w:sz w:val="28"/>
                <w:szCs w:val="28"/>
              </w:rPr>
            </w:pPr>
            <w:r>
              <w:rPr>
                <w:rFonts w:hint="eastAsia" w:ascii="宋体" w:hAnsi="宋体" w:eastAsia="宋体" w:cs="宋体"/>
                <w:sz w:val="28"/>
                <w:szCs w:val="28"/>
              </w:rPr>
              <w:t>2.1.3投标人还需提供以下专业人员服务：灯光师、场记、片头制作师、课程精剪师、特效包装师、二维动画师、字幕制作师、视频格式转换等。</w:t>
            </w:r>
          </w:p>
          <w:p>
            <w:pPr>
              <w:widowControl/>
              <w:spacing w:line="560" w:lineRule="exact"/>
              <w:rPr>
                <w:rFonts w:hint="eastAsia" w:ascii="宋体" w:hAnsi="宋体" w:eastAsia="宋体" w:cs="宋体"/>
                <w:sz w:val="28"/>
                <w:szCs w:val="28"/>
              </w:rPr>
            </w:pPr>
            <w:r>
              <w:rPr>
                <w:rFonts w:hint="eastAsia" w:ascii="宋体" w:hAnsi="宋体" w:eastAsia="宋体" w:cs="宋体"/>
                <w:sz w:val="28"/>
                <w:szCs w:val="28"/>
              </w:rPr>
              <w:t>▲2.1.4场地</w:t>
            </w:r>
          </w:p>
          <w:p>
            <w:pPr>
              <w:widowControl/>
              <w:spacing w:line="560" w:lineRule="exact"/>
              <w:ind w:left="-40" w:leftChars="-19"/>
              <w:rPr>
                <w:rFonts w:hint="eastAsia" w:ascii="宋体" w:hAnsi="宋体" w:eastAsia="宋体" w:cs="宋体"/>
                <w:sz w:val="28"/>
                <w:szCs w:val="28"/>
              </w:rPr>
            </w:pPr>
            <w:r>
              <w:rPr>
                <w:rFonts w:hint="eastAsia" w:ascii="宋体" w:hAnsi="宋体" w:eastAsia="宋体" w:cs="宋体"/>
                <w:sz w:val="28"/>
                <w:szCs w:val="28"/>
              </w:rPr>
              <w:t>投标人需在广州市主城区提供不少于50平米的专业摄影棚制作场地和用于课程制作的场景和道具，需提供本地化证明材料。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73" w:type="dxa"/>
            <w:vAlign w:val="center"/>
          </w:tcPr>
          <w:p>
            <w:pPr>
              <w:widowControl/>
              <w:spacing w:line="560" w:lineRule="exact"/>
              <w:jc w:val="center"/>
              <w:rPr>
                <w:rFonts w:hint="eastAsia" w:ascii="宋体" w:hAnsi="宋体" w:eastAsia="宋体" w:cs="宋体"/>
                <w:b/>
                <w:bCs/>
                <w:sz w:val="28"/>
                <w:szCs w:val="28"/>
              </w:rPr>
            </w:pPr>
            <w:r>
              <w:rPr>
                <w:rFonts w:hint="eastAsia" w:ascii="宋体" w:hAnsi="宋体" w:eastAsia="宋体" w:cs="宋体"/>
                <w:kern w:val="0"/>
                <w:sz w:val="28"/>
                <w:szCs w:val="28"/>
              </w:rPr>
              <w:t>2.2前期课程设计</w:t>
            </w:r>
          </w:p>
        </w:tc>
        <w:tc>
          <w:tcPr>
            <w:tcW w:w="7274" w:type="dxa"/>
            <w:vAlign w:val="center"/>
          </w:tcPr>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2.2.1课程设计顾问与课程教师团队、学校深度沟通，确定教学大纲、教学任务，进行课程知识点深化设计。</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2.2.2收集教学素材，根据课程量身定做创意方案、片花脚本、解说词。指导课程主讲老师完成课程知识点重构，编写课程拍摄大纲（知识点清单）及每节课的演讲PPT、服务供应商编导协助主讲老师完成每一节课程讲稿的撰写。</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2.2.3编导与主讲老师进行深入沟通，对课程画面进行设计，主要包括确定课程画面整体风格，划分段落，标记重点，以及需要引入的引文、图片、视频、动画、背景音乐等素材的特效包装等，最后输出每节课程的设计脚本。</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2.2.4 辅导老师对镜头的适应、引导老师拍出更自然的课程，辅助老师进行着装的选择。</w:t>
            </w:r>
          </w:p>
          <w:p>
            <w:pPr>
              <w:spacing w:line="560" w:lineRule="exact"/>
              <w:rPr>
                <w:rFonts w:hint="eastAsia" w:ascii="宋体" w:hAnsi="宋体" w:eastAsia="宋体" w:cs="宋体"/>
                <w:color w:val="0D0D0D"/>
                <w:sz w:val="28"/>
                <w:szCs w:val="28"/>
              </w:rPr>
            </w:pPr>
            <w:r>
              <w:rPr>
                <w:rFonts w:hint="eastAsia" w:ascii="宋体" w:hAnsi="宋体" w:eastAsia="宋体" w:cs="宋体"/>
                <w:kern w:val="0"/>
                <w:sz w:val="28"/>
                <w:szCs w:val="28"/>
              </w:rPr>
              <w:t>2.2.5</w:t>
            </w:r>
            <w:r>
              <w:rPr>
                <w:rFonts w:hint="eastAsia" w:ascii="宋体" w:hAnsi="宋体" w:eastAsia="宋体" w:cs="宋体"/>
                <w:color w:val="0D0D0D"/>
                <w:sz w:val="28"/>
                <w:szCs w:val="28"/>
              </w:rPr>
              <w:t>根据课程性质，课程制作团队与教师一起确定课程最合理的拍摄方式，提供不少于以下7种的拍摄模式供老师选择，特殊课程可根据老师课程框架设计更多拍摄模式，一门课程可以采用多种拍摄模式：</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PPT模式：在摄影棚内拍摄，全程PPT演示。</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访谈模式：在摄影棚内拍摄，根据访谈人数，设定机位数一般2-3机位，教学过程由多位老师交流讨论完成。适合启发性的、思维拓展和发散的学科课程。</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演示模式：在摄影棚内多机位拍摄，通过实际操作演示、讲解，完成教学过程。</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真人动画模式：在摄影棚内按照脚本设计完成课程拍摄，根据老师讲课风格特点，后期配动画，以增加课程趣味性。</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完全动画模式：老师根据讲稿在摄影棚内完成高音质录音，后期用动画模式展现课程，可根据课程特点加入诙谐幽默等风格的配音动画等</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场景实操模式：根据老师课程需求，选择在特定拍摄场地，多机位拍摄。</w:t>
            </w:r>
          </w:p>
          <w:p>
            <w:pPr>
              <w:pStyle w:val="83"/>
              <w:numPr>
                <w:ilvl w:val="0"/>
                <w:numId w:val="4"/>
              </w:numPr>
              <w:spacing w:line="560" w:lineRule="exact"/>
              <w:ind w:left="907" w:hanging="340" w:firstLineChars="0"/>
              <w:rPr>
                <w:rFonts w:hint="eastAsia" w:ascii="宋体" w:hAnsi="宋体" w:eastAsia="宋体" w:cs="宋体"/>
                <w:color w:val="0D0D0D"/>
                <w:sz w:val="28"/>
                <w:szCs w:val="28"/>
              </w:rPr>
            </w:pPr>
            <w:r>
              <w:rPr>
                <w:rFonts w:hint="eastAsia" w:ascii="宋体" w:hAnsi="宋体" w:eastAsia="宋体" w:cs="宋体"/>
                <w:color w:val="0D0D0D"/>
                <w:sz w:val="28"/>
                <w:szCs w:val="28"/>
              </w:rPr>
              <w:t>随堂拍摄模式：随堂拍摄，多机位拍摄，记录老师讲课现场风采。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73" w:type="dxa"/>
            <w:vAlign w:val="center"/>
          </w:tcPr>
          <w:p>
            <w:pPr>
              <w:widowControl/>
              <w:spacing w:line="560" w:lineRule="exact"/>
              <w:jc w:val="center"/>
              <w:rPr>
                <w:rFonts w:hint="eastAsia" w:ascii="宋体" w:hAnsi="宋体" w:eastAsia="宋体" w:cs="宋体"/>
                <w:sz w:val="28"/>
                <w:szCs w:val="28"/>
              </w:rPr>
            </w:pPr>
            <w:r>
              <w:rPr>
                <w:rFonts w:hint="eastAsia" w:ascii="宋体" w:hAnsi="宋体" w:eastAsia="宋体" w:cs="宋体"/>
                <w:kern w:val="0"/>
                <w:sz w:val="28"/>
                <w:szCs w:val="28"/>
              </w:rPr>
              <w:t>2.3中期课程制作</w:t>
            </w:r>
          </w:p>
        </w:tc>
        <w:tc>
          <w:tcPr>
            <w:tcW w:w="7274" w:type="dxa"/>
            <w:vAlign w:val="center"/>
          </w:tcPr>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根据课程设计完成知识点的拍摄和制作，整合各类教学素材，进行课程内容的富媒体编辑。</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（1）课室准备：由服务供应商根据课程实际需要，与课程主讲老师协商拍摄时间、场地、人员。并拟定拍摄计划，经课程主讲老师确认后按计划安排拍摄。</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（2）拍摄现场人员的配备：在拍摄现场，服务供应商必须安排编导、摄影师、灯光师、场记人员、化妆师等专业人员，帮助老师完成课程拍摄。</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（3）拍摄现场对老师的引导：在拍摄现场，中标人需要辅助教师进行着装选择和妆容调整，并辅导教师适应镜头，从老师的语调、语速、动作等方面引导老师以最自然的状态进行课程的拍摄。</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（4）录屏：对主讲老师需要进行操作演示的内容，服务供应商需提供录屏软件，并协助主讲老师操作录屏和录音，作为课程后期剪辑的必要素材。</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后期制作：</w:t>
            </w:r>
          </w:p>
          <w:p>
            <w:pPr>
              <w:widowControl/>
              <w:spacing w:line="560" w:lineRule="exact"/>
              <w:rPr>
                <w:rFonts w:hint="eastAsia" w:ascii="宋体" w:hAnsi="宋体" w:eastAsia="宋体" w:cs="宋体"/>
                <w:kern w:val="0"/>
                <w:sz w:val="28"/>
                <w:szCs w:val="28"/>
              </w:rPr>
            </w:pPr>
            <w:r>
              <w:rPr>
                <w:rFonts w:hint="eastAsia" w:ascii="宋体" w:hAnsi="宋体" w:eastAsia="宋体" w:cs="宋体"/>
                <w:kern w:val="0"/>
                <w:sz w:val="28"/>
                <w:szCs w:val="28"/>
              </w:rPr>
              <w:t>（5）初剪：由后期编辑师根据场记信息剪辑出有效视频，插入录屏内容（如果有的话），并对视频进行基本处理（抠像、调色、调音等），初剪完的内容必须保证准确，不可留有无效的内容或者剪掉有效的内容。</w:t>
            </w:r>
          </w:p>
          <w:p>
            <w:pPr>
              <w:widowControl/>
              <w:spacing w:line="560" w:lineRule="exact"/>
              <w:ind w:left="23" w:leftChars="11"/>
              <w:rPr>
                <w:rFonts w:hint="eastAsia" w:ascii="宋体" w:hAnsi="宋体" w:eastAsia="宋体" w:cs="宋体"/>
                <w:sz w:val="28"/>
                <w:szCs w:val="28"/>
              </w:rPr>
            </w:pPr>
            <w:r>
              <w:rPr>
                <w:rFonts w:hint="eastAsia" w:ascii="宋体" w:hAnsi="宋体" w:eastAsia="宋体" w:cs="宋体"/>
                <w:sz w:val="28"/>
                <w:szCs w:val="28"/>
              </w:rPr>
              <w:t>（6）包装：必须严格按照设计脚本进行视频的包装，主要包括：添加转场、重点标记、引入引文、图片、视频、动画、背景音乐、音效等素材。</w:t>
            </w:r>
          </w:p>
          <w:p>
            <w:pPr>
              <w:widowControl/>
              <w:spacing w:line="560" w:lineRule="exact"/>
              <w:ind w:left="30" w:leftChars="1" w:hanging="28" w:hangingChars="10"/>
              <w:rPr>
                <w:rFonts w:hint="eastAsia" w:ascii="宋体" w:hAnsi="宋体" w:eastAsia="宋体" w:cs="宋体"/>
                <w:sz w:val="28"/>
                <w:szCs w:val="28"/>
              </w:rPr>
            </w:pPr>
            <w:r>
              <w:rPr>
                <w:rFonts w:hint="eastAsia" w:ascii="宋体" w:hAnsi="宋体" w:eastAsia="宋体" w:cs="宋体"/>
                <w:sz w:val="28"/>
                <w:szCs w:val="28"/>
              </w:rPr>
              <w:t>（7）合成：添加片头（必须根据每门课程设计专用的片头，片头必须包含学校logo、课程名称、主讲老师姓名等信息）、片尾、字幕，并输出交付成片。</w:t>
            </w:r>
          </w:p>
          <w:p>
            <w:pPr>
              <w:widowControl/>
              <w:spacing w:line="560" w:lineRule="exact"/>
              <w:ind w:left="30" w:leftChars="1" w:hanging="28" w:hangingChars="10"/>
              <w:rPr>
                <w:rFonts w:hint="eastAsia" w:ascii="宋体" w:hAnsi="宋体" w:eastAsia="宋体" w:cs="宋体"/>
                <w:sz w:val="28"/>
                <w:szCs w:val="28"/>
              </w:rPr>
            </w:pPr>
            <w:r>
              <w:rPr>
                <w:rFonts w:hint="eastAsia" w:ascii="宋体" w:hAnsi="宋体" w:eastAsia="宋体" w:cs="宋体"/>
                <w:sz w:val="28"/>
                <w:szCs w:val="28"/>
              </w:rPr>
              <w:t>（8）初审：由编导进行初审，确保视频内容符合脚本的要求。</w:t>
            </w:r>
          </w:p>
          <w:p>
            <w:pPr>
              <w:widowControl/>
              <w:spacing w:line="560" w:lineRule="exact"/>
              <w:ind w:left="30" w:leftChars="1" w:hanging="28" w:hangingChars="10"/>
              <w:rPr>
                <w:rFonts w:hint="eastAsia" w:ascii="宋体" w:hAnsi="宋体" w:eastAsia="宋体" w:cs="宋体"/>
                <w:sz w:val="28"/>
                <w:szCs w:val="28"/>
              </w:rPr>
            </w:pPr>
            <w:r>
              <w:rPr>
                <w:rFonts w:hint="eastAsia" w:ascii="宋体" w:hAnsi="宋体" w:eastAsia="宋体" w:cs="宋体"/>
                <w:sz w:val="28"/>
                <w:szCs w:val="28"/>
              </w:rPr>
              <w:t>（9）复审：由主讲老师进行复审，确保视频知识内容的准确性，如属于后期制作而导致的内容不准确，需由服务供应商安排人员进行修正，直至复审通过。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73" w:type="dxa"/>
            <w:vAlign w:val="center"/>
          </w:tcPr>
          <w:p>
            <w:pPr>
              <w:widowControl/>
              <w:spacing w:line="560" w:lineRule="exact"/>
              <w:jc w:val="center"/>
              <w:rPr>
                <w:rFonts w:hint="eastAsia" w:ascii="宋体" w:hAnsi="宋体" w:eastAsia="宋体" w:cs="宋体"/>
                <w:sz w:val="28"/>
                <w:szCs w:val="28"/>
              </w:rPr>
            </w:pPr>
            <w:r>
              <w:rPr>
                <w:rFonts w:hint="eastAsia" w:ascii="宋体" w:hAnsi="宋体" w:eastAsia="宋体" w:cs="宋体"/>
                <w:kern w:val="0"/>
                <w:sz w:val="28"/>
                <w:szCs w:val="28"/>
              </w:rPr>
              <w:t>2.4后期持续完善</w:t>
            </w:r>
          </w:p>
        </w:tc>
        <w:tc>
          <w:tcPr>
            <w:tcW w:w="7274" w:type="dxa"/>
            <w:vAlign w:val="center"/>
          </w:tcPr>
          <w:p>
            <w:pPr>
              <w:spacing w:line="560" w:lineRule="exact"/>
              <w:rPr>
                <w:rFonts w:hint="eastAsia" w:ascii="宋体" w:hAnsi="宋体" w:eastAsia="宋体" w:cs="宋体"/>
                <w:sz w:val="28"/>
                <w:szCs w:val="28"/>
              </w:rPr>
            </w:pPr>
            <w:r>
              <w:rPr>
                <w:rFonts w:hint="eastAsia" w:ascii="宋体" w:hAnsi="宋体" w:eastAsia="宋体" w:cs="宋体"/>
                <w:sz w:val="28"/>
                <w:szCs w:val="28"/>
              </w:rPr>
              <w:t>2.4.1为课程建设进行落地推广服务，建设推广网页，页面推广内容包括课程简介、教学大纲、教学团队、教学计划、开放资源、评论、招生、考核标准等信息，并积极向社会推广，提高校外学习者数量。</w:t>
            </w:r>
          </w:p>
          <w:p>
            <w:pPr>
              <w:widowControl/>
              <w:spacing w:line="560" w:lineRule="exact"/>
              <w:ind w:left="84" w:leftChars="4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kern w:val="0"/>
                <w:sz w:val="28"/>
                <w:szCs w:val="28"/>
              </w:rPr>
              <w:t>2.4</w:t>
            </w:r>
            <w:r>
              <w:rPr>
                <w:rFonts w:hint="eastAsia" w:ascii="宋体" w:hAnsi="宋体" w:eastAsia="宋体" w:cs="宋体"/>
                <w:sz w:val="28"/>
                <w:szCs w:val="28"/>
              </w:rPr>
              <w:t>.2 修改服务：课程验收合格后1年内，中标人需保证提供必要的修改服务。当修改量不超过原视频时长的10%，或修改内容为视频唱词、课程封面、课件美化、章节调整时，制作方提供免费修改；当视频修改量超过原视频时长的10%时，制作方提供有偿服务，服务费不超过该门课程总费用的20%。</w:t>
            </w:r>
          </w:p>
          <w:p>
            <w:pPr>
              <w:widowControl/>
              <w:spacing w:line="560" w:lineRule="exact"/>
              <w:ind w:left="84" w:leftChars="4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73" w:type="dxa"/>
            <w:vAlign w:val="center"/>
          </w:tcPr>
          <w:p>
            <w:pPr>
              <w:widowControl/>
              <w:spacing w:line="560" w:lineRule="exact"/>
              <w:jc w:val="center"/>
              <w:rPr>
                <w:rFonts w:hint="eastAsia" w:ascii="宋体" w:hAnsi="宋体" w:eastAsia="宋体" w:cs="宋体"/>
                <w:sz w:val="28"/>
                <w:szCs w:val="28"/>
              </w:rPr>
            </w:pPr>
            <w:r>
              <w:rPr>
                <w:rFonts w:hint="eastAsia" w:ascii="宋体" w:hAnsi="宋体" w:eastAsia="宋体" w:cs="宋体"/>
                <w:kern w:val="0"/>
                <w:sz w:val="28"/>
                <w:szCs w:val="28"/>
              </w:rPr>
              <w:t>2.5课程运作团队培训</w:t>
            </w:r>
          </w:p>
        </w:tc>
        <w:tc>
          <w:tcPr>
            <w:tcW w:w="7274" w:type="dxa"/>
            <w:vAlign w:val="center"/>
          </w:tcPr>
          <w:p>
            <w:pPr>
              <w:widowControl/>
              <w:spacing w:line="56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包括课程维护管理、课程建设、视频资源制作等维护、建设技术培训，使课程团队达到独立操作并能进行日常维护和简单的故障分析及排除水平。培训地点为采购人指定地点。</w:t>
            </w:r>
          </w:p>
        </w:tc>
      </w:tr>
    </w:tbl>
    <w:p>
      <w:pPr>
        <w:spacing w:line="560" w:lineRule="exact"/>
        <w:ind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3、课程制作资源与素材需求</w:t>
      </w:r>
    </w:p>
    <w:tbl>
      <w:tblPr>
        <w:tblStyle w:val="27"/>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一级指标</w:t>
            </w:r>
          </w:p>
        </w:tc>
        <w:tc>
          <w:tcPr>
            <w:tcW w:w="7057" w:type="dxa"/>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spacing w:line="360" w:lineRule="auto"/>
              <w:rPr>
                <w:rFonts w:hint="eastAsia" w:ascii="宋体" w:hAnsi="宋体" w:eastAsia="宋体" w:cs="宋体"/>
                <w:sz w:val="28"/>
                <w:szCs w:val="28"/>
              </w:rPr>
            </w:pPr>
            <w:r>
              <w:rPr>
                <w:rFonts w:hint="eastAsia" w:ascii="宋体" w:hAnsi="宋体" w:eastAsia="宋体" w:cs="宋体"/>
                <w:kern w:val="0"/>
                <w:sz w:val="28"/>
                <w:szCs w:val="28"/>
              </w:rPr>
              <w:t>▲</w:t>
            </w:r>
            <w:r>
              <w:rPr>
                <w:rFonts w:hint="eastAsia" w:ascii="宋体" w:hAnsi="宋体" w:eastAsia="宋体" w:cs="宋体"/>
                <w:sz w:val="28"/>
                <w:szCs w:val="28"/>
              </w:rPr>
              <w:t>3.1课程学习资源</w:t>
            </w:r>
          </w:p>
        </w:tc>
        <w:tc>
          <w:tcPr>
            <w:tcW w:w="70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为便于教师在课程设计和教学过程中更好地使用富媒体化资源，课程制作过程中需提供可在线使用的课程资源。要求整合全国高校各院系的本、专科课程信息，课程目录包含教育部规定的13个学科门类，至少1.5万门课程</w:t>
            </w:r>
            <w:r>
              <w:rPr>
                <w:rFonts w:hint="eastAsia" w:ascii="宋体" w:hAnsi="宋体" w:eastAsia="宋体" w:cs="宋体"/>
                <w:b/>
                <w:bCs/>
                <w:sz w:val="28"/>
                <w:szCs w:val="28"/>
              </w:rPr>
              <w:t>(投标时提供相应证明文件，并加盖投标人公章)</w:t>
            </w:r>
            <w:r>
              <w:rPr>
                <w:rFonts w:hint="eastAsia" w:ascii="宋体" w:hAnsi="宋体" w:eastAsia="宋体" w:cs="宋体"/>
                <w:sz w:val="28"/>
                <w:szCs w:val="28"/>
              </w:rPr>
              <w:t>。以课程为中心，整合与课程相关的各种精品资源，包括各高校的名师视频课程、网络精品共享课程，以及与课程相关的电子图书、期刊、论文、视频讲座等。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spacing w:line="360" w:lineRule="auto"/>
              <w:rPr>
                <w:rFonts w:hint="eastAsia" w:ascii="宋体" w:hAnsi="宋体" w:eastAsia="宋体" w:cs="宋体"/>
                <w:sz w:val="28"/>
                <w:szCs w:val="28"/>
              </w:rPr>
            </w:pPr>
            <w:r>
              <w:rPr>
                <w:rFonts w:hint="eastAsia" w:ascii="宋体" w:hAnsi="宋体" w:eastAsia="宋体" w:cs="宋体"/>
                <w:kern w:val="0"/>
                <w:sz w:val="28"/>
                <w:szCs w:val="28"/>
              </w:rPr>
              <w:t>▲</w:t>
            </w:r>
            <w:r>
              <w:rPr>
                <w:rFonts w:hint="eastAsia" w:ascii="宋体" w:hAnsi="宋体" w:eastAsia="宋体" w:cs="宋体"/>
                <w:sz w:val="28"/>
                <w:szCs w:val="28"/>
              </w:rPr>
              <w:t>3.2课程备课资源</w:t>
            </w:r>
          </w:p>
        </w:tc>
        <w:tc>
          <w:tcPr>
            <w:tcW w:w="70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提供教师备课、制作课件、制作网络课程等工作中随时需要查阅、引用的海量资源。教师在进行课程建设、备课、授课过程中随时可以搜索、引用、无缝插入备课资源库中的资源。</w:t>
            </w:r>
          </w:p>
          <w:p>
            <w:pPr>
              <w:spacing w:line="360" w:lineRule="auto"/>
              <w:rPr>
                <w:rFonts w:hint="eastAsia" w:ascii="宋体" w:hAnsi="宋体" w:eastAsia="宋体" w:cs="宋体"/>
                <w:sz w:val="28"/>
                <w:szCs w:val="28"/>
              </w:rPr>
            </w:pPr>
            <w:r>
              <w:rPr>
                <w:rFonts w:hint="eastAsia" w:ascii="宋体" w:hAnsi="宋体" w:eastAsia="宋体" w:cs="宋体"/>
                <w:sz w:val="28"/>
                <w:szCs w:val="28"/>
              </w:rPr>
              <w:t>1、所提供海量的电子文献，可以在线阅读，可以进行文字摘录。</w:t>
            </w:r>
          </w:p>
          <w:p>
            <w:pPr>
              <w:spacing w:line="360" w:lineRule="auto"/>
              <w:rPr>
                <w:rFonts w:hint="eastAsia" w:ascii="宋体" w:hAnsi="宋体" w:eastAsia="宋体" w:cs="宋体"/>
                <w:sz w:val="28"/>
                <w:szCs w:val="28"/>
              </w:rPr>
            </w:pPr>
            <w:r>
              <w:rPr>
                <w:rFonts w:hint="eastAsia" w:ascii="宋体" w:hAnsi="宋体" w:eastAsia="宋体" w:cs="宋体"/>
                <w:sz w:val="28"/>
                <w:szCs w:val="28"/>
              </w:rPr>
              <w:t>2、所提供海量的学术视频，可以在线进行播放。</w:t>
            </w:r>
          </w:p>
          <w:p>
            <w:pPr>
              <w:spacing w:line="360" w:lineRule="auto"/>
              <w:rPr>
                <w:rFonts w:hint="eastAsia" w:ascii="宋体" w:hAnsi="宋体" w:eastAsia="宋体" w:cs="宋体"/>
                <w:b/>
                <w:bCs/>
                <w:sz w:val="28"/>
                <w:szCs w:val="28"/>
              </w:rPr>
            </w:pPr>
            <w:r>
              <w:rPr>
                <w:rFonts w:hint="eastAsia" w:ascii="宋体" w:hAnsi="宋体" w:eastAsia="宋体" w:cs="宋体"/>
                <w:sz w:val="28"/>
                <w:szCs w:val="28"/>
              </w:rPr>
              <w:t>3、为保障教学资源的版权和准确性，课程制作过程中需提供可在线使用的文献查重系统，并满足如下要求：能提供至少200万种中文图书全文作为比对的基础库。能提供至少1亿篇中文报纸文章全文作为比对的基础库</w:t>
            </w:r>
            <w:r>
              <w:rPr>
                <w:rFonts w:hint="eastAsia" w:ascii="宋体" w:hAnsi="宋体" w:eastAsia="宋体" w:cs="宋体"/>
                <w:b/>
                <w:bCs/>
                <w:sz w:val="28"/>
                <w:szCs w:val="28"/>
              </w:rPr>
              <w:t>(投标时提供相应证明文件，并加盖投标人公章)</w:t>
            </w:r>
            <w:r>
              <w:rPr>
                <w:rFonts w:hint="eastAsia" w:ascii="宋体" w:hAnsi="宋体" w:eastAsia="宋体" w:cs="宋体"/>
                <w:sz w:val="28"/>
                <w:szCs w:val="28"/>
              </w:rPr>
              <w:t>。支持TXT、DOC、DOCX、PDF多种非加密文档的上传检测。支持将万字以下的文本直接黏贴到文本框中直接上传进行检测。在使用过程中对比库进行免费升级。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▲3.3数字资源使用服务</w:t>
            </w:r>
          </w:p>
        </w:tc>
        <w:tc>
          <w:tcPr>
            <w:tcW w:w="70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课程学习资源、课程备课资源库和文献查重系统需提供在线服务，并与慕课课程制作系统、课程学习和管理平台无缝对接。</w:t>
            </w:r>
          </w:p>
        </w:tc>
      </w:tr>
    </w:tbl>
    <w:p>
      <w:pPr>
        <w:spacing w:line="560" w:lineRule="exact"/>
        <w:ind w:firstLine="562" w:firstLineChars="200"/>
        <w:outlineLvl w:val="9"/>
        <w:rPr>
          <w:rFonts w:hint="eastAsia" w:ascii="宋体" w:hAnsi="宋体" w:eastAsia="宋体" w:cs="宋体"/>
          <w:b/>
          <w:sz w:val="28"/>
          <w:szCs w:val="28"/>
        </w:rPr>
      </w:pPr>
    </w:p>
    <w:p>
      <w:pPr>
        <w:spacing w:line="560" w:lineRule="exact"/>
        <w:ind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4、课程运营服务</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060"/>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Align w:val="center"/>
          </w:tcPr>
          <w:p>
            <w:pPr>
              <w:widowControl/>
              <w:spacing w:line="276"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一级</w:t>
            </w:r>
          </w:p>
          <w:p>
            <w:pPr>
              <w:widowControl/>
              <w:spacing w:line="276"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指标</w:t>
            </w:r>
          </w:p>
        </w:tc>
        <w:tc>
          <w:tcPr>
            <w:tcW w:w="585" w:type="pct"/>
            <w:noWrap/>
            <w:vAlign w:val="center"/>
          </w:tcPr>
          <w:p>
            <w:pPr>
              <w:widowControl/>
              <w:spacing w:line="276"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二级</w:t>
            </w:r>
          </w:p>
          <w:p>
            <w:pPr>
              <w:widowControl/>
              <w:spacing w:line="276"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指标</w:t>
            </w:r>
          </w:p>
        </w:tc>
        <w:tc>
          <w:tcPr>
            <w:tcW w:w="3883" w:type="pct"/>
            <w:vAlign w:val="center"/>
          </w:tcPr>
          <w:p>
            <w:pPr>
              <w:widowControl/>
              <w:spacing w:line="276"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Merge w:val="restart"/>
            <w:vAlign w:val="center"/>
          </w:tcPr>
          <w:p>
            <w:pPr>
              <w:widowControl/>
              <w:spacing w:line="276" w:lineRule="auto"/>
              <w:jc w:val="left"/>
              <w:rPr>
                <w:rFonts w:hint="eastAsia" w:ascii="宋体" w:hAnsi="宋体" w:eastAsia="宋体" w:cs="宋体"/>
                <w:kern w:val="0"/>
                <w:sz w:val="28"/>
                <w:szCs w:val="28"/>
              </w:rPr>
            </w:pPr>
            <w:r>
              <w:rPr>
                <w:rFonts w:hint="eastAsia" w:ascii="宋体" w:hAnsi="宋体" w:eastAsia="宋体" w:cs="宋体"/>
                <w:kern w:val="0"/>
                <w:sz w:val="28"/>
                <w:szCs w:val="28"/>
              </w:rPr>
              <w:t>4.1教学互动</w:t>
            </w:r>
          </w:p>
        </w:tc>
        <w:tc>
          <w:tcPr>
            <w:tcW w:w="585" w:type="pct"/>
            <w:vAlign w:val="center"/>
          </w:tcPr>
          <w:p>
            <w:pPr>
              <w:widowControl/>
              <w:spacing w:line="276" w:lineRule="auto"/>
              <w:jc w:val="left"/>
              <w:rPr>
                <w:rFonts w:hint="eastAsia" w:ascii="宋体" w:hAnsi="宋体" w:eastAsia="宋体" w:cs="宋体"/>
                <w:kern w:val="0"/>
                <w:sz w:val="28"/>
                <w:szCs w:val="28"/>
              </w:rPr>
            </w:pPr>
            <w:r>
              <w:rPr>
                <w:rFonts w:hint="eastAsia" w:ascii="宋体" w:hAnsi="宋体" w:eastAsia="宋体" w:cs="宋体"/>
                <w:kern w:val="0"/>
                <w:sz w:val="28"/>
                <w:szCs w:val="28"/>
              </w:rPr>
              <w:t>4.1.1学习过程控制与管理</w:t>
            </w:r>
          </w:p>
        </w:tc>
        <w:tc>
          <w:tcPr>
            <w:tcW w:w="3883" w:type="pct"/>
            <w:vAlign w:val="center"/>
          </w:tcPr>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（1）章节知识点学习推送控制</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教师可以针对每一个教学班对每个章节学习内容进行“开放、定时开放、闯关模式开放、关闭”等设置。</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（2）章节任务点</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教师可以将课程章节内视频、图书、作业等设置为任务点，要求学生必须完成，灵活控制学生学习的情况。学生端可以看到每个章节需要完成的任务点情况。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Merge w:val="continue"/>
            <w:vAlign w:val="center"/>
          </w:tcPr>
          <w:p>
            <w:pPr>
              <w:spacing w:line="276" w:lineRule="auto"/>
              <w:jc w:val="left"/>
              <w:rPr>
                <w:rFonts w:hint="eastAsia" w:ascii="宋体" w:hAnsi="宋体" w:eastAsia="宋体" w:cs="宋体"/>
                <w:kern w:val="0"/>
                <w:sz w:val="28"/>
                <w:szCs w:val="28"/>
              </w:rPr>
            </w:pPr>
          </w:p>
        </w:tc>
        <w:tc>
          <w:tcPr>
            <w:tcW w:w="585" w:type="pct"/>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4.1.2教学资源管理</w:t>
            </w:r>
          </w:p>
        </w:tc>
        <w:tc>
          <w:tcPr>
            <w:tcW w:w="3883" w:type="pct"/>
            <w:vAlign w:val="center"/>
          </w:tcPr>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▲（1）教学资料</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教师可以直接从备课资源库检索、添加相关在线资源，可以对资料库中的资料进行公开与不公开设置。</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（2）教材教参</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教师可以从备课资源库中查找并添加课程相关的教学参考书，推荐给学生直接进行在线阅读。</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（3）推荐视频</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教师可以从备课资源库中查找并添加课程相关的学术视频，推荐给学生直接进行在线观看。</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（4）题库管理</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教师可以创建课程试题库，对试题库进行管理，包括添加、修改、删除、查询、浏览等功能。题型包括单选、多选、判断、简答、填空等，题的属性包括类别、难度系数、适用层级等。</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（5）试卷管理</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具有从题库或以前的测验中随机生成新的试卷的功能，教师可以对试卷中的试题进行添加、修改、删除、任意排序、预览等功能，还可以对试题设定分值。试卷可多次重复使用。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Merge w:val="continue"/>
            <w:vAlign w:val="center"/>
          </w:tcPr>
          <w:p>
            <w:pPr>
              <w:spacing w:line="276" w:lineRule="auto"/>
              <w:jc w:val="left"/>
              <w:rPr>
                <w:rFonts w:hint="eastAsia" w:ascii="宋体" w:hAnsi="宋体" w:eastAsia="宋体" w:cs="宋体"/>
                <w:kern w:val="0"/>
                <w:sz w:val="28"/>
                <w:szCs w:val="28"/>
              </w:rPr>
            </w:pPr>
          </w:p>
        </w:tc>
        <w:tc>
          <w:tcPr>
            <w:tcW w:w="585" w:type="pct"/>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4.1.3教学互动功能</w:t>
            </w:r>
          </w:p>
        </w:tc>
        <w:tc>
          <w:tcPr>
            <w:tcW w:w="3883" w:type="pct"/>
            <w:vAlign w:val="center"/>
          </w:tcPr>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（1）作业</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1）作业可以是来源于题库、作业库或自定义，每次布置作业，自定义的题目需具有保存到题库的功能。</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2）教师可以随时查看学生作业的完成情况并对作业进行线上批阅打分，学生在线提交作业后，对于客观题系统能自动判分。</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3）作业需具备生生互评的功能，设为互评的作业，学生间对作业相互打数，教师可参与最后的评估。</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4）可对作业进行随机出题，从海量题库中随机抽取若干道题目，保证每位学生收到不同的作业，实现学生之间防作弊功能。</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（2）测验与考试</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1）能为学生提供限时和不限时的测验和考试，能按照设定的日期和时间自动开放或关闭测验和考试。</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2）需具备随机组卷功能，组卷可以从不同章节选择，并可以随机组若干套试卷发放给学生，确保每个人接收的试卷是不致的。</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（3）通知</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教师可以在他们的课程中发布课程通知。</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（4）讨论</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学生和教师可以在讨论区中发起讨论，讨论可以跟某一个章节进行关联。教师可针对精彩的讨论或有重要意义的讨论做加精或置顶的操作，也可对非法讨论进行删除。</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（5）笔记</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学生在学习某一个章节时，可以针对此章节做笔记。</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（6）互动课堂</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教师可以与学生通过视频进行实时互动，学生可以在聊天区进行提问，教师也可以通过白板与学生交流。</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（7）小组学习</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支持自动随机分组和手动分组方式；可查看历史小组的小组成员信息、小组历史文件、小组历史论坛内容、小组历史评论等。</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小组教师可以上传小组文件；可下载某时间段内某小组所有文件；小组教师可以批阅本小组学生的文件；小组学生查看批阅信息。</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支持小组教师在本小组内发表论题、维护论题、回复论题；支持小组学生在本小组内发表论题、回复论题；允许小组教师和小组学生查看其他小组论题。</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支持小组评价、共享资料。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Merge w:val="continue"/>
            <w:vAlign w:val="center"/>
          </w:tcPr>
          <w:p>
            <w:pPr>
              <w:spacing w:line="276" w:lineRule="auto"/>
              <w:jc w:val="left"/>
              <w:rPr>
                <w:rFonts w:hint="eastAsia" w:ascii="宋体" w:hAnsi="宋体" w:eastAsia="宋体" w:cs="宋体"/>
                <w:kern w:val="0"/>
                <w:sz w:val="28"/>
                <w:szCs w:val="28"/>
              </w:rPr>
            </w:pPr>
          </w:p>
        </w:tc>
        <w:tc>
          <w:tcPr>
            <w:tcW w:w="585" w:type="pct"/>
            <w:vAlign w:val="center"/>
          </w:tcPr>
          <w:p>
            <w:pPr>
              <w:widowControl/>
              <w:jc w:val="left"/>
              <w:rPr>
                <w:rFonts w:hint="eastAsia" w:ascii="宋体" w:hAnsi="宋体" w:eastAsia="宋体" w:cs="宋体"/>
                <w:b/>
                <w:kern w:val="0"/>
                <w:sz w:val="28"/>
                <w:szCs w:val="28"/>
              </w:rPr>
            </w:pPr>
            <w:r>
              <w:rPr>
                <w:rFonts w:hint="eastAsia" w:ascii="宋体" w:hAnsi="宋体" w:eastAsia="宋体" w:cs="宋体"/>
                <w:bCs/>
                <w:kern w:val="0"/>
                <w:sz w:val="28"/>
                <w:szCs w:val="28"/>
              </w:rPr>
              <w:t>4.1.4统计功能</w:t>
            </w:r>
          </w:p>
        </w:tc>
        <w:tc>
          <w:tcPr>
            <w:tcW w:w="3883" w:type="pct"/>
            <w:vAlign w:val="center"/>
          </w:tcPr>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（1）课程统计</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课程统计全面统计教师关于课程的内容建设情况，包括与课程相关的图书、引用的资料、插入的视频、章节内容的建设、给学生设置的任务点等，全面细致的统计出课程的所有相关内容。</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▲（2）成绩统计</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课程里所有学生的各项成绩、综合成绩及排名；所有作业及测验的完成情况及平均分数；可对视频、讨论、作业、测验、在线时长等做权重设置；每个学生这门课程里全部作业或测验的成绩；可以对每一份作业或每一份测验做权重设置；支持成绩录入功能；成绩可导入教务管理系统。</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（3）学习统计</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教师可对学习自己课程的学生进行集中管理。可以查看全部或部分学生在某个时段对该门课下某些版块的使用情况，统计内容包括访问次数、在线时长、学习活动。教师可跟踪掌握学生的学习情况和学习进度，包括作业、答疑、讨论、习题资料的使用等数据汇总，方便教师对学生进行个性化教学。统计的结果最终形成图表展示，一目了然。</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能够统计出每个学生所有章节视频的完成情况，包括某一段视频的观看的遍数，从而了解从学生角度看哪里是难点及兴趣点，需统计一个学生所有作业的完成情况及每个学生某份作业的答题情况。</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可统计全班最快进度、最慢进度及平均进度，教师可随时了解课程的总体学习情况，并可详细查看每一位同学的学习重点分布，如视频的等。</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▲（4）教学统计</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按照章节知识点统计全部任务数及平均完成数、视频总时长及完成观看视频时长、作业总数及完成作业数。</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 xml:space="preserve">视频统计：能够按照章节统计出全部视频及完成情况。具体某一个视频的总时长及平均观看时长，每个学生每段视频的观看时长。同时能够统计出某一个视频，学生的完成情况。 </w:t>
            </w:r>
          </w:p>
          <w:p>
            <w:pPr>
              <w:widowControl/>
              <w:spacing w:line="400" w:lineRule="exact"/>
              <w:ind w:left="84" w:leftChars="40" w:firstLine="360"/>
              <w:rPr>
                <w:rFonts w:hint="eastAsia" w:ascii="宋体" w:hAnsi="宋体" w:eastAsia="宋体" w:cs="宋体"/>
                <w:kern w:val="0"/>
                <w:sz w:val="28"/>
                <w:szCs w:val="28"/>
              </w:rPr>
            </w:pPr>
            <w:r>
              <w:rPr>
                <w:rFonts w:hint="eastAsia" w:ascii="宋体" w:hAnsi="宋体" w:eastAsia="宋体" w:cs="宋体"/>
                <w:kern w:val="0"/>
                <w:sz w:val="28"/>
                <w:szCs w:val="28"/>
              </w:rPr>
              <w:t>作业统计：按照章节统计所有作业学生的平均成绩及每个学生每份作业的成绩。对于某一份作业，学生的完成情况。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pct"/>
            <w:vAlign w:val="center"/>
          </w:tcPr>
          <w:p>
            <w:pPr>
              <w:widowControl/>
              <w:jc w:val="center"/>
              <w:rPr>
                <w:rFonts w:hint="eastAsia" w:ascii="宋体" w:hAnsi="宋体" w:eastAsia="宋体" w:cs="宋体"/>
                <w:b/>
                <w:kern w:val="0"/>
                <w:sz w:val="28"/>
                <w:szCs w:val="28"/>
              </w:rPr>
            </w:pPr>
            <w:r>
              <w:rPr>
                <w:rFonts w:hint="eastAsia" w:ascii="宋体" w:hAnsi="宋体" w:eastAsia="宋体" w:cs="宋体"/>
                <w:bCs/>
                <w:kern w:val="0"/>
                <w:sz w:val="28"/>
                <w:szCs w:val="28"/>
              </w:rPr>
              <w:t>4.2移动学习</w:t>
            </w:r>
          </w:p>
        </w:tc>
        <w:tc>
          <w:tcPr>
            <w:tcW w:w="585" w:type="pct"/>
            <w:vAlign w:val="center"/>
          </w:tcPr>
          <w:p>
            <w:pPr>
              <w:widowControl/>
              <w:jc w:val="center"/>
              <w:rPr>
                <w:rFonts w:hint="eastAsia" w:ascii="宋体" w:hAnsi="宋体" w:eastAsia="宋体" w:cs="宋体"/>
                <w:b/>
                <w:kern w:val="0"/>
                <w:sz w:val="28"/>
                <w:szCs w:val="28"/>
              </w:rPr>
            </w:pPr>
            <w:r>
              <w:rPr>
                <w:rFonts w:hint="eastAsia" w:ascii="宋体" w:hAnsi="宋体" w:eastAsia="宋体" w:cs="宋体"/>
                <w:bCs/>
                <w:kern w:val="0"/>
                <w:sz w:val="28"/>
                <w:szCs w:val="28"/>
              </w:rPr>
              <w:t>4.2.1移动学习功能</w:t>
            </w:r>
          </w:p>
        </w:tc>
        <w:tc>
          <w:tcPr>
            <w:tcW w:w="3883" w:type="pct"/>
            <w:vAlign w:val="center"/>
          </w:tcPr>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1.需具有移动客户端，支持iOS和Android操作系统，用于手机、Pad等智能移动终端中，实现在线移动学习、讨论、答疑、交互、消息推送、发布并进行移动测试和成绩查询等功能。</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2. 教师可以对课程资料进行上传，上传的课程资料包括（图片，云盘的文件，相关备课笔记，相关学习网页链接，公共教学资源，专业教学资源），同时可以将资料存放到文件夹，并设置文件的共享范围。</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3. 支持做相关学习、教学等笔记，并支持按文件夹分类管理，同时支持设置其共享范围。</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4．可以基于班级空间发起手机签到、直播、投票/问卷、评分、抢答、选人、展开小组活动。</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5.课堂结束后，可以将所有课堂上发布的控件进行记录，生成课堂历史记录。</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6.可基于课程形成师生互动交流群，实时进行即时通讯，进行讨论与交流。</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 xml:space="preserve">7. 教师支持默认按课前课中课后环节准备教案内容，也支持自由定义各阶段授课环节名称。 </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 xml:space="preserve">8.支持在PPT教案中任意页码插入课堂互动活动（签到，投票，选人，抢答，主题讨论，随堂练习，问卷，分组任务，计时器，白板） </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9.可以阅读海量电子图书、报纸、期刊、专题等资源，可以订阅到自己的空间，并进行分类管理；可以对所有精彩的内容进行分享。</w:t>
            </w:r>
          </w:p>
          <w:p>
            <w:pPr>
              <w:widowControl/>
              <w:spacing w:line="400" w:lineRule="exact"/>
              <w:ind w:left="84" w:leftChars="40"/>
              <w:rPr>
                <w:rFonts w:hint="eastAsia" w:ascii="宋体" w:hAnsi="宋体" w:eastAsia="宋体" w:cs="宋体"/>
                <w:kern w:val="0"/>
                <w:sz w:val="28"/>
                <w:szCs w:val="28"/>
              </w:rPr>
            </w:pPr>
            <w:r>
              <w:rPr>
                <w:rFonts w:hint="eastAsia" w:ascii="宋体" w:hAnsi="宋体" w:eastAsia="宋体" w:cs="宋体"/>
                <w:kern w:val="0"/>
                <w:sz w:val="28"/>
                <w:szCs w:val="28"/>
              </w:rPr>
              <w:t>10.可以从所教课程的班级中复用活动（签到、投票、选人、抢答、主题讨论等） 到新建课程中。</w:t>
            </w:r>
          </w:p>
        </w:tc>
      </w:tr>
    </w:tbl>
    <w:p>
      <w:pPr>
        <w:spacing w:line="560" w:lineRule="exact"/>
        <w:ind w:firstLine="562" w:firstLineChars="200"/>
        <w:outlineLvl w:val="9"/>
        <w:rPr>
          <w:rFonts w:hint="eastAsia" w:ascii="宋体" w:hAnsi="宋体" w:eastAsia="宋体" w:cs="宋体"/>
          <w:b/>
          <w:sz w:val="28"/>
          <w:szCs w:val="28"/>
        </w:rPr>
      </w:pPr>
    </w:p>
    <w:p>
      <w:pPr>
        <w:spacing w:line="560" w:lineRule="exact"/>
        <w:ind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5、教师培训服务</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0" w:type="pct"/>
            <w:vAlign w:val="center"/>
          </w:tcPr>
          <w:p>
            <w:pPr>
              <w:pStyle w:val="96"/>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一级指标</w:t>
            </w:r>
          </w:p>
        </w:tc>
        <w:tc>
          <w:tcPr>
            <w:tcW w:w="4040" w:type="pct"/>
            <w:vAlign w:val="center"/>
          </w:tcPr>
          <w:p>
            <w:pPr>
              <w:pStyle w:val="96"/>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60" w:type="pct"/>
            <w:vAlign w:val="center"/>
          </w:tcPr>
          <w:p>
            <w:pPr>
              <w:spacing w:line="360" w:lineRule="auto"/>
              <w:rPr>
                <w:rFonts w:hint="eastAsia" w:ascii="宋体" w:hAnsi="宋体" w:eastAsia="宋体" w:cs="宋体"/>
                <w:sz w:val="28"/>
                <w:szCs w:val="28"/>
              </w:rPr>
            </w:pPr>
            <w:r>
              <w:rPr>
                <w:rFonts w:hint="eastAsia" w:ascii="宋体" w:hAnsi="宋体" w:eastAsia="宋体" w:cs="宋体"/>
                <w:kern w:val="0"/>
                <w:sz w:val="28"/>
                <w:szCs w:val="28"/>
              </w:rPr>
              <w:t>▲</w:t>
            </w:r>
            <w:r>
              <w:rPr>
                <w:rFonts w:hint="eastAsia" w:ascii="宋体" w:hAnsi="宋体" w:eastAsia="宋体" w:cs="宋体"/>
                <w:sz w:val="28"/>
                <w:szCs w:val="28"/>
              </w:rPr>
              <w:t>5.1课程制作培训</w:t>
            </w:r>
          </w:p>
        </w:tc>
        <w:tc>
          <w:tcPr>
            <w:tcW w:w="4040" w:type="pct"/>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在课程拍摄期间为建课提供课程拍摄技巧方面的培训，主要采用专家讲授＋演练＋实操形式。保证培训效果，且能够免费提供关于MOOC课程制作技巧的相关线上课程进行普及学习。包括：在线开放课程课程教学设计和脚本撰写；课程制作常用软件使用和实操培训；教师演示文稿与制作能力提升，拍摄后进行线上教学相关经验培训的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60" w:type="pct"/>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5.2信息化教学培训</w:t>
            </w:r>
          </w:p>
        </w:tc>
        <w:tc>
          <w:tcPr>
            <w:tcW w:w="4040" w:type="pct"/>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教师信息化教学培训包含互联网+时代下的教学理念、教学技能、教学方法、教师素养、教学示范课等内容；混合式教学设计与实现；移动课堂互动实操演练；教师教学技术能力提升培训等。提供与教学相关的资讯、学习资源、课程资源等。</w:t>
            </w:r>
          </w:p>
        </w:tc>
      </w:tr>
    </w:tbl>
    <w:p>
      <w:pPr>
        <w:spacing w:line="560" w:lineRule="exact"/>
        <w:rPr>
          <w:rFonts w:hint="eastAsia" w:ascii="宋体" w:hAnsi="宋体" w:eastAsia="宋体" w:cs="宋体"/>
          <w:b/>
          <w:sz w:val="28"/>
          <w:szCs w:val="28"/>
        </w:rPr>
      </w:pPr>
    </w:p>
    <w:p>
      <w:pPr>
        <w:spacing w:line="560" w:lineRule="exact"/>
        <w:rPr>
          <w:rFonts w:hint="eastAsia" w:ascii="宋体" w:hAnsi="宋体" w:eastAsia="宋体" w:cs="宋体"/>
          <w:b/>
          <w:sz w:val="28"/>
          <w:szCs w:val="28"/>
        </w:rPr>
      </w:pPr>
      <w:r>
        <w:rPr>
          <w:rFonts w:hint="eastAsia" w:ascii="宋体" w:hAnsi="宋体" w:eastAsia="宋体" w:cs="宋体"/>
          <w:b/>
          <w:sz w:val="28"/>
          <w:szCs w:val="28"/>
        </w:rPr>
        <w:t>（三）演示要求</w:t>
      </w:r>
    </w:p>
    <w:p>
      <w:pPr>
        <w:spacing w:line="560" w:lineRule="exact"/>
        <w:ind w:firstLine="557" w:firstLineChars="199"/>
        <w:rPr>
          <w:rFonts w:hint="eastAsia" w:ascii="宋体" w:hAnsi="宋体" w:eastAsia="宋体" w:cs="宋体"/>
          <w:sz w:val="28"/>
          <w:szCs w:val="28"/>
        </w:rPr>
      </w:pPr>
      <w:bookmarkStart w:id="25" w:name="OLE_LINK5"/>
      <w:bookmarkStart w:id="26" w:name="OLE_LINK6"/>
      <w:r>
        <w:rPr>
          <w:rFonts w:hint="eastAsia" w:ascii="宋体" w:hAnsi="宋体" w:eastAsia="宋体" w:cs="宋体"/>
          <w:sz w:val="28"/>
          <w:szCs w:val="28"/>
        </w:rPr>
        <w:t>投标人须在现场使用所投型号真实产品进行演示，具体演示内容见下述各项评审因素要求。</w:t>
      </w:r>
    </w:p>
    <w:p>
      <w:pPr>
        <w:spacing w:line="560" w:lineRule="exact"/>
        <w:ind w:firstLine="557" w:firstLineChars="199"/>
        <w:rPr>
          <w:rFonts w:hint="eastAsia" w:ascii="宋体" w:hAnsi="宋体" w:eastAsia="宋体" w:cs="宋体"/>
          <w:sz w:val="28"/>
          <w:szCs w:val="28"/>
        </w:rPr>
      </w:pPr>
      <w:r>
        <w:rPr>
          <w:rFonts w:hint="eastAsia" w:ascii="宋体" w:hAnsi="宋体" w:eastAsia="宋体" w:cs="宋体"/>
          <w:sz w:val="28"/>
          <w:szCs w:val="28"/>
        </w:rPr>
        <w:t>演示时间：不得超过20分钟。</w:t>
      </w:r>
    </w:p>
    <w:p>
      <w:pPr>
        <w:spacing w:line="560" w:lineRule="exact"/>
        <w:ind w:firstLine="557" w:firstLineChars="199"/>
        <w:rPr>
          <w:rFonts w:hint="eastAsia" w:ascii="宋体" w:hAnsi="宋体" w:eastAsia="宋体" w:cs="宋体"/>
          <w:sz w:val="28"/>
          <w:szCs w:val="28"/>
        </w:rPr>
      </w:pPr>
      <w:r>
        <w:rPr>
          <w:rFonts w:hint="eastAsia" w:ascii="宋体" w:hAnsi="宋体" w:eastAsia="宋体" w:cs="宋体"/>
          <w:sz w:val="28"/>
          <w:szCs w:val="28"/>
        </w:rPr>
        <w:t>演示设备：电脑等设备投标人自带（投影仪投标现场已具备，投标人不需另行准备）。</w:t>
      </w:r>
    </w:p>
    <w:p>
      <w:pPr>
        <w:spacing w:line="560" w:lineRule="exact"/>
        <w:ind w:firstLine="557" w:firstLineChars="199"/>
        <w:rPr>
          <w:rFonts w:hint="eastAsia" w:ascii="宋体" w:hAnsi="宋体" w:eastAsia="宋体" w:cs="宋体"/>
          <w:sz w:val="28"/>
          <w:szCs w:val="28"/>
        </w:rPr>
      </w:pPr>
      <w:r>
        <w:rPr>
          <w:rFonts w:hint="eastAsia" w:ascii="宋体" w:hAnsi="宋体" w:eastAsia="宋体" w:cs="宋体"/>
          <w:sz w:val="28"/>
          <w:szCs w:val="28"/>
        </w:rPr>
        <w:t>演示内容如下：</w:t>
      </w:r>
    </w:p>
    <w:p>
      <w:pPr>
        <w:numPr>
          <w:ilvl w:val="0"/>
          <w:numId w:val="5"/>
        </w:num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
          <w:sz w:val="28"/>
          <w:szCs w:val="28"/>
        </w:rPr>
        <w:t>宣传片与视频成品演示：</w:t>
      </w:r>
      <w:r>
        <w:rPr>
          <w:rFonts w:hint="eastAsia" w:ascii="宋体" w:hAnsi="宋体" w:eastAsia="宋体" w:cs="宋体"/>
          <w:bCs/>
          <w:sz w:val="28"/>
          <w:szCs w:val="28"/>
        </w:rPr>
        <w:t>投标人与高校合作的课程案例。</w:t>
      </w:r>
    </w:p>
    <w:p>
      <w:pPr>
        <w:numPr>
          <w:ilvl w:val="0"/>
          <w:numId w:val="5"/>
        </w:numPr>
        <w:tabs>
          <w:tab w:val="left" w:pos="426"/>
        </w:tabs>
        <w:spacing w:before="156" w:beforeLines="50" w:line="360" w:lineRule="auto"/>
        <w:rPr>
          <w:rFonts w:hint="eastAsia" w:ascii="宋体" w:hAnsi="宋体" w:eastAsia="宋体" w:cs="宋体"/>
          <w:b/>
          <w:sz w:val="28"/>
          <w:szCs w:val="28"/>
        </w:rPr>
      </w:pPr>
      <w:r>
        <w:rPr>
          <w:rFonts w:hint="eastAsia" w:ascii="宋体" w:hAnsi="宋体" w:eastAsia="宋体" w:cs="宋体"/>
          <w:b/>
          <w:sz w:val="28"/>
          <w:szCs w:val="28"/>
        </w:rPr>
        <w:t>课程设计与教学互动演示</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2.1支持通过“选择模板、编辑课程信息、编辑课程章节”等简单的步骤快速建设微课或符合精品资源共享课程要求的个性化课程网站。实现课程知识单元化，每个知识单元聚合丰富的富媒体教学资源，并在同一个页面中进行显示。每个课程单元还可以设置多个标签页。</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2.2课程单元内容建设采用富媒体编辑器，编辑器包含视频、文档、图片、音频、图书、公式、符号、附件、网页、动画等常用组件。可直接从word中将内容复制粘贴到富媒体编辑器内，并完整保留里面的文字和图片等内容</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2.3支持rmvb、3gp、mpg、mpeg、mov、wmv、asf、avi、mkv、mp4、flv、vob、f4v等高清和网络格式视频上传，视频上传后自动转码，无需下载可以直接在线进行播放。</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2.4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2.5支持视频中任意时间点插入测验以及插入图片或PPT插入的PPT可以任意拖动位置，并可以跟视频窗口进行切换。</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2.6支持知识点拓展阅读功能，可以根据一个关键词自动生成相关知识点的知识树，插入到课程单元中，并自动推送知识点相关的图书、期刊、论文等资料。</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2.7支持任务点设计，教师可以将课程章节内视频、图书、作业等内容设置为任务点，灵活控制学生学习的情况。学生端可以看到整个课程和每个章节需要完成的任务点情况，每完成一个任务，数量会自动减一。</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2.8可以跟踪记录并统计基于每个学生的课程章节学习次数、视频观看时长、作业和考试完成情况、参加答疑讨论的情况等多项学习考核指标。</w:t>
      </w:r>
    </w:p>
    <w:p>
      <w:pPr>
        <w:tabs>
          <w:tab w:val="left" w:pos="426"/>
        </w:tabs>
        <w:spacing w:before="156" w:beforeLines="50" w:line="360" w:lineRule="auto"/>
        <w:rPr>
          <w:rFonts w:hint="eastAsia" w:ascii="宋体" w:hAnsi="宋体" w:eastAsia="宋体" w:cs="宋体"/>
          <w:b/>
          <w:sz w:val="28"/>
          <w:szCs w:val="28"/>
        </w:rPr>
      </w:pPr>
      <w:r>
        <w:rPr>
          <w:rFonts w:hint="eastAsia" w:ascii="宋体" w:hAnsi="宋体" w:eastAsia="宋体" w:cs="宋体"/>
          <w:bCs/>
          <w:sz w:val="28"/>
          <w:szCs w:val="28"/>
        </w:rPr>
        <w:t>2.9支持专题创建，PC端及移动端均可以按照不同类别创建专题，专题可以直接嵌套文本、电子图书以及视频、音频等富媒体。</w:t>
      </w:r>
    </w:p>
    <w:p>
      <w:pPr>
        <w:numPr>
          <w:ilvl w:val="0"/>
          <w:numId w:val="5"/>
        </w:numPr>
        <w:tabs>
          <w:tab w:val="left" w:pos="426"/>
        </w:tabs>
        <w:spacing w:before="156" w:beforeLines="50" w:line="360" w:lineRule="auto"/>
        <w:rPr>
          <w:rFonts w:hint="eastAsia" w:ascii="宋体" w:hAnsi="宋体" w:eastAsia="宋体" w:cs="宋体"/>
          <w:b/>
          <w:sz w:val="28"/>
          <w:szCs w:val="28"/>
        </w:rPr>
      </w:pPr>
      <w:r>
        <w:rPr>
          <w:rFonts w:hint="eastAsia" w:ascii="宋体" w:hAnsi="宋体" w:eastAsia="宋体" w:cs="宋体"/>
          <w:b/>
          <w:sz w:val="28"/>
          <w:szCs w:val="28"/>
        </w:rPr>
        <w:t>移动学习演示</w:t>
      </w:r>
    </w:p>
    <w:p>
      <w:pPr>
        <w:tabs>
          <w:tab w:val="left" w:pos="426"/>
        </w:tabs>
        <w:spacing w:before="156" w:beforeLines="50" w:line="360" w:lineRule="auto"/>
        <w:rPr>
          <w:rFonts w:hint="eastAsia" w:ascii="宋体" w:hAnsi="宋体" w:eastAsia="宋体" w:cs="宋体"/>
          <w:b/>
          <w:sz w:val="28"/>
          <w:szCs w:val="28"/>
        </w:rPr>
      </w:pPr>
      <w:r>
        <w:rPr>
          <w:rFonts w:hint="eastAsia" w:ascii="宋体" w:hAnsi="宋体" w:eastAsia="宋体" w:cs="宋体"/>
          <w:bCs/>
          <w:sz w:val="28"/>
          <w:szCs w:val="28"/>
        </w:rPr>
        <w:t>移动端课程与PC端课程同步，学习任务同步，有通讯录功能，支持创建小组，发布通知。可以对好友共享的资料及笔记进行查看，讨论，实现学习与互动交流的全面打通（按照参数要求逐一演示）。</w:t>
      </w:r>
    </w:p>
    <w:p>
      <w:pPr>
        <w:numPr>
          <w:ilvl w:val="0"/>
          <w:numId w:val="5"/>
        </w:numPr>
        <w:tabs>
          <w:tab w:val="left" w:pos="426"/>
        </w:tabs>
        <w:spacing w:before="156" w:beforeLines="50" w:line="360" w:lineRule="auto"/>
        <w:rPr>
          <w:rFonts w:hint="eastAsia" w:ascii="宋体" w:hAnsi="宋体" w:eastAsia="宋体" w:cs="宋体"/>
          <w:b/>
          <w:sz w:val="28"/>
          <w:szCs w:val="28"/>
        </w:rPr>
      </w:pPr>
      <w:r>
        <w:rPr>
          <w:rFonts w:hint="eastAsia" w:ascii="宋体" w:hAnsi="宋体" w:eastAsia="宋体" w:cs="宋体"/>
          <w:b/>
          <w:sz w:val="28"/>
          <w:szCs w:val="28"/>
        </w:rPr>
        <w:t>备课资源库演示</w:t>
      </w:r>
    </w:p>
    <w:p>
      <w:pPr>
        <w:tabs>
          <w:tab w:val="left" w:pos="426"/>
        </w:tabs>
        <w:spacing w:before="156" w:beforeLines="50" w:line="360" w:lineRule="auto"/>
        <w:rPr>
          <w:rFonts w:hint="eastAsia" w:ascii="宋体" w:hAnsi="宋体" w:eastAsia="宋体" w:cs="宋体"/>
          <w:bCs/>
          <w:sz w:val="28"/>
          <w:szCs w:val="28"/>
        </w:rPr>
      </w:pPr>
      <w:r>
        <w:rPr>
          <w:rFonts w:hint="eastAsia" w:ascii="宋体" w:hAnsi="宋体" w:eastAsia="宋体" w:cs="宋体"/>
          <w:bCs/>
          <w:sz w:val="28"/>
          <w:szCs w:val="28"/>
        </w:rPr>
        <w:t>教师在使用网络教学平台进行课程建设、备课、授课过程中随时可以搜索、引用、无缝插入备课资源库中的资源、全面辅助教师教学和学生学习，包括海量的电子书、学术视频、文档。</w:t>
      </w:r>
    </w:p>
    <w:p>
      <w:pPr>
        <w:spacing w:line="560" w:lineRule="exact"/>
        <w:ind w:firstLine="557" w:firstLineChars="199"/>
        <w:rPr>
          <w:rFonts w:hint="eastAsia" w:ascii="宋体" w:hAnsi="宋体" w:eastAsia="宋体" w:cs="宋体"/>
          <w:sz w:val="28"/>
          <w:szCs w:val="28"/>
        </w:rPr>
      </w:pPr>
    </w:p>
    <w:bookmarkEnd w:id="25"/>
    <w:bookmarkEnd w:id="26"/>
    <w:p>
      <w:pPr>
        <w:spacing w:line="560" w:lineRule="exact"/>
        <w:ind w:firstLine="560" w:firstLineChars="200"/>
        <w:jc w:val="left"/>
        <w:outlineLvl w:val="1"/>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、商务要求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（一）交货期及地点</w:t>
      </w:r>
    </w:p>
    <w:p>
      <w:pPr>
        <w:spacing w:line="560" w:lineRule="exact"/>
        <w:ind w:firstLine="700" w:firstLineChars="250"/>
        <w:rPr>
          <w:rFonts w:hint="eastAsia" w:ascii="宋体" w:hAnsi="宋体" w:eastAsia="宋体" w:cs="宋体"/>
          <w:bCs/>
          <w:sz w:val="28"/>
          <w:szCs w:val="28"/>
          <w:u w:val="single"/>
        </w:rPr>
      </w:pPr>
      <w:r>
        <w:rPr>
          <w:rFonts w:hint="eastAsia" w:ascii="宋体" w:hAnsi="宋体" w:eastAsia="宋体" w:cs="宋体"/>
          <w:bCs/>
          <w:sz w:val="28"/>
          <w:szCs w:val="28"/>
          <w:u w:val="single"/>
        </w:rPr>
        <w:t>自合同签订之日起6个月内完成课程制作。课程制作完成后，上传到招标方指定在线开放课程平台（学银在线、粤港澳大湾区联盟平台等），确保正常运行使用。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（二）安装、调试与培训要求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本项目为交钥匙工程，采购内容包括安装、调试和培训，于广东财经大学完成。</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（三）项目质量与验收标准</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1、行业规定的质量标准和技术规范；</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2、课程须上传到学银在线、粤港澳大湾区联盟平台等在线开放课程平台中其中一个平台上，并能正常开展教学应用，上线所需费用由招标人负责。</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3、交付载体DVD</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所有视频文件及相应的SRT唱词文件请刻录在DVD+R光盘上，并对刻录光盘做封口处理。盘面上应注明光盘中的内容清单（标记学校名称、课程名称、讲次及标题、主讲教师、时长等），并提供相应电子文档。</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（四）质保期</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质保期自安装验收合格之日起生效，时间为1年。</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（五）售后服务要求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课程上线后，提供3年的备份、迁移、相关故障排除等运维技术支持服务。服务响应速度在1小时之内,并在24小时内解决故障。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（六）结算与付款方式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合同生效15日内，采购人凭</w:t>
      </w:r>
      <w:r>
        <w:rPr>
          <w:rFonts w:hint="eastAsia" w:ascii="宋体" w:hAnsi="宋体" w:eastAsia="宋体" w:cs="宋体"/>
          <w:bCs/>
          <w:sz w:val="28"/>
          <w:szCs w:val="28"/>
        </w:rPr>
        <w:t>中标人提供的正式发票，</w:t>
      </w:r>
      <w:r>
        <w:rPr>
          <w:rFonts w:hint="eastAsia" w:ascii="宋体" w:hAnsi="宋体" w:eastAsia="宋体" w:cs="宋体"/>
          <w:sz w:val="28"/>
          <w:szCs w:val="28"/>
        </w:rPr>
        <w:t>支付合同金额的50%；课程验收合格后，采购人凭</w:t>
      </w:r>
      <w:r>
        <w:rPr>
          <w:rFonts w:hint="eastAsia" w:ascii="宋体" w:hAnsi="宋体" w:eastAsia="宋体" w:cs="宋体"/>
          <w:bCs/>
          <w:sz w:val="28"/>
          <w:szCs w:val="28"/>
        </w:rPr>
        <w:t>中标人提供的正式发票，</w:t>
      </w:r>
      <w:r>
        <w:rPr>
          <w:rFonts w:hint="eastAsia" w:ascii="宋体" w:hAnsi="宋体" w:eastAsia="宋体" w:cs="宋体"/>
          <w:sz w:val="28"/>
          <w:szCs w:val="28"/>
        </w:rPr>
        <w:t>支付合同剩余金额的50%。</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（七）违约处罚</w:t>
      </w:r>
    </w:p>
    <w:p>
      <w:pPr>
        <w:spacing w:line="5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中标人的违约责任：</w:t>
      </w:r>
    </w:p>
    <w:p>
      <w:pPr>
        <w:spacing w:line="560" w:lineRule="exact"/>
        <w:ind w:left="105" w:leftChars="50" w:firstLine="560" w:firstLineChars="200"/>
        <w:rPr>
          <w:rFonts w:hint="eastAsia" w:ascii="宋体" w:hAnsi="宋体" w:eastAsia="宋体" w:cs="宋体"/>
          <w:sz w:val="28"/>
          <w:szCs w:val="28"/>
        </w:rPr>
      </w:pPr>
      <w:r>
        <w:rPr>
          <w:rFonts w:hint="eastAsia" w:ascii="宋体" w:hAnsi="宋体" w:eastAsia="宋体" w:cs="宋体"/>
          <w:sz w:val="28"/>
          <w:szCs w:val="28"/>
        </w:rPr>
        <w:t>1.中标人逾期交付使用的，从逾期之日起每日按合同总价3‰的数额向采购人支付违约金；逾期15日以上的，采购人有权终止合同，由此造成的采购人经济损失由中标人承担。</w:t>
      </w:r>
    </w:p>
    <w:p>
      <w:pPr>
        <w:widowControl/>
        <w:spacing w:line="56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2.中标人交付使用的服务不符合招标文件、投标文件或本合同规定的，采购人有权拒收，并且中标人须向采购人支付本合同总价5%的违约金。</w:t>
      </w:r>
    </w:p>
    <w:p>
      <w:pPr>
        <w:widowControl/>
        <w:spacing w:line="56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3.其它违约责任按《中华人民共和国民法典》处理。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采购人的违约责任：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1.采购人逾期付款的，应按照每日合同总价3‰的比例向中标人偿付逾期付款的违约金；</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2.采购人违反合同规定拒绝接货的，应当承担由此对中标人造成的损失。</w:t>
      </w:r>
    </w:p>
    <w:p>
      <w:pPr>
        <w:widowControl/>
        <w:jc w:val="left"/>
        <w:rPr>
          <w:rFonts w:ascii="宋体" w:hAnsi="宋体"/>
          <w:sz w:val="28"/>
          <w:szCs w:val="28"/>
        </w:rPr>
      </w:pPr>
      <w:r>
        <w:rPr>
          <w:rFonts w:hint="eastAsia" w:ascii="宋体" w:hAnsi="宋体" w:eastAsia="宋体" w:cs="宋体"/>
          <w:sz w:val="28"/>
          <w:szCs w:val="28"/>
        </w:rPr>
        <w:br w:type="page"/>
      </w:r>
    </w:p>
    <w:p>
      <w:pPr>
        <w:pStyle w:val="2"/>
      </w:pPr>
      <w:bookmarkStart w:id="27" w:name="_Toc14310"/>
      <w:r>
        <w:rPr>
          <w:rFonts w:hint="eastAsia"/>
        </w:rPr>
        <w:t>第三部分  报价文件格式</w:t>
      </w:r>
      <w:bookmarkEnd w:id="27"/>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CA7B41-F771-463C-BA10-77D45B047D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ED52EC-BC11-4D97-8871-994340321426}"/>
  </w:font>
  <w:font w:name="Cambria">
    <w:panose1 w:val="02040503050406030204"/>
    <w:charset w:val="00"/>
    <w:family w:val="roman"/>
    <w:pitch w:val="default"/>
    <w:sig w:usb0="E00006FF" w:usb1="420024FF" w:usb2="0200000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iragino Sans GB W3">
    <w:altName w:val="Arial Unicode MS"/>
    <w:panose1 w:val="020B0300000000000000"/>
    <w:charset w:val="80"/>
    <w:family w:val="swiss"/>
    <w:pitch w:val="default"/>
    <w:sig w:usb0="00000000" w:usb1="00000000" w:usb2="00000016" w:usb3="00000000" w:csb0="00060007" w:csb1="00000000"/>
  </w:font>
  <w:font w:name="方正小标宋_GBK">
    <w:panose1 w:val="02000000000000000000"/>
    <w:charset w:val="86"/>
    <w:family w:val="auto"/>
    <w:pitch w:val="default"/>
    <w:sig w:usb0="A00002BF" w:usb1="38CF7CFA" w:usb2="00082016" w:usb3="00000000" w:csb0="00040001" w:csb1="00000000"/>
    <w:embedRegular r:id="rId3" w:fontKey="{E086E608-1B57-4A66-ADCD-775D5BB2D9D1}"/>
  </w:font>
  <w:font w:name="楷体_GB2312">
    <w:altName w:val="楷体"/>
    <w:panose1 w:val="020B0604020202020204"/>
    <w:charset w:val="86"/>
    <w:family w:val="modern"/>
    <w:pitch w:val="default"/>
    <w:sig w:usb0="00000000" w:usb1="00000000" w:usb2="00000000" w:usb3="00000000" w:csb0="00040000" w:csb1="00000000"/>
    <w:embedRegular r:id="rId4" w:fontKey="{655A97F5-EC9F-45A1-BBF9-FD0B805AADCD}"/>
  </w:font>
  <w:font w:name="楷体">
    <w:panose1 w:val="02010609060101010101"/>
    <w:charset w:val="86"/>
    <w:family w:val="modern"/>
    <w:pitch w:val="default"/>
    <w:sig w:usb0="800002BF" w:usb1="38CF7CFA" w:usb2="00000016" w:usb3="00000000" w:csb0="00040001" w:csb1="00000000"/>
    <w:embedRegular r:id="rId5" w:fontKey="{24A0930E-025D-409D-84A2-E0EB8D82252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MoxvDN4BAAC7AwAADgAAAAAA&#10;AAABACAAAAAfAQAAZHJzL2Uyb0RvYy54bWxQSwUGAAAAAAYABgBZAQAAb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MN+j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X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Nww36N4BAAC7AwAADgAAAAAA&#10;AAABACAAAAAfAQAAZHJzL2Uyb0RvYy54bWxQSwUGAAAAAAYABgBZAQAAb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U3RP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fcOaEpQc//fp5+v339OcH&#10;e5P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DtU3RPfAQAAuw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xwk7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w5kTlh789Ovn6fff058f&#10;bJ7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Kkxwk7fAQAAuwMAAA4AAAAA&#10;AAAAAQAgAAAAHwEAAGRycy9lMm9Eb2MueG1sUEsFBgAAAAAGAAYAWQEAAHA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8AF7F"/>
    <w:multiLevelType w:val="singleLevel"/>
    <w:tmpl w:val="89B8AF7F"/>
    <w:lvl w:ilvl="0" w:tentative="0">
      <w:start w:val="1"/>
      <w:numFmt w:val="decimal"/>
      <w:lvlText w:val="%1."/>
      <w:lvlJc w:val="left"/>
      <w:pPr>
        <w:ind w:left="425" w:hanging="425"/>
      </w:pPr>
      <w:rPr>
        <w:rFonts w:hint="default" w:ascii="黑体" w:hAnsi="黑体" w:eastAsia="黑体" w:cs="黑体"/>
        <w:b w:val="0"/>
        <w:bCs w:val="0"/>
      </w:rPr>
    </w:lvl>
  </w:abstractNum>
  <w:abstractNum w:abstractNumId="1">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FD44228"/>
    <w:multiLevelType w:val="multilevel"/>
    <w:tmpl w:val="7FD442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4A47"/>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4142"/>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598A"/>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5501"/>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040"/>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BEA"/>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6663"/>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B7FE8"/>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769"/>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4770"/>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31A"/>
    <w:rsid w:val="00E66858"/>
    <w:rsid w:val="00E66BC4"/>
    <w:rsid w:val="00E66DA5"/>
    <w:rsid w:val="00E66DA9"/>
    <w:rsid w:val="00E7056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63F"/>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1B33"/>
    <w:rsid w:val="00F729F2"/>
    <w:rsid w:val="00F736C7"/>
    <w:rsid w:val="00F7384B"/>
    <w:rsid w:val="00F755F0"/>
    <w:rsid w:val="00F75A0A"/>
    <w:rsid w:val="00F75A6E"/>
    <w:rsid w:val="00F75BB5"/>
    <w:rsid w:val="00F76ABD"/>
    <w:rsid w:val="00F76E26"/>
    <w:rsid w:val="00F77645"/>
    <w:rsid w:val="00F800E0"/>
    <w:rsid w:val="00F80AC5"/>
    <w:rsid w:val="00F80D94"/>
    <w:rsid w:val="00F8126A"/>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2D06A3"/>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6FC5AAE"/>
    <w:rsid w:val="68742FE5"/>
    <w:rsid w:val="697C1D6F"/>
    <w:rsid w:val="6A80153E"/>
    <w:rsid w:val="6C1B530A"/>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2351</Words>
  <Characters>13403</Characters>
  <Lines>111</Lines>
  <Paragraphs>31</Paragraphs>
  <TotalTime>13</TotalTime>
  <ScaleCrop>false</ScaleCrop>
  <LinksUpToDate>false</LinksUpToDate>
  <CharactersWithSpaces>15723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2023-11-16T02:29:11Z</dcterms:modified>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791BD74BE5204A1CB32BA5F97D56E016_13</vt:lpwstr>
  </property>
</Properties>
</file>