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left="3245" w:leftChars="513" w:hanging="2168" w:hangingChars="600"/>
        <w:rPr>
          <w:rFonts w:hint="eastAsia"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广东财经大学原创舞台剧《我在广财</w:t>
      </w:r>
    </w:p>
    <w:p>
      <w:pPr>
        <w:spacing w:line="760" w:lineRule="exact"/>
        <w:ind w:left="3234" w:leftChars="1368" w:hanging="361" w:hangingChars="100"/>
        <w:rPr>
          <w:rFonts w:hint="default" w:ascii="宋体" w:hAnsi="宋体"/>
          <w:b/>
          <w:sz w:val="36"/>
          <w:u w:val="single"/>
          <w:lang w:val="en-US"/>
        </w:rPr>
      </w:pPr>
      <w:r>
        <w:rPr>
          <w:rFonts w:hint="eastAsia" w:ascii="宋体" w:hAnsi="宋体"/>
          <w:b/>
          <w:sz w:val="36"/>
          <w:u w:val="single"/>
          <w:lang w:val="en-US" w:eastAsia="zh-CN"/>
        </w:rPr>
        <w:t xml:space="preserve">          等</w:t>
      </w:r>
      <w:r>
        <w:rPr>
          <w:rFonts w:hint="eastAsia" w:ascii="宋体" w:hAnsi="宋体"/>
          <w:b/>
          <w:sz w:val="36"/>
          <w:u w:val="single"/>
        </w:rPr>
        <w:t>你》</w:t>
      </w:r>
      <w:r>
        <w:rPr>
          <w:rFonts w:hint="eastAsia" w:ascii="宋体" w:hAnsi="宋体"/>
          <w:b/>
          <w:sz w:val="36"/>
          <w:u w:val="single"/>
          <w:lang w:eastAsia="zh-CN"/>
        </w:rPr>
        <w:t>舞美项目</w:t>
      </w:r>
      <w:r>
        <w:rPr>
          <w:rFonts w:hint="eastAsia" w:ascii="宋体" w:hAnsi="宋体"/>
          <w:b/>
          <w:sz w:val="36"/>
          <w:u w:val="single"/>
          <w:lang w:val="en-US" w:eastAsia="zh-CN"/>
        </w:rPr>
        <w:t xml:space="preserve">        </w:t>
      </w:r>
    </w:p>
    <w:p>
      <w:pPr>
        <w:spacing w:line="760" w:lineRule="exact"/>
        <w:ind w:firstLine="1084" w:firstLineChars="300"/>
        <w:rPr>
          <w:rFonts w:ascii="宋体" w:hAnsi="宋体"/>
          <w:b/>
          <w:sz w:val="36"/>
          <w:szCs w:val="36"/>
          <w:u w:val="single"/>
        </w:rPr>
      </w:pPr>
      <w:r>
        <w:rPr>
          <w:rFonts w:hint="eastAsia"/>
          <w:b/>
          <w:sz w:val="36"/>
          <w:szCs w:val="36"/>
        </w:rPr>
        <w:t>采购单位：广东财经大学团委</w:t>
      </w:r>
      <w:r>
        <w:rPr>
          <w:rFonts w:hint="eastAsia" w:ascii="宋体" w:hAnsi="宋体"/>
          <w:b/>
          <w:sz w:val="36"/>
          <w:u w:val="single"/>
        </w:rPr>
        <w:t xml:space="preserve"> </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 </w:t>
      </w:r>
      <w:r>
        <w:rPr>
          <w:rFonts w:hint="eastAsia" w:ascii="宋体" w:hAnsi="宋体"/>
          <w:b/>
          <w:sz w:val="36"/>
          <w:u w:val="single"/>
          <w:lang w:val="en-US" w:eastAsia="zh-CN"/>
        </w:rPr>
        <w:t>2023.10.13</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spacing w:line="1000" w:lineRule="exact"/>
        <w:jc w:val="center"/>
        <w:rPr>
          <w:rFonts w:ascii="黑体" w:eastAsia="黑体"/>
          <w:b/>
          <w:sz w:val="72"/>
          <w:szCs w:val="72"/>
        </w:rPr>
      </w:pPr>
    </w:p>
    <w:p>
      <w:pPr>
        <w:jc w:val="center"/>
        <w:rPr>
          <w:b/>
          <w:sz w:val="52"/>
          <w:szCs w:val="52"/>
        </w:rPr>
      </w:pPr>
      <w:r>
        <w:rPr>
          <w:rFonts w:ascii="宋体" w:hAnsi="宋体"/>
          <w:sz w:val="32"/>
          <w:szCs w:val="32"/>
        </w:rPr>
        <w:br w:type="column"/>
      </w:r>
      <w:r>
        <w:rPr>
          <w:rFonts w:hint="eastAsia"/>
          <w:sz w:val="52"/>
          <w:szCs w:val="52"/>
        </w:rPr>
        <w:t>目录</w:t>
      </w:r>
    </w:p>
    <w:p>
      <w:pPr>
        <w:pStyle w:val="19"/>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60236697"/>
      <w:bookmarkStart w:id="1" w:name="_Toc508103350"/>
      <w:bookmarkStart w:id="2" w:name="_Toc508103135"/>
      <w:r>
        <w:br w:type="page"/>
      </w:r>
    </w:p>
    <w:p>
      <w:pPr>
        <w:pStyle w:val="3"/>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4"/>
        <w:spacing w:line="560" w:lineRule="exact"/>
      </w:pPr>
      <w:bookmarkStart w:id="4" w:name="_Toc508103351"/>
      <w:bookmarkStart w:id="5" w:name="_Toc60236698"/>
      <w:bookmarkStart w:id="6" w:name="_Toc16574"/>
      <w:r>
        <w:rPr>
          <w:rFonts w:hint="eastAsia"/>
        </w:rPr>
        <w:t>一、采购项目</w:t>
      </w:r>
      <w:bookmarkEnd w:id="4"/>
      <w:bookmarkEnd w:id="5"/>
      <w:r>
        <w:rPr>
          <w:rFonts w:hint="eastAsia"/>
        </w:rPr>
        <w:t>概况</w:t>
      </w:r>
      <w:bookmarkEnd w:id="6"/>
    </w:p>
    <w:p>
      <w:pPr>
        <w:spacing w:line="560" w:lineRule="exact"/>
        <w:ind w:firstLine="560" w:firstLineChars="200"/>
        <w:rPr>
          <w:rFonts w:ascii="宋体" w:hAnsi="宋体"/>
          <w:sz w:val="28"/>
          <w:szCs w:val="28"/>
        </w:rPr>
      </w:pPr>
      <w:bookmarkStart w:id="7" w:name="_Toc60236699"/>
      <w:bookmarkStart w:id="8" w:name="_Toc508103352"/>
      <w:bookmarkStart w:id="9" w:name="_Toc28829"/>
      <w:r>
        <w:rPr>
          <w:rFonts w:hint="eastAsia" w:ascii="宋体" w:hAnsi="宋体"/>
          <w:sz w:val="28"/>
          <w:szCs w:val="28"/>
        </w:rPr>
        <w:t>为做好我校</w:t>
      </w:r>
      <w:r>
        <w:rPr>
          <w:rFonts w:hint="eastAsia" w:ascii="宋体" w:hAnsi="宋体"/>
          <w:sz w:val="28"/>
          <w:szCs w:val="28"/>
          <w:lang w:eastAsia="zh-CN"/>
        </w:rPr>
        <w:t>建校</w:t>
      </w:r>
      <w:r>
        <w:rPr>
          <w:rFonts w:hint="eastAsia" w:ascii="宋体" w:hAnsi="宋体"/>
          <w:sz w:val="28"/>
          <w:szCs w:val="28"/>
          <w:lang w:val="en-US" w:eastAsia="zh-CN"/>
        </w:rPr>
        <w:t>40周年校史剧公演</w:t>
      </w:r>
      <w:r>
        <w:rPr>
          <w:rFonts w:hint="eastAsia" w:ascii="宋体" w:hAnsi="宋体"/>
          <w:sz w:val="28"/>
          <w:szCs w:val="28"/>
        </w:rPr>
        <w:t>相关工作，为</w:t>
      </w:r>
      <w:r>
        <w:rPr>
          <w:rFonts w:hint="eastAsia" w:ascii="宋体" w:hAnsi="宋体"/>
          <w:sz w:val="28"/>
          <w:szCs w:val="28"/>
          <w:lang w:eastAsia="zh-CN"/>
        </w:rPr>
        <w:t>学校</w:t>
      </w:r>
      <w:r>
        <w:rPr>
          <w:rFonts w:hint="eastAsia" w:ascii="宋体" w:hAnsi="宋体"/>
          <w:sz w:val="28"/>
          <w:szCs w:val="28"/>
        </w:rPr>
        <w:t>营造更</w:t>
      </w:r>
      <w:r>
        <w:rPr>
          <w:rFonts w:hint="eastAsia" w:ascii="宋体" w:hAnsi="宋体"/>
          <w:sz w:val="28"/>
          <w:szCs w:val="28"/>
          <w:lang w:eastAsia="zh-CN"/>
        </w:rPr>
        <w:t>浓厚</w:t>
      </w:r>
      <w:r>
        <w:rPr>
          <w:rFonts w:hint="eastAsia" w:ascii="宋体" w:hAnsi="宋体"/>
          <w:sz w:val="28"/>
          <w:szCs w:val="28"/>
        </w:rPr>
        <w:t>的氛围，现需对广东财经大学佛山校区</w:t>
      </w:r>
      <w:r>
        <w:rPr>
          <w:rFonts w:hint="eastAsia" w:ascii="宋体" w:hAnsi="宋体"/>
          <w:sz w:val="28"/>
          <w:szCs w:val="28"/>
          <w:lang w:eastAsia="zh-CN"/>
        </w:rPr>
        <w:t>同心楼</w:t>
      </w:r>
      <w:r>
        <w:rPr>
          <w:rFonts w:hint="eastAsia" w:ascii="宋体" w:hAnsi="宋体"/>
          <w:sz w:val="28"/>
          <w:szCs w:val="28"/>
          <w:lang w:val="en-US" w:eastAsia="zh-CN"/>
        </w:rPr>
        <w:t>111报告厅</w:t>
      </w:r>
      <w:r>
        <w:rPr>
          <w:rFonts w:hint="eastAsia" w:ascii="宋体" w:hAnsi="宋体"/>
          <w:sz w:val="28"/>
          <w:szCs w:val="28"/>
        </w:rPr>
        <w:t>场地进行</w:t>
      </w:r>
      <w:r>
        <w:rPr>
          <w:rFonts w:hint="eastAsia" w:ascii="宋体" w:hAnsi="宋体"/>
          <w:sz w:val="28"/>
          <w:szCs w:val="28"/>
          <w:lang w:eastAsia="zh-CN"/>
        </w:rPr>
        <w:t>舞美设计和搭建</w:t>
      </w:r>
      <w:r>
        <w:rPr>
          <w:rFonts w:hint="eastAsia" w:ascii="宋体" w:hAnsi="宋体"/>
          <w:sz w:val="28"/>
          <w:szCs w:val="28"/>
        </w:rPr>
        <w:t>，要求能够</w:t>
      </w:r>
      <w:r>
        <w:rPr>
          <w:rFonts w:hint="eastAsia" w:ascii="宋体" w:hAnsi="宋体"/>
          <w:sz w:val="28"/>
          <w:szCs w:val="28"/>
          <w:lang w:eastAsia="zh-CN"/>
        </w:rPr>
        <w:t>符合校史剧公演需要</w:t>
      </w:r>
      <w:r>
        <w:rPr>
          <w:rFonts w:hint="eastAsia" w:ascii="宋体" w:hAnsi="宋体"/>
          <w:sz w:val="28"/>
          <w:szCs w:val="28"/>
        </w:rPr>
        <w:t>，展现广财大文化内涵。</w:t>
      </w:r>
    </w:p>
    <w:p>
      <w:pPr>
        <w:spacing w:line="560" w:lineRule="exact"/>
        <w:ind w:firstLine="560" w:firstLineChars="200"/>
        <w:rPr>
          <w:rFonts w:ascii="宋体" w:hAnsi="宋体"/>
          <w:sz w:val="28"/>
          <w:szCs w:val="28"/>
        </w:rPr>
      </w:pPr>
      <w:r>
        <w:rPr>
          <w:rFonts w:hint="eastAsia" w:ascii="宋体" w:hAnsi="宋体"/>
          <w:sz w:val="28"/>
          <w:szCs w:val="28"/>
        </w:rPr>
        <w:t>本项目为交钥匙承包项目，供应商数量为一个，中标人承包及负责招标文件对中标人要求的一切事宜及责任，包括项目设计、货物供货、运输、保管、安装、调试、验收、培训及相关服务等。</w:t>
      </w:r>
    </w:p>
    <w:p>
      <w:pPr>
        <w:spacing w:line="560" w:lineRule="exact"/>
        <w:ind w:firstLine="560" w:firstLineChars="200"/>
        <w:rPr>
          <w:rFonts w:ascii="宋体" w:hAnsi="宋体"/>
          <w:sz w:val="28"/>
          <w:szCs w:val="28"/>
        </w:rPr>
      </w:pPr>
      <w:r>
        <w:rPr>
          <w:rFonts w:hint="eastAsia" w:ascii="宋体" w:hAnsi="宋体" w:cs="宋体"/>
          <w:bCs/>
          <w:sz w:val="28"/>
          <w:szCs w:val="28"/>
        </w:rPr>
        <w:t>本项目按照单价据实结算，</w:t>
      </w:r>
      <w:r>
        <w:rPr>
          <w:rFonts w:hint="eastAsia" w:ascii="宋体" w:hAnsi="宋体"/>
          <w:sz w:val="28"/>
          <w:szCs w:val="28"/>
        </w:rPr>
        <w:t>采购预算控制价</w:t>
      </w:r>
      <w:r>
        <w:rPr>
          <w:rFonts w:hint="eastAsia" w:ascii="宋体" w:hAnsi="宋体"/>
          <w:sz w:val="28"/>
          <w:szCs w:val="28"/>
          <w:lang w:val="en-US" w:eastAsia="zh-CN"/>
        </w:rPr>
        <w:t>80000</w:t>
      </w:r>
      <w:r>
        <w:rPr>
          <w:rFonts w:hint="eastAsia" w:ascii="宋体" w:hAnsi="宋体"/>
          <w:sz w:val="28"/>
          <w:szCs w:val="28"/>
        </w:rPr>
        <w:t>元，资金已到位</w:t>
      </w:r>
      <w:r>
        <w:rPr>
          <w:rFonts w:ascii="宋体" w:hAnsi="宋体"/>
          <w:sz w:val="28"/>
          <w:szCs w:val="28"/>
        </w:rPr>
        <w:t>。</w:t>
      </w:r>
    </w:p>
    <w:p>
      <w:pPr>
        <w:pStyle w:val="4"/>
        <w:spacing w:line="560" w:lineRule="exact"/>
      </w:pPr>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4"/>
        <w:spacing w:line="560" w:lineRule="exact"/>
      </w:pPr>
      <w:bookmarkStart w:id="10" w:name="_Toc508103353"/>
      <w:bookmarkStart w:id="11" w:name="_Toc60236700"/>
      <w:bookmarkStart w:id="12" w:name="_Toc11839"/>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hint="eastAsia" w:ascii="宋体" w:hAnsi="宋体"/>
          <w:color w:val="auto"/>
          <w:sz w:val="28"/>
          <w:szCs w:val="28"/>
        </w:rPr>
      </w:pPr>
      <w:r>
        <w:rPr>
          <w:rFonts w:hint="eastAsia" w:ascii="宋体" w:hAnsi="宋体"/>
          <w:color w:val="auto"/>
          <w:sz w:val="28"/>
          <w:szCs w:val="28"/>
        </w:rPr>
        <w:t>1.具有独立承担民事责任的能力：在中华人民共和国境内注册的法人或其他组织，提交有效的营业执照（或事业法人登记证等相关证明）副本复印件。分支机构报价的，须提供总公司和分公司营业执照副本复印件;</w:t>
      </w:r>
    </w:p>
    <w:p>
      <w:pPr>
        <w:spacing w:line="560" w:lineRule="exact"/>
        <w:ind w:firstLine="560" w:firstLineChars="200"/>
        <w:rPr>
          <w:rFonts w:hint="eastAsia" w:ascii="宋体" w:hAnsi="宋体"/>
          <w:color w:val="auto"/>
          <w:sz w:val="28"/>
          <w:szCs w:val="28"/>
        </w:rPr>
      </w:pPr>
      <w:r>
        <w:rPr>
          <w:rFonts w:hint="eastAsia" w:ascii="宋体" w:hAnsi="宋体"/>
          <w:color w:val="auto"/>
          <w:sz w:val="28"/>
          <w:szCs w:val="28"/>
        </w:rPr>
        <w:t>2.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ind w:firstLine="560" w:firstLineChars="200"/>
        <w:rPr>
          <w:rFonts w:hint="eastAsia" w:ascii="宋体" w:hAnsi="宋体"/>
          <w:color w:val="auto"/>
          <w:sz w:val="28"/>
          <w:szCs w:val="28"/>
        </w:rPr>
      </w:pPr>
      <w:r>
        <w:rPr>
          <w:rFonts w:hint="eastAsia" w:ascii="宋体" w:hAnsi="宋体"/>
          <w:color w:val="auto"/>
          <w:sz w:val="28"/>
          <w:szCs w:val="28"/>
        </w:rPr>
        <w:t>3.具有履行合同所必需的设备和专业技术能力（提供相应的方案和证明材料）。</w:t>
      </w:r>
      <w:bookmarkStart w:id="13" w:name="_Toc508103354"/>
      <w:bookmarkStart w:id="14" w:name="_Toc20873"/>
      <w:bookmarkStart w:id="15" w:name="_Toc60236701"/>
    </w:p>
    <w:p>
      <w:pPr>
        <w:ind w:firstLine="560" w:firstLineChars="200"/>
      </w:pPr>
      <w:r>
        <w:rPr>
          <w:rFonts w:hint="eastAsia" w:ascii="宋体" w:hAnsi="宋体"/>
          <w:sz w:val="28"/>
          <w:szCs w:val="28"/>
        </w:rPr>
        <w:t>四、报价要求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4"/>
        <w:spacing w:line="560" w:lineRule="exact"/>
      </w:pPr>
      <w:bookmarkStart w:id="16" w:name="_Toc60236702"/>
      <w:bookmarkStart w:id="17" w:name="_Toc18253"/>
      <w:bookmarkStart w:id="18" w:name="_Toc508103355"/>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4"/>
        <w:spacing w:line="560" w:lineRule="exact"/>
      </w:pPr>
      <w:bookmarkStart w:id="19" w:name="_Toc508103356"/>
      <w:bookmarkStart w:id="20" w:name="_Toc60236703"/>
      <w:bookmarkStart w:id="21" w:name="_Toc10890"/>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w:t>
      </w:r>
      <w:r>
        <w:rPr>
          <w:rFonts w:hint="eastAsia" w:ascii="宋体" w:hAnsi="宋体"/>
          <w:sz w:val="28"/>
          <w:szCs w:val="28"/>
          <w:u w:val="single"/>
          <w:lang w:eastAsia="zh-CN"/>
        </w:rPr>
        <w:t>二</w:t>
      </w:r>
      <w:r>
        <w:rPr>
          <w:rFonts w:hint="eastAsia" w:ascii="宋体" w:hAnsi="宋体"/>
          <w:sz w:val="28"/>
          <w:szCs w:val="28"/>
          <w:u w:val="single"/>
        </w:rPr>
        <w:t xml:space="preserve">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4"/>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具有履行合同所必需的设备和专业技术能力（提供相应的方案和证明材料）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r>
        <w:rPr>
          <w:rFonts w:hint="eastAsia" w:ascii="宋体" w:hAnsi="宋体"/>
          <w:b/>
          <w:bCs/>
          <w:color w:val="FF0000"/>
          <w:sz w:val="28"/>
          <w:szCs w:val="28"/>
        </w:rPr>
        <w:t>（评分因素仅做参考，采购单位根据实际情况编制）</w:t>
      </w:r>
    </w:p>
    <w:tbl>
      <w:tblPr>
        <w:tblStyle w:val="28"/>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auto"/>
                <w:sz w:val="28"/>
                <w:szCs w:val="28"/>
                <w:highlight w:val="none"/>
              </w:rPr>
            </w:pPr>
            <w:r>
              <w:rPr>
                <w:b/>
                <w:color w:val="auto"/>
                <w:sz w:val="28"/>
                <w:szCs w:val="28"/>
                <w:highlight w:val="none"/>
              </w:rPr>
              <w:t>评审因素</w:t>
            </w:r>
          </w:p>
        </w:tc>
        <w:tc>
          <w:tcPr>
            <w:tcW w:w="1080" w:type="dxa"/>
            <w:noWrap/>
            <w:vAlign w:val="center"/>
          </w:tcPr>
          <w:p>
            <w:pPr>
              <w:jc w:val="center"/>
              <w:rPr>
                <w:b/>
                <w:color w:val="auto"/>
                <w:sz w:val="28"/>
                <w:szCs w:val="28"/>
                <w:highlight w:val="none"/>
              </w:rPr>
            </w:pPr>
            <w:r>
              <w:rPr>
                <w:rFonts w:hint="eastAsia"/>
                <w:b/>
                <w:color w:val="auto"/>
                <w:sz w:val="28"/>
                <w:szCs w:val="28"/>
                <w:highlight w:val="none"/>
              </w:rPr>
              <w:t>权重</w:t>
            </w:r>
          </w:p>
        </w:tc>
        <w:tc>
          <w:tcPr>
            <w:tcW w:w="5400" w:type="dxa"/>
            <w:noWrap/>
            <w:vAlign w:val="center"/>
          </w:tcPr>
          <w:p>
            <w:pPr>
              <w:jc w:val="center"/>
              <w:rPr>
                <w:b/>
                <w:color w:val="auto"/>
                <w:sz w:val="28"/>
                <w:szCs w:val="28"/>
                <w:highlight w:val="none"/>
              </w:rPr>
            </w:pPr>
            <w:r>
              <w:rPr>
                <w:b/>
                <w:color w:val="auto"/>
                <w:sz w:val="28"/>
                <w:szCs w:val="28"/>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auto"/>
                <w:highlight w:val="none"/>
              </w:rPr>
            </w:pPr>
            <w:r>
              <w:rPr>
                <w:color w:val="auto"/>
                <w:highlight w:val="none"/>
              </w:rPr>
              <w:t>技术</w:t>
            </w:r>
            <w:r>
              <w:rPr>
                <w:rFonts w:hint="eastAsia"/>
                <w:color w:val="auto"/>
                <w:highlight w:val="none"/>
              </w:rPr>
              <w:t>因素</w:t>
            </w:r>
          </w:p>
        </w:tc>
        <w:tc>
          <w:tcPr>
            <w:tcW w:w="1980" w:type="dxa"/>
            <w:noWrap/>
            <w:vAlign w:val="center"/>
          </w:tcPr>
          <w:p>
            <w:pPr>
              <w:wordWrap w:val="0"/>
              <w:autoSpaceDE w:val="0"/>
              <w:autoSpaceDN w:val="0"/>
              <w:spacing w:line="300" w:lineRule="auto"/>
              <w:jc w:val="center"/>
              <w:rPr>
                <w:color w:val="auto"/>
                <w:highlight w:val="none"/>
              </w:rPr>
            </w:pPr>
            <w:r>
              <w:rPr>
                <w:rFonts w:hint="eastAsia"/>
                <w:color w:val="auto"/>
                <w:highlight w:val="none"/>
              </w:rPr>
              <w:t>舞台搭建设计图样</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（10.0分）</w:t>
            </w:r>
          </w:p>
        </w:tc>
        <w:tc>
          <w:tcPr>
            <w:tcW w:w="1080" w:type="dxa"/>
            <w:noWrap/>
            <w:vAlign w:val="center"/>
          </w:tcPr>
          <w:p>
            <w:pPr>
              <w:jc w:val="center"/>
              <w:rPr>
                <w:rFonts w:hint="default" w:eastAsia="宋体"/>
                <w:color w:val="auto"/>
                <w:highlight w:val="none"/>
                <w:lang w:val="en-US" w:eastAsia="zh-CN"/>
              </w:rPr>
            </w:pPr>
            <w:r>
              <w:rPr>
                <w:rFonts w:hint="eastAsia"/>
                <w:color w:val="auto"/>
                <w:highlight w:val="none"/>
                <w:lang w:val="en-US" w:eastAsia="zh-CN"/>
              </w:rPr>
              <w:t>10</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rPr>
              <w:t>根据</w:t>
            </w:r>
            <w:r>
              <w:rPr>
                <w:rFonts w:hint="eastAsia"/>
                <w:color w:val="auto"/>
                <w:highlight w:val="none"/>
                <w:lang w:val="en-US" w:eastAsia="zh-CN"/>
              </w:rPr>
              <w:t>报价</w:t>
            </w:r>
            <w:r>
              <w:rPr>
                <w:color w:val="auto"/>
                <w:highlight w:val="none"/>
              </w:rPr>
              <w:t>供应商</w:t>
            </w:r>
            <w:r>
              <w:rPr>
                <w:rFonts w:hint="eastAsia"/>
                <w:color w:val="auto"/>
                <w:highlight w:val="none"/>
              </w:rPr>
              <w:t>在</w:t>
            </w:r>
            <w:r>
              <w:rPr>
                <w:rFonts w:hint="eastAsia"/>
                <w:color w:val="auto"/>
                <w:highlight w:val="none"/>
                <w:lang w:val="en-US" w:eastAsia="zh-CN"/>
              </w:rPr>
              <w:t>报价</w:t>
            </w:r>
            <w:r>
              <w:rPr>
                <w:rFonts w:hint="eastAsia"/>
                <w:color w:val="auto"/>
                <w:highlight w:val="none"/>
              </w:rPr>
              <w:t>文件中提供的的舞台搭建设计图样进行评分</w:t>
            </w:r>
            <w:r>
              <w:rPr>
                <w:color w:val="auto"/>
                <w:highlight w:val="none"/>
              </w:rPr>
              <w:t>：</w:t>
            </w:r>
          </w:p>
          <w:p>
            <w:pPr>
              <w:wordWrap w:val="0"/>
              <w:autoSpaceDE w:val="0"/>
              <w:autoSpaceDN w:val="0"/>
              <w:spacing w:line="300" w:lineRule="auto"/>
              <w:rPr>
                <w:color w:val="auto"/>
                <w:highlight w:val="none"/>
              </w:rPr>
            </w:pPr>
            <w:r>
              <w:rPr>
                <w:color w:val="auto"/>
                <w:highlight w:val="none"/>
              </w:rPr>
              <w:t>1</w:t>
            </w:r>
            <w:r>
              <w:rPr>
                <w:rFonts w:hint="eastAsia"/>
                <w:color w:val="auto"/>
                <w:highlight w:val="none"/>
              </w:rPr>
              <w:t>、提供的舞台搭建设计图样内容详细具体、具有针对性，观赏性强，切合采购需求且可用性高，得10分；</w:t>
            </w:r>
          </w:p>
          <w:p>
            <w:pPr>
              <w:wordWrap w:val="0"/>
              <w:autoSpaceDE w:val="0"/>
              <w:autoSpaceDN w:val="0"/>
              <w:spacing w:line="300" w:lineRule="auto"/>
              <w:rPr>
                <w:color w:val="auto"/>
                <w:highlight w:val="none"/>
              </w:rPr>
            </w:pPr>
            <w:r>
              <w:rPr>
                <w:color w:val="auto"/>
                <w:highlight w:val="none"/>
              </w:rPr>
              <w:t>2</w:t>
            </w:r>
            <w:r>
              <w:rPr>
                <w:rFonts w:hint="eastAsia"/>
                <w:color w:val="auto"/>
                <w:highlight w:val="none"/>
              </w:rPr>
              <w:t>、提供的舞台搭建设计图样较详细具体、具有针对性，观赏性较强，基本切合采购需求且可用性较高，得7分；</w:t>
            </w:r>
          </w:p>
          <w:p>
            <w:pPr>
              <w:wordWrap w:val="0"/>
              <w:autoSpaceDE w:val="0"/>
              <w:autoSpaceDN w:val="0"/>
              <w:spacing w:line="300" w:lineRule="auto"/>
              <w:rPr>
                <w:color w:val="auto"/>
                <w:highlight w:val="none"/>
              </w:rPr>
            </w:pPr>
            <w:r>
              <w:rPr>
                <w:color w:val="auto"/>
                <w:highlight w:val="none"/>
              </w:rPr>
              <w:t>3</w:t>
            </w:r>
            <w:r>
              <w:rPr>
                <w:rFonts w:hint="eastAsia"/>
                <w:color w:val="auto"/>
                <w:highlight w:val="none"/>
              </w:rPr>
              <w:t>、提供的舞台搭建设计图样不够详细具体、不具有针对性，观赏性较弱，部分切合采购需求，得4分；</w:t>
            </w:r>
          </w:p>
          <w:p>
            <w:pPr>
              <w:wordWrap w:val="0"/>
              <w:autoSpaceDE w:val="0"/>
              <w:autoSpaceDN w:val="0"/>
              <w:spacing w:line="300" w:lineRule="auto"/>
              <w:rPr>
                <w:color w:val="auto"/>
                <w:szCs w:val="21"/>
                <w:highlight w:val="none"/>
              </w:rPr>
            </w:pPr>
            <w:r>
              <w:rPr>
                <w:rFonts w:hint="eastAsia"/>
                <w:color w:val="auto"/>
                <w:highlight w:val="none"/>
              </w:rPr>
              <w:t>4、</w:t>
            </w:r>
            <w:r>
              <w:rPr>
                <w:color w:val="auto"/>
                <w:highlight w:val="none"/>
              </w:rPr>
              <w:t>其他或无提供不得分</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auto"/>
                <w:highlight w:val="none"/>
              </w:rPr>
            </w:pPr>
          </w:p>
        </w:tc>
        <w:tc>
          <w:tcPr>
            <w:tcW w:w="1980" w:type="dxa"/>
            <w:noWrap/>
            <w:vAlign w:val="center"/>
          </w:tcPr>
          <w:p>
            <w:pPr>
              <w:autoSpaceDE w:val="0"/>
              <w:autoSpaceDN w:val="0"/>
              <w:spacing w:line="300" w:lineRule="auto"/>
              <w:jc w:val="center"/>
              <w:rPr>
                <w:color w:val="auto"/>
                <w:highlight w:val="none"/>
              </w:rPr>
            </w:pPr>
            <w:r>
              <w:rPr>
                <w:rFonts w:hint="eastAsia"/>
                <w:color w:val="auto"/>
                <w:highlight w:val="none"/>
              </w:rPr>
              <w:t>服务总体方案</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（10.0分）</w:t>
            </w:r>
          </w:p>
        </w:tc>
        <w:tc>
          <w:tcPr>
            <w:tcW w:w="1080" w:type="dxa"/>
            <w:noWrap/>
            <w:vAlign w:val="center"/>
          </w:tcPr>
          <w:p>
            <w:pPr>
              <w:jc w:val="center"/>
              <w:rPr>
                <w:rFonts w:hint="default" w:eastAsia="宋体"/>
                <w:color w:val="auto"/>
                <w:highlight w:val="none"/>
                <w:lang w:val="en-US" w:eastAsia="zh-CN"/>
              </w:rPr>
            </w:pPr>
            <w:r>
              <w:rPr>
                <w:rFonts w:hint="eastAsia"/>
                <w:color w:val="auto"/>
                <w:highlight w:val="none"/>
                <w:lang w:val="en-US" w:eastAsia="zh-CN"/>
              </w:rPr>
              <w:t>10</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rPr>
              <w:t>根据</w:t>
            </w:r>
            <w:r>
              <w:rPr>
                <w:rFonts w:hint="eastAsia"/>
                <w:color w:val="auto"/>
                <w:highlight w:val="none"/>
                <w:lang w:val="en-US" w:eastAsia="zh-CN"/>
              </w:rPr>
              <w:t>报价</w:t>
            </w:r>
            <w:r>
              <w:rPr>
                <w:rFonts w:hint="eastAsia"/>
                <w:color w:val="auto"/>
                <w:highlight w:val="none"/>
              </w:rPr>
              <w:t>供应商提供</w:t>
            </w:r>
            <w:r>
              <w:rPr>
                <w:color w:val="auto"/>
                <w:highlight w:val="none"/>
              </w:rPr>
              <w:t>的</w:t>
            </w:r>
            <w:r>
              <w:rPr>
                <w:rFonts w:hint="eastAsia"/>
                <w:color w:val="auto"/>
                <w:highlight w:val="none"/>
              </w:rPr>
              <w:t>服务总体方案进行</w:t>
            </w:r>
            <w:r>
              <w:rPr>
                <w:color w:val="auto"/>
                <w:highlight w:val="none"/>
              </w:rPr>
              <w:t>评分：</w:t>
            </w:r>
          </w:p>
          <w:p>
            <w:pPr>
              <w:wordWrap w:val="0"/>
              <w:autoSpaceDE w:val="0"/>
              <w:autoSpaceDN w:val="0"/>
              <w:spacing w:line="300" w:lineRule="auto"/>
              <w:rPr>
                <w:color w:val="auto"/>
                <w:highlight w:val="none"/>
              </w:rPr>
            </w:pPr>
            <w:r>
              <w:rPr>
                <w:color w:val="auto"/>
                <w:highlight w:val="none"/>
              </w:rPr>
              <w:t>1</w:t>
            </w:r>
            <w:r>
              <w:rPr>
                <w:rFonts w:hint="eastAsia"/>
                <w:color w:val="auto"/>
                <w:highlight w:val="none"/>
              </w:rPr>
              <w:t>、</w:t>
            </w:r>
            <w:r>
              <w:rPr>
                <w:color w:val="auto"/>
                <w:highlight w:val="none"/>
              </w:rPr>
              <w:t>服务方案内容贴合且优于</w:t>
            </w:r>
            <w:r>
              <w:rPr>
                <w:rFonts w:hint="eastAsia"/>
                <w:color w:val="auto"/>
                <w:highlight w:val="none"/>
              </w:rPr>
              <w:t>采购</w:t>
            </w:r>
            <w:r>
              <w:rPr>
                <w:color w:val="auto"/>
                <w:highlight w:val="none"/>
              </w:rPr>
              <w:t>需求，执行计划、管理模式能够充分考虑到本项目实际的操作情况，总体服务流程清晰，内容详尽有针对性，能有效保障项目实施的得1</w:t>
            </w:r>
            <w:r>
              <w:rPr>
                <w:rFonts w:hint="eastAsia"/>
                <w:color w:val="auto"/>
                <w:highlight w:val="none"/>
              </w:rPr>
              <w:t>0</w:t>
            </w:r>
            <w:r>
              <w:rPr>
                <w:color w:val="auto"/>
                <w:highlight w:val="none"/>
              </w:rPr>
              <w:t>分；</w:t>
            </w:r>
          </w:p>
          <w:p>
            <w:pPr>
              <w:wordWrap w:val="0"/>
              <w:autoSpaceDE w:val="0"/>
              <w:autoSpaceDN w:val="0"/>
              <w:spacing w:line="300" w:lineRule="auto"/>
              <w:rPr>
                <w:color w:val="auto"/>
                <w:highlight w:val="none"/>
              </w:rPr>
            </w:pPr>
            <w:r>
              <w:rPr>
                <w:color w:val="auto"/>
                <w:highlight w:val="none"/>
              </w:rPr>
              <w:t>2</w:t>
            </w:r>
            <w:r>
              <w:rPr>
                <w:rFonts w:hint="eastAsia"/>
                <w:color w:val="auto"/>
                <w:highlight w:val="none"/>
              </w:rPr>
              <w:t>、</w:t>
            </w:r>
            <w:r>
              <w:rPr>
                <w:color w:val="auto"/>
                <w:highlight w:val="none"/>
              </w:rPr>
              <w:t>服务方案内容贴合</w:t>
            </w:r>
            <w:r>
              <w:rPr>
                <w:rFonts w:hint="eastAsia"/>
                <w:color w:val="auto"/>
                <w:highlight w:val="none"/>
              </w:rPr>
              <w:t>采购</w:t>
            </w:r>
            <w:r>
              <w:rPr>
                <w:color w:val="auto"/>
                <w:highlight w:val="none"/>
              </w:rPr>
              <w:t>需求，执行计划、管理模式能够充分考虑到本项目实际的操作情况，总体服务流程清晰，内容详尽部分有针对性，能有效保障项目实施的得</w:t>
            </w:r>
            <w:r>
              <w:rPr>
                <w:rFonts w:hint="eastAsia"/>
                <w:color w:val="auto"/>
                <w:highlight w:val="none"/>
              </w:rPr>
              <w:t>7</w:t>
            </w:r>
            <w:r>
              <w:rPr>
                <w:color w:val="auto"/>
                <w:highlight w:val="none"/>
              </w:rPr>
              <w:t>分；</w:t>
            </w:r>
          </w:p>
          <w:p>
            <w:pPr>
              <w:wordWrap w:val="0"/>
              <w:autoSpaceDE w:val="0"/>
              <w:autoSpaceDN w:val="0"/>
              <w:spacing w:line="300" w:lineRule="auto"/>
              <w:rPr>
                <w:color w:val="auto"/>
                <w:highlight w:val="none"/>
              </w:rPr>
            </w:pPr>
            <w:r>
              <w:rPr>
                <w:color w:val="auto"/>
                <w:highlight w:val="none"/>
              </w:rPr>
              <w:t>3</w:t>
            </w:r>
            <w:r>
              <w:rPr>
                <w:rFonts w:hint="eastAsia"/>
                <w:color w:val="auto"/>
                <w:highlight w:val="none"/>
              </w:rPr>
              <w:t>、</w:t>
            </w:r>
            <w:r>
              <w:rPr>
                <w:color w:val="auto"/>
                <w:highlight w:val="none"/>
              </w:rPr>
              <w:t>服务方案内容不太贴合</w:t>
            </w:r>
            <w:r>
              <w:rPr>
                <w:rFonts w:hint="eastAsia"/>
                <w:color w:val="auto"/>
                <w:highlight w:val="none"/>
              </w:rPr>
              <w:t>采购</w:t>
            </w:r>
            <w:r>
              <w:rPr>
                <w:color w:val="auto"/>
                <w:highlight w:val="none"/>
              </w:rPr>
              <w:t>需求，执行计划、管理模式对本项目实际的操作情况考虑不全，总体服务流程不清晰，内容部分有针对性，基本能保障项目实施的得</w:t>
            </w:r>
            <w:r>
              <w:rPr>
                <w:rFonts w:hint="eastAsia"/>
                <w:color w:val="auto"/>
                <w:highlight w:val="none"/>
              </w:rPr>
              <w:t>4</w:t>
            </w:r>
            <w:r>
              <w:rPr>
                <w:color w:val="auto"/>
                <w:highlight w:val="none"/>
              </w:rPr>
              <w:t>分；</w:t>
            </w:r>
          </w:p>
          <w:p>
            <w:pPr>
              <w:wordWrap w:val="0"/>
              <w:autoSpaceDE w:val="0"/>
              <w:autoSpaceDN w:val="0"/>
              <w:spacing w:line="300" w:lineRule="auto"/>
              <w:rPr>
                <w:color w:val="auto"/>
                <w:szCs w:val="21"/>
                <w:highlight w:val="none"/>
              </w:rPr>
            </w:pPr>
            <w:r>
              <w:rPr>
                <w:rFonts w:hint="eastAsia"/>
                <w:color w:val="auto"/>
                <w:highlight w:val="none"/>
              </w:rPr>
              <w:t>4、</w:t>
            </w:r>
            <w:r>
              <w:rPr>
                <w:color w:val="auto"/>
                <w:highlight w:val="none"/>
              </w:rPr>
              <w:t>其他或无提供不得分。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auto"/>
                <w:highlight w:val="none"/>
              </w:rPr>
            </w:pPr>
          </w:p>
        </w:tc>
        <w:tc>
          <w:tcPr>
            <w:tcW w:w="1980" w:type="dxa"/>
            <w:noWrap/>
            <w:vAlign w:val="center"/>
          </w:tcPr>
          <w:p>
            <w:pPr>
              <w:wordWrap w:val="0"/>
              <w:autoSpaceDE w:val="0"/>
              <w:autoSpaceDN w:val="0"/>
              <w:spacing w:line="300" w:lineRule="auto"/>
              <w:jc w:val="center"/>
              <w:rPr>
                <w:color w:val="auto"/>
                <w:highlight w:val="none"/>
              </w:rPr>
            </w:pPr>
            <w:r>
              <w:rPr>
                <w:rFonts w:hint="eastAsia"/>
                <w:color w:val="auto"/>
                <w:highlight w:val="none"/>
              </w:rPr>
              <w:t>活动宣传推广方案</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（5.0分）</w:t>
            </w:r>
          </w:p>
        </w:tc>
        <w:tc>
          <w:tcPr>
            <w:tcW w:w="1080" w:type="dxa"/>
            <w:noWrap/>
            <w:vAlign w:val="center"/>
          </w:tcPr>
          <w:p>
            <w:pPr>
              <w:jc w:val="center"/>
              <w:rPr>
                <w:rFonts w:hint="eastAsia" w:eastAsia="宋体"/>
                <w:color w:val="auto"/>
                <w:highlight w:val="none"/>
                <w:lang w:val="en-US" w:eastAsia="zh-CN"/>
              </w:rPr>
            </w:pPr>
            <w:r>
              <w:rPr>
                <w:rFonts w:hint="eastAsia"/>
                <w:color w:val="auto"/>
                <w:highlight w:val="none"/>
                <w:lang w:val="en-US" w:eastAsia="zh-CN"/>
              </w:rPr>
              <w:t>5</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rPr>
              <w:t>根据</w:t>
            </w:r>
            <w:r>
              <w:rPr>
                <w:rFonts w:hint="eastAsia"/>
                <w:color w:val="auto"/>
                <w:highlight w:val="none"/>
                <w:lang w:val="en-US" w:eastAsia="zh-CN"/>
              </w:rPr>
              <w:t>报价</w:t>
            </w:r>
            <w:r>
              <w:rPr>
                <w:color w:val="auto"/>
                <w:highlight w:val="none"/>
              </w:rPr>
              <w:t>供应商</w:t>
            </w:r>
            <w:r>
              <w:rPr>
                <w:rFonts w:hint="eastAsia"/>
                <w:color w:val="auto"/>
                <w:highlight w:val="none"/>
              </w:rPr>
              <w:t>提供</w:t>
            </w:r>
            <w:r>
              <w:rPr>
                <w:color w:val="auto"/>
                <w:highlight w:val="none"/>
              </w:rPr>
              <w:t>的活动宣传推广方案进行评分：</w:t>
            </w:r>
          </w:p>
          <w:p>
            <w:pPr>
              <w:wordWrap w:val="0"/>
              <w:autoSpaceDE w:val="0"/>
              <w:autoSpaceDN w:val="0"/>
              <w:spacing w:line="300" w:lineRule="auto"/>
              <w:rPr>
                <w:color w:val="auto"/>
                <w:highlight w:val="none"/>
              </w:rPr>
            </w:pPr>
            <w:r>
              <w:rPr>
                <w:color w:val="auto"/>
                <w:highlight w:val="none"/>
              </w:rPr>
              <w:t>1</w:t>
            </w:r>
            <w:r>
              <w:rPr>
                <w:rFonts w:hint="eastAsia"/>
                <w:color w:val="auto"/>
                <w:highlight w:val="none"/>
              </w:rPr>
              <w:t>、提供的活动宣传推广方案详细具体、具有针对性，切合采购人需求且完整性高，得5分；</w:t>
            </w:r>
          </w:p>
          <w:p>
            <w:pPr>
              <w:wordWrap w:val="0"/>
              <w:autoSpaceDE w:val="0"/>
              <w:autoSpaceDN w:val="0"/>
              <w:spacing w:line="300" w:lineRule="auto"/>
              <w:rPr>
                <w:color w:val="auto"/>
                <w:highlight w:val="none"/>
              </w:rPr>
            </w:pPr>
            <w:r>
              <w:rPr>
                <w:color w:val="auto"/>
                <w:highlight w:val="none"/>
              </w:rPr>
              <w:t>2</w:t>
            </w:r>
            <w:r>
              <w:rPr>
                <w:rFonts w:hint="eastAsia"/>
                <w:color w:val="auto"/>
                <w:highlight w:val="none"/>
              </w:rPr>
              <w:t>、提供的活动宣传推广方案较详细具体、具有针对性，基本切合采购人需求且完整性较高，得3分；</w:t>
            </w:r>
          </w:p>
          <w:p>
            <w:pPr>
              <w:wordWrap w:val="0"/>
              <w:autoSpaceDE w:val="0"/>
              <w:autoSpaceDN w:val="0"/>
              <w:spacing w:line="300" w:lineRule="auto"/>
              <w:rPr>
                <w:color w:val="auto"/>
                <w:highlight w:val="none"/>
              </w:rPr>
            </w:pPr>
            <w:r>
              <w:rPr>
                <w:color w:val="auto"/>
                <w:highlight w:val="none"/>
              </w:rPr>
              <w:t>3</w:t>
            </w:r>
            <w:r>
              <w:rPr>
                <w:rFonts w:hint="eastAsia"/>
                <w:color w:val="auto"/>
                <w:highlight w:val="none"/>
              </w:rPr>
              <w:t>、提供的活动宣传推广方案不够详细具体、不具有针对性，部分满足采购人需求，得1分；</w:t>
            </w:r>
          </w:p>
          <w:p>
            <w:pPr>
              <w:wordWrap w:val="0"/>
              <w:autoSpaceDE w:val="0"/>
              <w:autoSpaceDN w:val="0"/>
              <w:spacing w:line="300" w:lineRule="auto"/>
              <w:rPr>
                <w:color w:val="auto"/>
                <w:szCs w:val="21"/>
                <w:highlight w:val="none"/>
              </w:rPr>
            </w:pPr>
            <w:r>
              <w:rPr>
                <w:color w:val="auto"/>
                <w:highlight w:val="none"/>
              </w:rPr>
              <w:t>4</w:t>
            </w:r>
            <w:r>
              <w:rPr>
                <w:rFonts w:hint="eastAsia"/>
                <w:color w:val="auto"/>
                <w:highlight w:val="none"/>
              </w:rPr>
              <w:t>、</w:t>
            </w:r>
            <w:r>
              <w:rPr>
                <w:color w:val="auto"/>
                <w:highlight w:val="none"/>
              </w:rPr>
              <w:t>其他或无提供不得分</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auto"/>
                <w:highlight w:val="none"/>
              </w:rPr>
            </w:pPr>
          </w:p>
        </w:tc>
        <w:tc>
          <w:tcPr>
            <w:tcW w:w="1980" w:type="dxa"/>
            <w:noWrap/>
            <w:vAlign w:val="center"/>
          </w:tcPr>
          <w:p>
            <w:pPr>
              <w:wordWrap w:val="0"/>
              <w:autoSpaceDE w:val="0"/>
              <w:autoSpaceDN w:val="0"/>
              <w:spacing w:line="300" w:lineRule="auto"/>
              <w:jc w:val="center"/>
              <w:rPr>
                <w:color w:val="auto"/>
                <w:highlight w:val="none"/>
              </w:rPr>
            </w:pPr>
            <w:r>
              <w:rPr>
                <w:rFonts w:hint="eastAsia"/>
                <w:color w:val="auto"/>
                <w:highlight w:val="none"/>
              </w:rPr>
              <w:t>人员组织方案</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（10.0分）</w:t>
            </w:r>
          </w:p>
        </w:tc>
        <w:tc>
          <w:tcPr>
            <w:tcW w:w="1080" w:type="dxa"/>
            <w:noWrap/>
            <w:vAlign w:val="center"/>
          </w:tcPr>
          <w:p>
            <w:pPr>
              <w:jc w:val="center"/>
              <w:rPr>
                <w:rFonts w:hint="default" w:eastAsia="宋体"/>
                <w:color w:val="auto"/>
                <w:highlight w:val="none"/>
                <w:lang w:val="en-US" w:eastAsia="zh-CN"/>
              </w:rPr>
            </w:pPr>
            <w:r>
              <w:rPr>
                <w:rFonts w:hint="eastAsia"/>
                <w:color w:val="auto"/>
                <w:highlight w:val="none"/>
                <w:lang w:val="en-US" w:eastAsia="zh-CN"/>
              </w:rPr>
              <w:t>10</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rPr>
              <w:t>根据</w:t>
            </w:r>
            <w:r>
              <w:rPr>
                <w:rFonts w:hint="eastAsia"/>
                <w:color w:val="auto"/>
                <w:highlight w:val="none"/>
                <w:lang w:val="en-US" w:eastAsia="zh-CN"/>
              </w:rPr>
              <w:t>报价</w:t>
            </w:r>
            <w:r>
              <w:rPr>
                <w:rFonts w:hint="eastAsia"/>
                <w:color w:val="auto"/>
                <w:highlight w:val="none"/>
              </w:rPr>
              <w:t>供应商提供</w:t>
            </w:r>
            <w:r>
              <w:rPr>
                <w:color w:val="auto"/>
                <w:highlight w:val="none"/>
              </w:rPr>
              <w:t>的</w:t>
            </w:r>
            <w:r>
              <w:rPr>
                <w:rFonts w:hint="eastAsia"/>
                <w:color w:val="auto"/>
                <w:highlight w:val="none"/>
              </w:rPr>
              <w:t>人员组织方案（包括但不限于人员职责分工、人员沟通协调应急能力以及团队执行能力等）进行评分：</w:t>
            </w:r>
          </w:p>
          <w:p>
            <w:pPr>
              <w:wordWrap w:val="0"/>
              <w:autoSpaceDE w:val="0"/>
              <w:autoSpaceDN w:val="0"/>
              <w:spacing w:line="300" w:lineRule="auto"/>
              <w:rPr>
                <w:color w:val="auto"/>
                <w:highlight w:val="none"/>
              </w:rPr>
            </w:pPr>
            <w:r>
              <w:rPr>
                <w:rFonts w:hint="eastAsia"/>
                <w:color w:val="auto"/>
                <w:highlight w:val="none"/>
              </w:rPr>
              <w:t>1、人员组织方案完全满足或优于项目实际需求，对于项目实施效果有推动作用的得</w:t>
            </w:r>
            <w:r>
              <w:rPr>
                <w:color w:val="auto"/>
                <w:highlight w:val="none"/>
              </w:rPr>
              <w:t>10</w:t>
            </w:r>
            <w:r>
              <w:rPr>
                <w:rFonts w:hint="eastAsia"/>
                <w:color w:val="auto"/>
                <w:highlight w:val="none"/>
              </w:rPr>
              <w:t>分；</w:t>
            </w:r>
          </w:p>
          <w:p>
            <w:pPr>
              <w:wordWrap w:val="0"/>
              <w:autoSpaceDE w:val="0"/>
              <w:autoSpaceDN w:val="0"/>
              <w:spacing w:line="300" w:lineRule="auto"/>
              <w:rPr>
                <w:color w:val="auto"/>
                <w:highlight w:val="none"/>
              </w:rPr>
            </w:pPr>
            <w:r>
              <w:rPr>
                <w:rFonts w:hint="eastAsia"/>
                <w:color w:val="auto"/>
                <w:highlight w:val="none"/>
              </w:rPr>
              <w:t>2、人员组织方案能满足项目实际需求，对于项目实施有一定的推动作用的得</w:t>
            </w:r>
            <w:r>
              <w:rPr>
                <w:color w:val="auto"/>
                <w:highlight w:val="none"/>
              </w:rPr>
              <w:t>7</w:t>
            </w:r>
            <w:r>
              <w:rPr>
                <w:rFonts w:hint="eastAsia"/>
                <w:color w:val="auto"/>
                <w:highlight w:val="none"/>
              </w:rPr>
              <w:t>分；</w:t>
            </w:r>
          </w:p>
          <w:p>
            <w:pPr>
              <w:wordWrap w:val="0"/>
              <w:autoSpaceDE w:val="0"/>
              <w:autoSpaceDN w:val="0"/>
              <w:spacing w:line="300" w:lineRule="auto"/>
              <w:rPr>
                <w:color w:val="auto"/>
                <w:highlight w:val="none"/>
              </w:rPr>
            </w:pPr>
            <w:r>
              <w:rPr>
                <w:rFonts w:hint="eastAsia"/>
                <w:color w:val="auto"/>
                <w:highlight w:val="none"/>
              </w:rPr>
              <w:t>3、人员组织方案基本能满足项目实际需求，基本能推动项目实施的得</w:t>
            </w:r>
            <w:r>
              <w:rPr>
                <w:color w:val="auto"/>
                <w:highlight w:val="none"/>
              </w:rPr>
              <w:t>4</w:t>
            </w:r>
            <w:r>
              <w:rPr>
                <w:rFonts w:hint="eastAsia"/>
                <w:color w:val="auto"/>
                <w:highlight w:val="none"/>
              </w:rPr>
              <w:t>分；</w:t>
            </w:r>
          </w:p>
          <w:p>
            <w:pPr>
              <w:wordWrap w:val="0"/>
              <w:autoSpaceDE w:val="0"/>
              <w:autoSpaceDN w:val="0"/>
              <w:spacing w:line="300" w:lineRule="auto"/>
              <w:rPr>
                <w:color w:val="auto"/>
                <w:szCs w:val="21"/>
                <w:highlight w:val="none"/>
              </w:rPr>
            </w:pPr>
            <w:r>
              <w:rPr>
                <w:color w:val="auto"/>
                <w:highlight w:val="none"/>
              </w:rPr>
              <w:t>4</w:t>
            </w:r>
            <w:r>
              <w:rPr>
                <w:rFonts w:hint="eastAsia"/>
                <w:color w:val="auto"/>
                <w:highlight w:val="none"/>
              </w:rPr>
              <w:t>、</w:t>
            </w:r>
            <w:r>
              <w:rPr>
                <w:color w:val="auto"/>
                <w:highlight w:val="none"/>
              </w:rPr>
              <w:t>其他或无提供不得分</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auto"/>
                <w:highlight w:val="none"/>
              </w:rPr>
            </w:pPr>
          </w:p>
        </w:tc>
        <w:tc>
          <w:tcPr>
            <w:tcW w:w="1980" w:type="dxa"/>
            <w:noWrap/>
            <w:vAlign w:val="center"/>
          </w:tcPr>
          <w:p>
            <w:pPr>
              <w:wordWrap w:val="0"/>
              <w:autoSpaceDE w:val="0"/>
              <w:autoSpaceDN w:val="0"/>
              <w:spacing w:line="300" w:lineRule="auto"/>
              <w:jc w:val="center"/>
              <w:rPr>
                <w:color w:val="auto"/>
                <w:highlight w:val="none"/>
              </w:rPr>
            </w:pPr>
            <w:r>
              <w:rPr>
                <w:rFonts w:hint="eastAsia"/>
                <w:color w:val="auto"/>
                <w:highlight w:val="none"/>
              </w:rPr>
              <w:t>项目承诺与服务质量措施</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（5.0分）</w:t>
            </w:r>
          </w:p>
        </w:tc>
        <w:tc>
          <w:tcPr>
            <w:tcW w:w="1080" w:type="dxa"/>
            <w:noWrap/>
            <w:vAlign w:val="center"/>
          </w:tcPr>
          <w:p>
            <w:pPr>
              <w:jc w:val="center"/>
              <w:rPr>
                <w:rFonts w:hint="eastAsia" w:eastAsia="宋体"/>
                <w:color w:val="auto"/>
                <w:highlight w:val="none"/>
                <w:lang w:val="en-US" w:eastAsia="zh-CN"/>
              </w:rPr>
            </w:pPr>
            <w:r>
              <w:rPr>
                <w:rFonts w:hint="eastAsia"/>
                <w:color w:val="auto"/>
                <w:highlight w:val="none"/>
                <w:lang w:val="en-US" w:eastAsia="zh-CN"/>
              </w:rPr>
              <w:t>5</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rPr>
              <w:t>根据</w:t>
            </w:r>
            <w:r>
              <w:rPr>
                <w:rFonts w:hint="eastAsia"/>
                <w:color w:val="auto"/>
                <w:highlight w:val="none"/>
                <w:lang w:val="en-US" w:eastAsia="zh-CN"/>
              </w:rPr>
              <w:t>报价</w:t>
            </w:r>
            <w:r>
              <w:rPr>
                <w:color w:val="auto"/>
                <w:highlight w:val="none"/>
              </w:rPr>
              <w:t>供应商</w:t>
            </w:r>
            <w:r>
              <w:rPr>
                <w:rFonts w:hint="eastAsia"/>
                <w:color w:val="auto"/>
                <w:highlight w:val="none"/>
              </w:rPr>
              <w:t>提供的</w:t>
            </w:r>
            <w:r>
              <w:rPr>
                <w:color w:val="auto"/>
                <w:highlight w:val="none"/>
              </w:rPr>
              <w:t>项目承诺与服务质量</w:t>
            </w:r>
            <w:r>
              <w:rPr>
                <w:rFonts w:hint="eastAsia"/>
                <w:color w:val="auto"/>
                <w:highlight w:val="none"/>
              </w:rPr>
              <w:t>措施</w:t>
            </w:r>
            <w:r>
              <w:rPr>
                <w:color w:val="auto"/>
                <w:highlight w:val="none"/>
              </w:rPr>
              <w:t>进行评分：</w:t>
            </w:r>
          </w:p>
          <w:p>
            <w:pPr>
              <w:wordWrap w:val="0"/>
              <w:autoSpaceDE w:val="0"/>
              <w:autoSpaceDN w:val="0"/>
              <w:spacing w:line="300" w:lineRule="auto"/>
              <w:rPr>
                <w:color w:val="auto"/>
                <w:highlight w:val="none"/>
              </w:rPr>
            </w:pPr>
            <w:r>
              <w:rPr>
                <w:rFonts w:hint="eastAsia"/>
                <w:color w:val="auto"/>
                <w:highlight w:val="none"/>
              </w:rPr>
              <w:t>1、项目承诺与质量保证措施科学合理、明确具体、思路清晰、针对性强，能全面、有效、便利保证服务质量的，得5分；</w:t>
            </w:r>
          </w:p>
          <w:p>
            <w:pPr>
              <w:wordWrap w:val="0"/>
              <w:autoSpaceDE w:val="0"/>
              <w:autoSpaceDN w:val="0"/>
              <w:spacing w:line="300" w:lineRule="auto"/>
              <w:rPr>
                <w:color w:val="auto"/>
                <w:highlight w:val="none"/>
              </w:rPr>
            </w:pPr>
            <w:r>
              <w:rPr>
                <w:rFonts w:hint="eastAsia"/>
                <w:color w:val="auto"/>
                <w:highlight w:val="none"/>
              </w:rPr>
              <w:t>2、项目承诺与质量保证措施有一定的科学合理性、设备配置一般，能一定程度地保证服务质量的得3分；</w:t>
            </w:r>
          </w:p>
          <w:p>
            <w:pPr>
              <w:wordWrap w:val="0"/>
              <w:autoSpaceDE w:val="0"/>
              <w:autoSpaceDN w:val="0"/>
              <w:spacing w:line="300" w:lineRule="auto"/>
              <w:rPr>
                <w:color w:val="auto"/>
                <w:highlight w:val="none"/>
              </w:rPr>
            </w:pPr>
            <w:r>
              <w:rPr>
                <w:rFonts w:hint="eastAsia"/>
                <w:color w:val="auto"/>
                <w:highlight w:val="none"/>
              </w:rPr>
              <w:t>3、项目承诺与质量保证措施不明确、不够科学合理、设备不够充足、方法不可行，保证服务质量较为困难的得1分；</w:t>
            </w:r>
          </w:p>
          <w:p>
            <w:pPr>
              <w:wordWrap w:val="0"/>
              <w:autoSpaceDE w:val="0"/>
              <w:autoSpaceDN w:val="0"/>
              <w:spacing w:line="300" w:lineRule="auto"/>
              <w:rPr>
                <w:color w:val="auto"/>
                <w:szCs w:val="21"/>
                <w:highlight w:val="none"/>
              </w:rPr>
            </w:pPr>
            <w:r>
              <w:rPr>
                <w:rFonts w:hint="eastAsia"/>
                <w:color w:val="auto"/>
                <w:highlight w:val="none"/>
              </w:rPr>
              <w:t>4、</w:t>
            </w:r>
            <w:r>
              <w:rPr>
                <w:color w:val="auto"/>
                <w:highlight w:val="none"/>
              </w:rPr>
              <w:t>其他或无提供不得分</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auto"/>
                <w:highlight w:val="none"/>
              </w:rPr>
            </w:pPr>
          </w:p>
        </w:tc>
        <w:tc>
          <w:tcPr>
            <w:tcW w:w="1980" w:type="dxa"/>
            <w:noWrap/>
            <w:vAlign w:val="center"/>
          </w:tcPr>
          <w:p>
            <w:pPr>
              <w:wordWrap w:val="0"/>
              <w:autoSpaceDE w:val="0"/>
              <w:autoSpaceDN w:val="0"/>
              <w:spacing w:line="300" w:lineRule="auto"/>
              <w:jc w:val="center"/>
              <w:rPr>
                <w:color w:val="auto"/>
                <w:highlight w:val="none"/>
              </w:rPr>
            </w:pPr>
            <w:r>
              <w:rPr>
                <w:rFonts w:hint="eastAsia"/>
                <w:color w:val="auto"/>
                <w:highlight w:val="none"/>
              </w:rPr>
              <w:t>应急方案</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（10.0分）</w:t>
            </w:r>
          </w:p>
        </w:tc>
        <w:tc>
          <w:tcPr>
            <w:tcW w:w="1080" w:type="dxa"/>
            <w:noWrap/>
            <w:vAlign w:val="center"/>
          </w:tcPr>
          <w:p>
            <w:pPr>
              <w:jc w:val="center"/>
              <w:rPr>
                <w:rFonts w:hint="default" w:eastAsia="宋体"/>
                <w:color w:val="auto"/>
                <w:highlight w:val="none"/>
                <w:lang w:val="en-US" w:eastAsia="zh-CN"/>
              </w:rPr>
            </w:pPr>
            <w:r>
              <w:rPr>
                <w:rFonts w:hint="eastAsia"/>
                <w:color w:val="auto"/>
                <w:highlight w:val="none"/>
                <w:lang w:val="en-US" w:eastAsia="zh-CN"/>
              </w:rPr>
              <w:t>10</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rPr>
              <w:t>根据</w:t>
            </w:r>
            <w:r>
              <w:rPr>
                <w:rFonts w:hint="eastAsia"/>
                <w:color w:val="auto"/>
                <w:highlight w:val="none"/>
                <w:lang w:val="en-US" w:eastAsia="zh-CN"/>
              </w:rPr>
              <w:t>报价</w:t>
            </w:r>
            <w:r>
              <w:rPr>
                <w:rFonts w:hint="eastAsia"/>
                <w:color w:val="auto"/>
                <w:highlight w:val="none"/>
              </w:rPr>
              <w:t>供应商提供的应急方案进行评分：</w:t>
            </w:r>
          </w:p>
          <w:p>
            <w:pPr>
              <w:wordWrap w:val="0"/>
              <w:autoSpaceDE w:val="0"/>
              <w:autoSpaceDN w:val="0"/>
              <w:spacing w:line="300" w:lineRule="auto"/>
              <w:rPr>
                <w:color w:val="auto"/>
                <w:highlight w:val="none"/>
              </w:rPr>
            </w:pPr>
            <w:r>
              <w:rPr>
                <w:color w:val="auto"/>
                <w:highlight w:val="none"/>
              </w:rPr>
              <w:t>1</w:t>
            </w:r>
            <w:r>
              <w:rPr>
                <w:rFonts w:hint="eastAsia"/>
                <w:color w:val="auto"/>
                <w:highlight w:val="none"/>
              </w:rPr>
              <w:t>、</w:t>
            </w:r>
            <w:r>
              <w:rPr>
                <w:color w:val="auto"/>
                <w:highlight w:val="none"/>
              </w:rPr>
              <w:t>针对本项目的要求，所提供</w:t>
            </w:r>
            <w:r>
              <w:rPr>
                <w:rFonts w:hint="eastAsia"/>
                <w:color w:val="auto"/>
                <w:highlight w:val="none"/>
              </w:rPr>
              <w:t>应急处理方案的合理性、完善性</w:t>
            </w:r>
            <w:r>
              <w:rPr>
                <w:color w:val="auto"/>
                <w:highlight w:val="none"/>
              </w:rPr>
              <w:t>，符合本项目实际需求的</w:t>
            </w:r>
            <w:r>
              <w:rPr>
                <w:rFonts w:hint="eastAsia"/>
                <w:color w:val="auto"/>
                <w:highlight w:val="none"/>
              </w:rPr>
              <w:t>，</w:t>
            </w:r>
            <w:r>
              <w:rPr>
                <w:color w:val="auto"/>
                <w:highlight w:val="none"/>
              </w:rPr>
              <w:t>得</w:t>
            </w:r>
            <w:r>
              <w:rPr>
                <w:rFonts w:hint="eastAsia"/>
                <w:color w:val="auto"/>
                <w:highlight w:val="none"/>
              </w:rPr>
              <w:t>10</w:t>
            </w:r>
            <w:r>
              <w:rPr>
                <w:color w:val="auto"/>
                <w:highlight w:val="none"/>
              </w:rPr>
              <w:t>分；</w:t>
            </w:r>
          </w:p>
          <w:p>
            <w:pPr>
              <w:wordWrap w:val="0"/>
              <w:autoSpaceDE w:val="0"/>
              <w:autoSpaceDN w:val="0"/>
              <w:spacing w:line="300" w:lineRule="auto"/>
              <w:rPr>
                <w:color w:val="auto"/>
                <w:highlight w:val="none"/>
              </w:rPr>
            </w:pPr>
            <w:r>
              <w:rPr>
                <w:rFonts w:hint="eastAsia"/>
                <w:color w:val="auto"/>
                <w:highlight w:val="none"/>
              </w:rPr>
              <w:t>2、针对本项目的要求，所提供应急处理方案的较合理性、较完善性的，部分</w:t>
            </w:r>
            <w:r>
              <w:rPr>
                <w:color w:val="auto"/>
                <w:highlight w:val="none"/>
              </w:rPr>
              <w:t>符合本项目实际需求的</w:t>
            </w:r>
            <w:r>
              <w:rPr>
                <w:rFonts w:hint="eastAsia"/>
                <w:color w:val="auto"/>
                <w:highlight w:val="none"/>
              </w:rPr>
              <w:t>，得7</w:t>
            </w:r>
            <w:r>
              <w:rPr>
                <w:color w:val="auto"/>
                <w:highlight w:val="none"/>
              </w:rPr>
              <w:t>分；</w:t>
            </w:r>
          </w:p>
          <w:p>
            <w:pPr>
              <w:wordWrap w:val="0"/>
              <w:autoSpaceDE w:val="0"/>
              <w:autoSpaceDN w:val="0"/>
              <w:spacing w:line="300" w:lineRule="auto"/>
              <w:rPr>
                <w:color w:val="auto"/>
                <w:highlight w:val="none"/>
              </w:rPr>
            </w:pPr>
            <w:r>
              <w:rPr>
                <w:rFonts w:hint="eastAsia"/>
                <w:color w:val="auto"/>
                <w:highlight w:val="none"/>
              </w:rPr>
              <w:t>3、针对本项目的要求，所提供应急处理方案的部分合理性、不够完善性，不太符合本项目实际需求的得4</w:t>
            </w:r>
            <w:r>
              <w:rPr>
                <w:color w:val="auto"/>
                <w:highlight w:val="none"/>
              </w:rPr>
              <w:t>分；</w:t>
            </w:r>
          </w:p>
          <w:p>
            <w:pPr>
              <w:wordWrap w:val="0"/>
              <w:autoSpaceDE w:val="0"/>
              <w:autoSpaceDN w:val="0"/>
              <w:spacing w:line="300" w:lineRule="auto"/>
              <w:rPr>
                <w:color w:val="auto"/>
                <w:szCs w:val="21"/>
                <w:highlight w:val="none"/>
              </w:rPr>
            </w:pPr>
            <w:r>
              <w:rPr>
                <w:color w:val="auto"/>
                <w:highlight w:val="none"/>
              </w:rPr>
              <w:t>4</w:t>
            </w:r>
            <w:r>
              <w:rPr>
                <w:rFonts w:hint="eastAsia"/>
                <w:color w:val="auto"/>
                <w:highlight w:val="none"/>
              </w:rPr>
              <w:t>、</w:t>
            </w:r>
            <w:r>
              <w:rPr>
                <w:color w:val="auto"/>
                <w:highlight w:val="none"/>
              </w:rPr>
              <w:t>其他或无提供不得分。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auto"/>
                <w:highlight w:val="none"/>
              </w:rPr>
            </w:pPr>
            <w:r>
              <w:rPr>
                <w:rFonts w:hint="eastAsia"/>
                <w:color w:val="auto"/>
                <w:highlight w:val="none"/>
              </w:rPr>
              <w:t>商务因素</w:t>
            </w:r>
          </w:p>
        </w:tc>
        <w:tc>
          <w:tcPr>
            <w:tcW w:w="1980" w:type="dxa"/>
            <w:noWrap/>
            <w:vAlign w:val="center"/>
          </w:tcPr>
          <w:p>
            <w:pPr>
              <w:autoSpaceDE w:val="0"/>
              <w:autoSpaceDN w:val="0"/>
              <w:spacing w:line="300" w:lineRule="auto"/>
              <w:jc w:val="center"/>
              <w:rPr>
                <w:color w:val="auto"/>
                <w:highlight w:val="none"/>
              </w:rPr>
            </w:pPr>
            <w:r>
              <w:rPr>
                <w:rFonts w:hint="eastAsia"/>
                <w:color w:val="auto"/>
                <w:highlight w:val="none"/>
              </w:rPr>
              <w:t>采购需求响应程度</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（8.0分）</w:t>
            </w:r>
          </w:p>
        </w:tc>
        <w:tc>
          <w:tcPr>
            <w:tcW w:w="1080" w:type="dxa"/>
            <w:noWrap/>
            <w:vAlign w:val="center"/>
          </w:tcPr>
          <w:p>
            <w:pPr>
              <w:jc w:val="center"/>
              <w:rPr>
                <w:rFonts w:hint="eastAsia" w:eastAsia="宋体"/>
                <w:color w:val="auto"/>
                <w:highlight w:val="none"/>
                <w:lang w:val="en-US" w:eastAsia="zh-CN"/>
              </w:rPr>
            </w:pPr>
            <w:r>
              <w:rPr>
                <w:rFonts w:hint="eastAsia"/>
                <w:color w:val="auto"/>
                <w:highlight w:val="none"/>
                <w:lang w:val="en-US" w:eastAsia="zh-CN"/>
              </w:rPr>
              <w:t>8</w:t>
            </w:r>
          </w:p>
        </w:tc>
        <w:tc>
          <w:tcPr>
            <w:tcW w:w="5400" w:type="dxa"/>
            <w:noWrap/>
            <w:vAlign w:val="center"/>
          </w:tcPr>
          <w:p>
            <w:pPr>
              <w:wordWrap w:val="0"/>
              <w:autoSpaceDE w:val="0"/>
              <w:autoSpaceDN w:val="0"/>
              <w:spacing w:line="300" w:lineRule="auto"/>
              <w:rPr>
                <w:rFonts w:ascii="Times New Roman" w:hAnsi="Times New Roman" w:eastAsia="宋体" w:cs="Times New Roman"/>
                <w:b/>
                <w:color w:val="auto"/>
                <w:kern w:val="2"/>
                <w:sz w:val="21"/>
                <w:szCs w:val="24"/>
                <w:highlight w:val="none"/>
                <w:lang w:val="en-US" w:eastAsia="zh-CN" w:bidi="ar-SA"/>
              </w:rPr>
            </w:pPr>
            <w:r>
              <w:rPr>
                <w:rFonts w:hint="eastAsia"/>
                <w:color w:val="auto"/>
                <w:highlight w:val="none"/>
              </w:rPr>
              <w:t>根据</w:t>
            </w:r>
            <w:r>
              <w:rPr>
                <w:rFonts w:hint="eastAsia"/>
                <w:color w:val="auto"/>
                <w:highlight w:val="none"/>
                <w:lang w:val="en-US" w:eastAsia="zh-CN"/>
              </w:rPr>
              <w:t>报价</w:t>
            </w:r>
            <w:r>
              <w:rPr>
                <w:rFonts w:hint="eastAsia"/>
                <w:color w:val="auto"/>
                <w:highlight w:val="none"/>
              </w:rPr>
              <w:t>供应商采购需求响应程度进行评审，完全响应</w:t>
            </w:r>
            <w:r>
              <w:rPr>
                <w:rFonts w:hint="eastAsia"/>
                <w:color w:val="auto"/>
                <w:highlight w:val="none"/>
                <w:lang w:val="en-US" w:eastAsia="zh-CN"/>
              </w:rPr>
              <w:t>采购书</w:t>
            </w:r>
            <w:r>
              <w:rPr>
                <w:rFonts w:hint="eastAsia"/>
                <w:color w:val="auto"/>
                <w:highlight w:val="none"/>
              </w:rPr>
              <w:t>要求且部分条款优于</w:t>
            </w:r>
            <w:r>
              <w:rPr>
                <w:rFonts w:hint="eastAsia"/>
                <w:color w:val="auto"/>
                <w:highlight w:val="none"/>
                <w:lang w:val="en-US" w:eastAsia="zh-CN"/>
              </w:rPr>
              <w:t>采购书</w:t>
            </w:r>
            <w:r>
              <w:rPr>
                <w:rFonts w:hint="eastAsia"/>
                <w:color w:val="auto"/>
                <w:highlight w:val="none"/>
              </w:rPr>
              <w:t>要求得8分，完全响应</w:t>
            </w:r>
            <w:r>
              <w:rPr>
                <w:rFonts w:hint="eastAsia"/>
                <w:color w:val="auto"/>
                <w:highlight w:val="none"/>
                <w:lang w:val="en-US" w:eastAsia="zh-CN"/>
              </w:rPr>
              <w:t>采购书</w:t>
            </w:r>
            <w:r>
              <w:rPr>
                <w:rFonts w:hint="eastAsia"/>
                <w:color w:val="auto"/>
                <w:highlight w:val="none"/>
              </w:rPr>
              <w:t>要求得5分，有负偏离得1分。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auto"/>
                <w:highlight w:val="none"/>
              </w:rPr>
            </w:pPr>
          </w:p>
        </w:tc>
        <w:tc>
          <w:tcPr>
            <w:tcW w:w="1980" w:type="dxa"/>
            <w:noWrap/>
            <w:vAlign w:val="center"/>
          </w:tcPr>
          <w:p>
            <w:pPr>
              <w:wordWrap w:val="0"/>
              <w:autoSpaceDE w:val="0"/>
              <w:autoSpaceDN w:val="0"/>
              <w:spacing w:line="300" w:lineRule="auto"/>
              <w:jc w:val="center"/>
              <w:rPr>
                <w:color w:val="auto"/>
                <w:highlight w:val="none"/>
              </w:rPr>
            </w:pPr>
            <w:r>
              <w:rPr>
                <w:rFonts w:hint="eastAsia"/>
                <w:color w:val="auto"/>
                <w:highlight w:val="none"/>
              </w:rPr>
              <w:t>项目业绩</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（10.0分）</w:t>
            </w:r>
          </w:p>
        </w:tc>
        <w:tc>
          <w:tcPr>
            <w:tcW w:w="1080" w:type="dxa"/>
            <w:noWrap/>
            <w:vAlign w:val="center"/>
          </w:tcPr>
          <w:p>
            <w:pPr>
              <w:jc w:val="center"/>
              <w:rPr>
                <w:rFonts w:hint="default" w:eastAsia="宋体"/>
                <w:color w:val="auto"/>
                <w:highlight w:val="none"/>
                <w:lang w:val="en-US" w:eastAsia="zh-CN"/>
              </w:rPr>
            </w:pPr>
            <w:r>
              <w:rPr>
                <w:rFonts w:hint="eastAsia"/>
                <w:color w:val="auto"/>
                <w:highlight w:val="none"/>
                <w:lang w:val="en-US" w:eastAsia="zh-CN"/>
              </w:rPr>
              <w:t>10</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lang w:val="en-US" w:eastAsia="zh-CN"/>
              </w:rPr>
              <w:t>报价</w:t>
            </w:r>
            <w:r>
              <w:rPr>
                <w:rFonts w:hint="eastAsia"/>
                <w:color w:val="auto"/>
                <w:highlight w:val="none"/>
              </w:rPr>
              <w:t>供应商20</w:t>
            </w:r>
            <w:r>
              <w:rPr>
                <w:color w:val="auto"/>
                <w:highlight w:val="none"/>
              </w:rPr>
              <w:t>20</w:t>
            </w:r>
            <w:r>
              <w:rPr>
                <w:rFonts w:hint="eastAsia"/>
                <w:color w:val="auto"/>
                <w:highlight w:val="none"/>
              </w:rPr>
              <w:t>年1月1日至今承接过同类项目业绩，每提供</w:t>
            </w:r>
            <w:r>
              <w:rPr>
                <w:color w:val="auto"/>
                <w:highlight w:val="none"/>
              </w:rPr>
              <w:t>一个</w:t>
            </w:r>
            <w:r>
              <w:rPr>
                <w:rFonts w:hint="eastAsia"/>
                <w:color w:val="auto"/>
                <w:highlight w:val="none"/>
              </w:rPr>
              <w:t>得</w:t>
            </w:r>
            <w:r>
              <w:rPr>
                <w:color w:val="auto"/>
                <w:highlight w:val="none"/>
              </w:rPr>
              <w:t>2</w:t>
            </w:r>
            <w:r>
              <w:rPr>
                <w:rFonts w:hint="eastAsia"/>
                <w:color w:val="auto"/>
                <w:highlight w:val="none"/>
              </w:rPr>
              <w:t>分，最高得10分。</w:t>
            </w:r>
          </w:p>
          <w:p>
            <w:pPr>
              <w:wordWrap w:val="0"/>
              <w:autoSpaceDE w:val="0"/>
              <w:autoSpaceDN w:val="0"/>
              <w:spacing w:line="300" w:lineRule="auto"/>
              <w:rPr>
                <w:rFonts w:ascii="Times New Roman" w:hAnsi="Times New Roman" w:eastAsia="宋体" w:cs="Times New Roman"/>
                <w:color w:val="auto"/>
                <w:kern w:val="2"/>
                <w:sz w:val="21"/>
                <w:szCs w:val="24"/>
                <w:highlight w:val="none"/>
                <w:lang w:val="en-US" w:eastAsia="zh-CN" w:bidi="ar-SA"/>
              </w:rPr>
            </w:pPr>
            <w:r>
              <w:rPr>
                <w:rFonts w:hint="eastAsia"/>
                <w:b/>
                <w:color w:val="auto"/>
                <w:highlight w:val="none"/>
              </w:rPr>
              <w:t>【须提供服务合同复印件加盖投标供应商公章，日期以合同签订日期为准，无提供不得分】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auto"/>
                <w:highlight w:val="none"/>
              </w:rPr>
            </w:pPr>
          </w:p>
        </w:tc>
        <w:tc>
          <w:tcPr>
            <w:tcW w:w="1980" w:type="dxa"/>
            <w:noWrap/>
            <w:vAlign w:val="center"/>
          </w:tcPr>
          <w:p>
            <w:pPr>
              <w:wordWrap w:val="0"/>
              <w:autoSpaceDE w:val="0"/>
              <w:autoSpaceDN w:val="0"/>
              <w:spacing w:line="300" w:lineRule="auto"/>
              <w:jc w:val="center"/>
              <w:rPr>
                <w:color w:val="auto"/>
                <w:highlight w:val="none"/>
              </w:rPr>
            </w:pPr>
            <w:r>
              <w:rPr>
                <w:rFonts w:hint="eastAsia"/>
                <w:color w:val="auto"/>
                <w:highlight w:val="none"/>
              </w:rPr>
              <w:t>团队</w:t>
            </w:r>
            <w:r>
              <w:rPr>
                <w:color w:val="auto"/>
                <w:highlight w:val="none"/>
              </w:rPr>
              <w:t>实力</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（12.0分）</w:t>
            </w:r>
          </w:p>
        </w:tc>
        <w:tc>
          <w:tcPr>
            <w:tcW w:w="1080" w:type="dxa"/>
            <w:noWrap/>
            <w:vAlign w:val="center"/>
          </w:tcPr>
          <w:p>
            <w:pPr>
              <w:jc w:val="center"/>
              <w:rPr>
                <w:rFonts w:hint="default" w:eastAsia="宋体"/>
                <w:color w:val="auto"/>
                <w:highlight w:val="none"/>
                <w:lang w:val="en-US" w:eastAsia="zh-CN"/>
              </w:rPr>
            </w:pPr>
            <w:r>
              <w:rPr>
                <w:rFonts w:hint="eastAsia"/>
                <w:color w:val="auto"/>
                <w:highlight w:val="none"/>
                <w:lang w:val="en-US" w:eastAsia="zh-CN"/>
              </w:rPr>
              <w:t>12</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rPr>
              <w:t>1、项目负责人具备与本项目相关专业高级职称，得4分；项目</w:t>
            </w:r>
            <w:r>
              <w:rPr>
                <w:color w:val="auto"/>
                <w:highlight w:val="none"/>
              </w:rPr>
              <w:t>负责人</w:t>
            </w:r>
            <w:r>
              <w:rPr>
                <w:rFonts w:hint="eastAsia"/>
                <w:color w:val="auto"/>
                <w:highlight w:val="none"/>
              </w:rPr>
              <w:t>具备</w:t>
            </w:r>
            <w:r>
              <w:rPr>
                <w:color w:val="auto"/>
                <w:highlight w:val="none"/>
              </w:rPr>
              <w:t>与本项目相关专业中级职称</w:t>
            </w:r>
            <w:r>
              <w:rPr>
                <w:rFonts w:hint="eastAsia"/>
                <w:color w:val="auto"/>
                <w:highlight w:val="none"/>
              </w:rPr>
              <w:t>，</w:t>
            </w:r>
            <w:r>
              <w:rPr>
                <w:color w:val="auto"/>
                <w:highlight w:val="none"/>
              </w:rPr>
              <w:t>得</w:t>
            </w:r>
            <w:r>
              <w:rPr>
                <w:rFonts w:hint="eastAsia"/>
                <w:color w:val="auto"/>
                <w:highlight w:val="none"/>
              </w:rPr>
              <w:t>2分。</w:t>
            </w:r>
            <w:r>
              <w:rPr>
                <w:color w:val="auto"/>
                <w:highlight w:val="none"/>
              </w:rPr>
              <w:t>本</w:t>
            </w:r>
            <w:r>
              <w:rPr>
                <w:rFonts w:hint="eastAsia"/>
                <w:color w:val="auto"/>
                <w:highlight w:val="none"/>
              </w:rPr>
              <w:t>小</w:t>
            </w:r>
            <w:r>
              <w:rPr>
                <w:color w:val="auto"/>
                <w:highlight w:val="none"/>
              </w:rPr>
              <w:t>项最高得</w:t>
            </w:r>
            <w:r>
              <w:rPr>
                <w:rFonts w:hint="eastAsia"/>
                <w:color w:val="auto"/>
                <w:highlight w:val="none"/>
              </w:rPr>
              <w:t>4分</w:t>
            </w:r>
            <w:r>
              <w:rPr>
                <w:color w:val="auto"/>
                <w:highlight w:val="none"/>
              </w:rPr>
              <w:t>。</w:t>
            </w:r>
          </w:p>
          <w:p>
            <w:pPr>
              <w:wordWrap w:val="0"/>
              <w:autoSpaceDE w:val="0"/>
              <w:autoSpaceDN w:val="0"/>
              <w:spacing w:line="300" w:lineRule="auto"/>
              <w:rPr>
                <w:color w:val="auto"/>
                <w:highlight w:val="none"/>
              </w:rPr>
            </w:pPr>
            <w:r>
              <w:rPr>
                <w:color w:val="auto"/>
                <w:highlight w:val="none"/>
              </w:rPr>
              <w:t>2</w:t>
            </w:r>
            <w:r>
              <w:rPr>
                <w:rFonts w:hint="eastAsia"/>
                <w:color w:val="auto"/>
                <w:highlight w:val="none"/>
              </w:rPr>
              <w:t>、服务团队中，除项目负责人外，每有一人具备与本项目相关专业中级（或以上）职称的，得2分，本小项最高得8分。</w:t>
            </w:r>
          </w:p>
          <w:p>
            <w:pPr>
              <w:wordWrap w:val="0"/>
              <w:autoSpaceDE w:val="0"/>
              <w:autoSpaceDN w:val="0"/>
              <w:spacing w:line="300" w:lineRule="auto"/>
              <w:rPr>
                <w:rFonts w:ascii="Times New Roman" w:hAnsi="Times New Roman" w:eastAsia="宋体" w:cs="Times New Roman"/>
                <w:b/>
                <w:color w:val="auto"/>
                <w:kern w:val="2"/>
                <w:sz w:val="21"/>
                <w:szCs w:val="24"/>
                <w:highlight w:val="none"/>
                <w:lang w:val="en-US" w:eastAsia="zh-CN" w:bidi="ar-SA"/>
              </w:rPr>
            </w:pPr>
            <w:r>
              <w:rPr>
                <w:rFonts w:hint="eastAsia"/>
                <w:color w:val="auto"/>
                <w:highlight w:val="none"/>
              </w:rPr>
              <w:t>【</w:t>
            </w:r>
            <w:r>
              <w:rPr>
                <w:rFonts w:hint="eastAsia"/>
                <w:b/>
                <w:color w:val="auto"/>
                <w:highlight w:val="none"/>
              </w:rPr>
              <w:t>须提供人员相关职称证明文件、投标截止前近3个月中任一月的社保证明文件、身份证的复印件并加盖投标供应商公章，未提供不得分。】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auto"/>
                <w:highlight w:val="none"/>
              </w:rPr>
            </w:pPr>
          </w:p>
        </w:tc>
        <w:tc>
          <w:tcPr>
            <w:tcW w:w="1980" w:type="dxa"/>
            <w:noWrap/>
            <w:vAlign w:val="center"/>
          </w:tcPr>
          <w:p>
            <w:pPr>
              <w:wordWrap w:val="0"/>
              <w:autoSpaceDE w:val="0"/>
              <w:autoSpaceDN w:val="0"/>
              <w:spacing w:line="300" w:lineRule="auto"/>
              <w:jc w:val="center"/>
              <w:rPr>
                <w:color w:val="auto"/>
                <w:highlight w:val="none"/>
              </w:rPr>
            </w:pPr>
            <w:r>
              <w:rPr>
                <w:rFonts w:hint="eastAsia"/>
                <w:color w:val="auto"/>
                <w:highlight w:val="none"/>
              </w:rPr>
              <w:t>服务响应情况</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（10.0分）</w:t>
            </w:r>
          </w:p>
        </w:tc>
        <w:tc>
          <w:tcPr>
            <w:tcW w:w="1080" w:type="dxa"/>
            <w:noWrap/>
            <w:vAlign w:val="center"/>
          </w:tcPr>
          <w:p>
            <w:pPr>
              <w:jc w:val="center"/>
              <w:rPr>
                <w:rFonts w:hint="default" w:eastAsia="宋体"/>
                <w:color w:val="auto"/>
                <w:highlight w:val="none"/>
                <w:lang w:val="en-US" w:eastAsia="zh-CN"/>
              </w:rPr>
            </w:pPr>
            <w:r>
              <w:rPr>
                <w:rFonts w:hint="eastAsia"/>
                <w:color w:val="auto"/>
                <w:highlight w:val="none"/>
                <w:lang w:val="en-US" w:eastAsia="zh-CN"/>
              </w:rPr>
              <w:t>10</w:t>
            </w:r>
          </w:p>
        </w:tc>
        <w:tc>
          <w:tcPr>
            <w:tcW w:w="5400" w:type="dxa"/>
            <w:noWrap/>
            <w:vAlign w:val="center"/>
          </w:tcPr>
          <w:p>
            <w:pPr>
              <w:wordWrap w:val="0"/>
              <w:autoSpaceDE w:val="0"/>
              <w:autoSpaceDN w:val="0"/>
              <w:spacing w:line="300" w:lineRule="auto"/>
              <w:rPr>
                <w:color w:val="auto"/>
                <w:highlight w:val="none"/>
              </w:rPr>
            </w:pPr>
            <w:r>
              <w:rPr>
                <w:rFonts w:hint="eastAsia"/>
                <w:color w:val="auto"/>
                <w:highlight w:val="none"/>
              </w:rPr>
              <w:t>1、接到电话后30分钟内响应并处理相关事宜的得10分；</w:t>
            </w:r>
          </w:p>
          <w:p>
            <w:pPr>
              <w:wordWrap w:val="0"/>
              <w:autoSpaceDE w:val="0"/>
              <w:autoSpaceDN w:val="0"/>
              <w:spacing w:line="300" w:lineRule="auto"/>
              <w:rPr>
                <w:color w:val="auto"/>
                <w:highlight w:val="none"/>
              </w:rPr>
            </w:pPr>
            <w:r>
              <w:rPr>
                <w:rFonts w:hint="eastAsia"/>
                <w:color w:val="auto"/>
                <w:highlight w:val="none"/>
              </w:rPr>
              <w:t>2、接到电话后</w:t>
            </w:r>
            <w:r>
              <w:rPr>
                <w:color w:val="auto"/>
                <w:highlight w:val="none"/>
              </w:rPr>
              <w:t>30（含）</w:t>
            </w:r>
            <w:r>
              <w:rPr>
                <w:rFonts w:hint="eastAsia"/>
                <w:color w:val="auto"/>
                <w:highlight w:val="none"/>
              </w:rPr>
              <w:t>-45</w:t>
            </w:r>
            <w:r>
              <w:rPr>
                <w:color w:val="auto"/>
                <w:highlight w:val="none"/>
              </w:rPr>
              <w:t>分钟内响应并处理相关事宜的得</w:t>
            </w:r>
            <w:r>
              <w:rPr>
                <w:rFonts w:hint="eastAsia"/>
                <w:color w:val="auto"/>
                <w:highlight w:val="none"/>
              </w:rPr>
              <w:t>7分；</w:t>
            </w:r>
          </w:p>
          <w:p>
            <w:pPr>
              <w:wordWrap w:val="0"/>
              <w:autoSpaceDE w:val="0"/>
              <w:autoSpaceDN w:val="0"/>
              <w:spacing w:line="300" w:lineRule="auto"/>
              <w:rPr>
                <w:color w:val="auto"/>
                <w:highlight w:val="none"/>
              </w:rPr>
            </w:pPr>
            <w:r>
              <w:rPr>
                <w:rFonts w:hint="eastAsia"/>
                <w:color w:val="auto"/>
                <w:highlight w:val="none"/>
              </w:rPr>
              <w:t>3、接到电话后45</w:t>
            </w:r>
            <w:r>
              <w:rPr>
                <w:color w:val="auto"/>
                <w:highlight w:val="none"/>
              </w:rPr>
              <w:t>（含）-</w:t>
            </w:r>
            <w:r>
              <w:rPr>
                <w:rFonts w:hint="eastAsia"/>
                <w:color w:val="auto"/>
                <w:highlight w:val="none"/>
              </w:rPr>
              <w:t>60</w:t>
            </w:r>
            <w:r>
              <w:rPr>
                <w:color w:val="auto"/>
                <w:highlight w:val="none"/>
              </w:rPr>
              <w:t>分钟内响应并处理相关事宜的得</w:t>
            </w:r>
            <w:r>
              <w:rPr>
                <w:rFonts w:hint="eastAsia"/>
                <w:color w:val="auto"/>
                <w:highlight w:val="none"/>
              </w:rPr>
              <w:t>4</w:t>
            </w:r>
            <w:r>
              <w:rPr>
                <w:color w:val="auto"/>
                <w:highlight w:val="none"/>
              </w:rPr>
              <w:t>分；</w:t>
            </w:r>
          </w:p>
          <w:p>
            <w:pPr>
              <w:wordWrap w:val="0"/>
              <w:autoSpaceDE w:val="0"/>
              <w:autoSpaceDN w:val="0"/>
              <w:spacing w:line="300" w:lineRule="auto"/>
              <w:rPr>
                <w:color w:val="auto"/>
                <w:highlight w:val="none"/>
              </w:rPr>
            </w:pPr>
            <w:r>
              <w:rPr>
                <w:rFonts w:hint="eastAsia"/>
                <w:color w:val="auto"/>
                <w:highlight w:val="none"/>
              </w:rPr>
              <w:t>4、其他或无不得分。</w:t>
            </w:r>
          </w:p>
          <w:p>
            <w:pPr>
              <w:wordWrap w:val="0"/>
              <w:autoSpaceDE w:val="0"/>
              <w:autoSpaceDN w:val="0"/>
              <w:spacing w:line="300" w:lineRule="auto"/>
              <w:rPr>
                <w:rFonts w:ascii="Times New Roman" w:hAnsi="Times New Roman" w:eastAsia="宋体" w:cs="Times New Roman"/>
                <w:b/>
                <w:color w:val="auto"/>
                <w:kern w:val="2"/>
                <w:sz w:val="21"/>
                <w:szCs w:val="24"/>
                <w:highlight w:val="none"/>
                <w:lang w:val="en-US" w:eastAsia="zh-CN" w:bidi="ar-SA"/>
              </w:rPr>
            </w:pPr>
            <w:r>
              <w:rPr>
                <w:rFonts w:hint="eastAsia"/>
                <w:color w:val="auto"/>
                <w:highlight w:val="none"/>
              </w:rPr>
              <w:t>【</w:t>
            </w:r>
            <w:r>
              <w:rPr>
                <w:rFonts w:hint="eastAsia"/>
                <w:b/>
                <w:color w:val="auto"/>
                <w:highlight w:val="none"/>
              </w:rPr>
              <w:t>须同时提供加盖投标供应商公章的承诺函（格式自拟）和投标供应商服务机构地点到采购人地点：广东省广东财经大学教育发展基金会驾车行程时间的百度地图截图作为证明文件，无或缺项或未按要求递交证明材料的不得分。</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noWrap/>
            <w:vAlign w:val="center"/>
          </w:tcPr>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投标报价</w:t>
            </w:r>
          </w:p>
        </w:tc>
        <w:tc>
          <w:tcPr>
            <w:tcW w:w="1980" w:type="dxa"/>
            <w:noWrap/>
            <w:vAlign w:val="center"/>
          </w:tcPr>
          <w:p>
            <w:pPr>
              <w:wordWrap w:val="0"/>
              <w:autoSpaceDE w:val="0"/>
              <w:autoSpaceDN w:val="0"/>
              <w:spacing w:line="300" w:lineRule="auto"/>
              <w:jc w:val="center"/>
              <w:rPr>
                <w:color w:val="auto"/>
                <w:highlight w:val="none"/>
              </w:rPr>
            </w:pPr>
            <w:r>
              <w:rPr>
                <w:color w:val="auto"/>
                <w:highlight w:val="none"/>
              </w:rPr>
              <w:t>投标报价得分</w:t>
            </w:r>
          </w:p>
          <w:p>
            <w:pPr>
              <w:wordWrap w:val="0"/>
              <w:autoSpaceDE w:val="0"/>
              <w:autoSpaceDN w:val="0"/>
              <w:spacing w:line="300" w:lineRule="auto"/>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(10.0</w:t>
            </w:r>
            <w:r>
              <w:rPr>
                <w:color w:val="auto"/>
                <w:highlight w:val="none"/>
              </w:rPr>
              <w:t>分</w:t>
            </w:r>
            <w:r>
              <w:rPr>
                <w:rFonts w:hint="eastAsia"/>
                <w:color w:val="auto"/>
                <w:highlight w:val="none"/>
              </w:rPr>
              <w:t>)</w:t>
            </w:r>
          </w:p>
        </w:tc>
        <w:tc>
          <w:tcPr>
            <w:tcW w:w="1080" w:type="dxa"/>
            <w:noWrap/>
            <w:vAlign w:val="center"/>
          </w:tcPr>
          <w:p>
            <w:pPr>
              <w:jc w:val="center"/>
              <w:rPr>
                <w:rFonts w:hint="default" w:eastAsia="宋体"/>
                <w:color w:val="auto"/>
                <w:highlight w:val="none"/>
                <w:lang w:val="en-US" w:eastAsia="zh-CN"/>
              </w:rPr>
            </w:pPr>
            <w:r>
              <w:rPr>
                <w:rFonts w:hint="eastAsia"/>
                <w:color w:val="auto"/>
                <w:highlight w:val="none"/>
                <w:lang w:val="en-US" w:eastAsia="zh-CN"/>
              </w:rPr>
              <w:t>10</w:t>
            </w:r>
          </w:p>
        </w:tc>
        <w:tc>
          <w:tcPr>
            <w:tcW w:w="5400" w:type="dxa"/>
            <w:noWrap/>
            <w:vAlign w:val="center"/>
          </w:tcPr>
          <w:p>
            <w:pPr>
              <w:rPr>
                <w:color w:val="auto"/>
                <w:szCs w:val="21"/>
                <w:highlight w:val="none"/>
              </w:rPr>
            </w:pPr>
            <w:r>
              <w:rPr>
                <w:color w:val="auto"/>
                <w:highlight w:val="none"/>
              </w:rPr>
              <w:t>投标报价得分＝（评标基准价</w:t>
            </w:r>
            <w:r>
              <w:rPr>
                <w:rFonts w:hint="eastAsia"/>
                <w:color w:val="auto"/>
                <w:highlight w:val="none"/>
              </w:rPr>
              <w:t>/</w:t>
            </w:r>
            <w:r>
              <w:rPr>
                <w:color w:val="auto"/>
                <w:highlight w:val="none"/>
              </w:rPr>
              <w:t>投标报价）</w:t>
            </w:r>
            <w:r>
              <w:rPr>
                <w:rFonts w:hint="eastAsia"/>
                <w:color w:val="auto"/>
                <w:highlight w:val="none"/>
              </w:rPr>
              <w:t>×</w:t>
            </w:r>
            <w:r>
              <w:rPr>
                <w:color w:val="auto"/>
                <w:highlight w:val="none"/>
              </w:rPr>
              <w:t>价格权值</w:t>
            </w:r>
            <w:r>
              <w:rPr>
                <w:rFonts w:hint="eastAsia"/>
                <w:color w:val="auto"/>
                <w:highlight w:val="none"/>
              </w:rPr>
              <w:t>×100</w:t>
            </w:r>
            <w:r>
              <w:rPr>
                <w:color w:val="auto"/>
                <w:highlight w:val="none"/>
              </w:rPr>
              <w:t>（注：满足招标文件要求且投标价格最低的投标报价为评标基准价。）最低报价不是中标的唯一依据。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auto"/>
                <w:szCs w:val="21"/>
                <w:highlight w:val="none"/>
              </w:rPr>
            </w:pPr>
            <w:r>
              <w:rPr>
                <w:rFonts w:hint="eastAsia"/>
                <w:color w:val="auto"/>
                <w:szCs w:val="21"/>
                <w:highlight w:val="none"/>
              </w:rPr>
              <w:t>备注：评分细则中如需要报价人提供证明材料的，供应商应在报价文件中提交证明材料。</w:t>
            </w:r>
          </w:p>
        </w:tc>
      </w:tr>
    </w:tbl>
    <w:p>
      <w:pPr>
        <w:spacing w:line="400" w:lineRule="exact"/>
        <w:ind w:firstLine="480" w:firstLineChars="200"/>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注：各评委按规定的范围内进行量化打分，并统计总分。</w:t>
      </w:r>
    </w:p>
    <w:p>
      <w:pPr>
        <w:spacing w:line="400" w:lineRule="exact"/>
        <w:ind w:firstLine="480" w:firstLineChars="200"/>
        <w:rPr>
          <w:rFonts w:hint="eastAsia" w:asciiTheme="minorEastAsia" w:hAnsiTheme="minorEastAsia" w:eastAsiaTheme="minorEastAsia"/>
          <w:color w:val="000000"/>
          <w:sz w:val="24"/>
        </w:rPr>
      </w:pPr>
    </w:p>
    <w:p>
      <w:pPr>
        <w:spacing w:line="400" w:lineRule="exact"/>
        <w:ind w:firstLine="480" w:firstLineChars="200"/>
        <w:rPr>
          <w:rFonts w:hint="eastAsia" w:asciiTheme="minorEastAsia" w:hAnsiTheme="minorEastAsia" w:eastAsiaTheme="minorEastAsia"/>
          <w:color w:val="000000"/>
          <w:sz w:val="24"/>
        </w:rPr>
      </w:pPr>
    </w:p>
    <w:p>
      <w:pPr>
        <w:pStyle w:val="3"/>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4"/>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8"/>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6"/>
        <w:gridCol w:w="4948"/>
        <w:gridCol w:w="2378"/>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6"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序号</w:t>
            </w:r>
          </w:p>
        </w:tc>
        <w:tc>
          <w:tcPr>
            <w:tcW w:w="2701"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物资名称</w:t>
            </w:r>
          </w:p>
        </w:tc>
        <w:tc>
          <w:tcPr>
            <w:tcW w:w="1298"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701"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hint="default" w:ascii="宋体" w:hAnsi="宋体" w:eastAsia="宋体" w:cs="宋体"/>
                <w:sz w:val="24"/>
                <w:lang w:val="en-US" w:eastAsia="zh-CN"/>
              </w:rPr>
            </w:pPr>
            <w:r>
              <w:rPr>
                <w:rFonts w:hint="eastAsia" w:ascii="宋体" w:hAnsi="宋体" w:cs="宋体"/>
                <w:sz w:val="24"/>
                <w:lang w:val="en-US" w:eastAsia="zh-CN"/>
              </w:rPr>
              <w:t>舞台设计</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件</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2</w:t>
            </w:r>
          </w:p>
        </w:tc>
        <w:tc>
          <w:tcPr>
            <w:tcW w:w="2701"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hint="eastAsia" w:ascii="宋体" w:hAnsi="宋体" w:eastAsia="宋体" w:cs="宋体"/>
                <w:sz w:val="24"/>
                <w:lang w:val="en-US" w:eastAsia="zh-CN"/>
              </w:rPr>
            </w:pPr>
            <w:r>
              <w:rPr>
                <w:rFonts w:hint="eastAsia" w:ascii="宋体" w:hAnsi="宋体" w:cs="宋体"/>
                <w:sz w:val="24"/>
                <w:lang w:val="en-US" w:eastAsia="zh-CN"/>
              </w:rPr>
              <w:t>音响系统（含20个头戴式耳麦）</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套</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3</w:t>
            </w:r>
          </w:p>
        </w:tc>
        <w:tc>
          <w:tcPr>
            <w:tcW w:w="2701"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hint="default" w:ascii="宋体" w:hAnsi="宋体" w:eastAsia="宋体" w:cs="宋体"/>
                <w:sz w:val="24"/>
                <w:lang w:val="en-US" w:eastAsia="zh-CN"/>
              </w:rPr>
            </w:pPr>
            <w:r>
              <w:rPr>
                <w:rFonts w:hint="eastAsia" w:ascii="宋体" w:hAnsi="宋体" w:cs="宋体"/>
                <w:sz w:val="24"/>
                <w:lang w:val="en-US" w:eastAsia="zh-CN"/>
              </w:rPr>
              <w:t>灯光系统</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套</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4</w:t>
            </w:r>
          </w:p>
        </w:tc>
        <w:tc>
          <w:tcPr>
            <w:tcW w:w="2701"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hint="default" w:ascii="宋体" w:hAnsi="宋体" w:eastAsia="宋体" w:cs="宋体"/>
                <w:sz w:val="24"/>
                <w:lang w:val="en-US" w:eastAsia="zh-CN"/>
              </w:rPr>
            </w:pPr>
            <w:r>
              <w:rPr>
                <w:rFonts w:hint="eastAsia" w:ascii="宋体" w:hAnsi="宋体" w:cs="宋体"/>
                <w:sz w:val="24"/>
                <w:lang w:val="en-US" w:eastAsia="zh-CN"/>
              </w:rPr>
              <w:t>灯光操作台</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件</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nil"/>
              <w:left w:val="single" w:color="000000" w:sz="4" w:space="0"/>
              <w:bottom w:val="single" w:color="auto"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5</w:t>
            </w:r>
          </w:p>
        </w:tc>
        <w:tc>
          <w:tcPr>
            <w:tcW w:w="2701" w:type="pct"/>
            <w:tcBorders>
              <w:top w:val="nil"/>
              <w:left w:val="nil"/>
              <w:bottom w:val="single" w:color="auto" w:sz="4" w:space="0"/>
              <w:right w:val="single" w:color="000000" w:sz="4" w:space="0"/>
            </w:tcBorders>
            <w:shd w:val="clear" w:color="auto" w:fill="auto"/>
            <w:tcMar>
              <w:left w:w="70" w:type="dxa"/>
              <w:right w:w="70" w:type="dxa"/>
            </w:tcMar>
            <w:vAlign w:val="center"/>
          </w:tcPr>
          <w:p>
            <w:pPr>
              <w:widowControl/>
              <w:spacing w:line="560" w:lineRule="exact"/>
              <w:jc w:val="left"/>
              <w:rPr>
                <w:rFonts w:hint="default" w:ascii="宋体" w:hAnsi="宋体" w:eastAsia="宋体" w:cs="宋体"/>
                <w:sz w:val="24"/>
                <w:lang w:val="en-US" w:eastAsia="zh-CN"/>
              </w:rPr>
            </w:pPr>
            <w:r>
              <w:rPr>
                <w:rFonts w:hint="eastAsia" w:ascii="宋体" w:hAnsi="宋体" w:cs="宋体"/>
                <w:sz w:val="24"/>
                <w:lang w:val="en-US" w:eastAsia="zh-CN"/>
              </w:rPr>
              <w:t>音视频操作台</w:t>
            </w:r>
          </w:p>
        </w:tc>
        <w:tc>
          <w:tcPr>
            <w:tcW w:w="1298" w:type="pct"/>
            <w:tcBorders>
              <w:top w:val="nil"/>
              <w:left w:val="nil"/>
              <w:bottom w:val="single" w:color="auto"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件</w:t>
            </w:r>
          </w:p>
        </w:tc>
        <w:tc>
          <w:tcPr>
            <w:tcW w:w="554" w:type="pct"/>
            <w:tcBorders>
              <w:top w:val="nil"/>
              <w:left w:val="nil"/>
              <w:bottom w:val="single" w:color="auto"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6</w:t>
            </w:r>
          </w:p>
        </w:tc>
        <w:tc>
          <w:tcPr>
            <w:tcW w:w="2701"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left"/>
              <w:rPr>
                <w:rFonts w:hint="default" w:ascii="宋体" w:hAnsi="宋体" w:eastAsia="宋体" w:cs="宋体"/>
                <w:sz w:val="24"/>
                <w:lang w:val="en-US" w:eastAsia="zh-CN"/>
              </w:rPr>
            </w:pPr>
            <w:r>
              <w:rPr>
                <w:rFonts w:hint="eastAsia" w:ascii="宋体" w:hAnsi="宋体" w:cs="宋体"/>
                <w:sz w:val="24"/>
                <w:lang w:val="en-US" w:eastAsia="zh-CN"/>
              </w:rPr>
              <w:t>装拆台服务</w:t>
            </w:r>
          </w:p>
        </w:tc>
        <w:tc>
          <w:tcPr>
            <w:tcW w:w="1298"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人</w:t>
            </w:r>
          </w:p>
        </w:tc>
        <w:tc>
          <w:tcPr>
            <w:tcW w:w="554"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widowControl/>
              <w:spacing w:line="560" w:lineRule="exact"/>
              <w:jc w:val="center"/>
              <w:rPr>
                <w:rFonts w:hint="default" w:ascii="宋体" w:hAnsi="宋体" w:cs="宋体"/>
                <w:sz w:val="24"/>
                <w:lang w:val="en-US" w:eastAsia="zh-CN"/>
              </w:rPr>
            </w:pPr>
            <w:r>
              <w:rPr>
                <w:rFonts w:hint="eastAsia" w:ascii="宋体" w:hAnsi="宋体" w:cs="宋体"/>
                <w:sz w:val="24"/>
                <w:lang w:val="en-US" w:eastAsia="zh-CN"/>
              </w:rPr>
              <w:t>7</w:t>
            </w:r>
          </w:p>
        </w:tc>
        <w:tc>
          <w:tcPr>
            <w:tcW w:w="2701"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left"/>
              <w:rPr>
                <w:rFonts w:hint="default" w:ascii="宋体" w:hAnsi="宋体" w:eastAsia="宋体" w:cs="宋体"/>
                <w:sz w:val="24"/>
                <w:lang w:val="en-US" w:eastAsia="zh-CN"/>
              </w:rPr>
            </w:pPr>
            <w:r>
              <w:rPr>
                <w:rFonts w:hint="eastAsia" w:ascii="宋体" w:hAnsi="宋体" w:cs="宋体"/>
                <w:sz w:val="24"/>
                <w:lang w:val="en-US" w:eastAsia="zh-CN"/>
              </w:rPr>
              <w:t>现场技术服务</w:t>
            </w:r>
          </w:p>
        </w:tc>
        <w:tc>
          <w:tcPr>
            <w:tcW w:w="1298"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人</w:t>
            </w:r>
          </w:p>
        </w:tc>
        <w:tc>
          <w:tcPr>
            <w:tcW w:w="554"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6"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widowControl/>
              <w:spacing w:line="560" w:lineRule="exact"/>
              <w:jc w:val="center"/>
              <w:rPr>
                <w:rFonts w:hint="default" w:ascii="宋体" w:hAnsi="宋体" w:cs="宋体"/>
                <w:sz w:val="24"/>
                <w:lang w:val="en-US" w:eastAsia="zh-CN"/>
              </w:rPr>
            </w:pPr>
            <w:r>
              <w:rPr>
                <w:rFonts w:hint="eastAsia" w:ascii="宋体" w:hAnsi="宋体" w:cs="宋体"/>
                <w:sz w:val="24"/>
                <w:lang w:val="en-US" w:eastAsia="zh-CN"/>
              </w:rPr>
              <w:t>8</w:t>
            </w:r>
          </w:p>
        </w:tc>
        <w:tc>
          <w:tcPr>
            <w:tcW w:w="2701"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left"/>
              <w:rPr>
                <w:rFonts w:hint="default" w:ascii="宋体" w:hAnsi="宋体" w:cs="宋体"/>
                <w:sz w:val="24"/>
                <w:lang w:val="en-US" w:eastAsia="zh-CN"/>
              </w:rPr>
            </w:pPr>
            <w:r>
              <w:rPr>
                <w:rFonts w:hint="eastAsia" w:ascii="宋体" w:hAnsi="宋体" w:cs="宋体"/>
                <w:sz w:val="24"/>
                <w:lang w:val="en-US" w:eastAsia="zh-CN"/>
              </w:rPr>
              <w:t>舞台制作、安装及维护（含舞台延伸、侧台LED屏幕等）</w:t>
            </w:r>
          </w:p>
        </w:tc>
        <w:tc>
          <w:tcPr>
            <w:tcW w:w="1298"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default" w:ascii="宋体" w:hAnsi="宋体" w:cs="宋体"/>
                <w:sz w:val="24"/>
                <w:lang w:val="en-US" w:eastAsia="zh-CN"/>
              </w:rPr>
            </w:pPr>
            <w:r>
              <w:rPr>
                <w:rFonts w:hint="eastAsia" w:ascii="宋体" w:hAnsi="宋体" w:cs="宋体"/>
                <w:sz w:val="24"/>
                <w:lang w:val="en-US" w:eastAsia="zh-CN"/>
              </w:rPr>
              <w:t>套</w:t>
            </w:r>
          </w:p>
        </w:tc>
        <w:tc>
          <w:tcPr>
            <w:tcW w:w="554"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default" w:ascii="宋体" w:hAnsi="宋体" w:cs="宋体"/>
                <w:sz w:val="24"/>
                <w:lang w:val="en-US" w:eastAsia="zh-CN"/>
              </w:rPr>
            </w:pPr>
            <w:r>
              <w:rPr>
                <w:rFonts w:hint="eastAsia" w:ascii="宋体" w:hAnsi="宋体" w:cs="宋体"/>
                <w:sz w:val="24"/>
                <w:lang w:val="en-US" w:eastAsia="zh-CN"/>
              </w:rPr>
              <w:t>1</w:t>
            </w:r>
          </w:p>
        </w:tc>
      </w:tr>
    </w:tbl>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tbl>
      <w:tblPr>
        <w:tblStyle w:val="28"/>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2"/>
        <w:gridCol w:w="4952"/>
        <w:gridCol w:w="33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3"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序号</w:t>
            </w:r>
          </w:p>
        </w:tc>
        <w:tc>
          <w:tcPr>
            <w:tcW w:w="2703"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物资名称</w:t>
            </w:r>
          </w:p>
        </w:tc>
        <w:tc>
          <w:tcPr>
            <w:tcW w:w="1852"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3"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703"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设计</w:t>
            </w:r>
          </w:p>
        </w:tc>
        <w:tc>
          <w:tcPr>
            <w:tcW w:w="1852"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舞台设计图，9个场景设计图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3"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2</w:t>
            </w:r>
          </w:p>
        </w:tc>
        <w:tc>
          <w:tcPr>
            <w:tcW w:w="2703"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舞台平台</w:t>
            </w:r>
          </w:p>
        </w:tc>
        <w:tc>
          <w:tcPr>
            <w:tcW w:w="1852"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12米x1.2米x0.6米。三级台阶3个。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3"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3</w:t>
            </w:r>
          </w:p>
        </w:tc>
        <w:tc>
          <w:tcPr>
            <w:tcW w:w="2703"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舞台扩深</w:t>
            </w:r>
          </w:p>
        </w:tc>
        <w:tc>
          <w:tcPr>
            <w:tcW w:w="1852"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12米×2.44米x1米。加地毯。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3"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4</w:t>
            </w:r>
          </w:p>
        </w:tc>
        <w:tc>
          <w:tcPr>
            <w:tcW w:w="2703"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屏幕</w:t>
            </w:r>
          </w:p>
        </w:tc>
        <w:tc>
          <w:tcPr>
            <w:tcW w:w="1852"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p3透明屏50平方，播放设备。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3" w:type="pct"/>
            <w:tcBorders>
              <w:top w:val="nil"/>
              <w:left w:val="single" w:color="000000" w:sz="4" w:space="0"/>
              <w:bottom w:val="single" w:color="auto"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5</w:t>
            </w:r>
          </w:p>
        </w:tc>
        <w:tc>
          <w:tcPr>
            <w:tcW w:w="2703" w:type="pct"/>
            <w:tcBorders>
              <w:top w:val="nil"/>
              <w:left w:val="nil"/>
              <w:bottom w:val="single" w:color="auto" w:sz="4" w:space="0"/>
              <w:right w:val="single" w:color="000000"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灯光</w:t>
            </w:r>
          </w:p>
        </w:tc>
        <w:tc>
          <w:tcPr>
            <w:tcW w:w="1852" w:type="pct"/>
            <w:tcBorders>
              <w:top w:val="nil"/>
              <w:left w:val="nil"/>
              <w:bottom w:val="single" w:color="auto"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彩熠切割灯6支；彩熠染色灯10支；升龙0760摇染10支；M2灯光控台一台；电力系统、信号系统配套。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3"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6</w:t>
            </w:r>
          </w:p>
        </w:tc>
        <w:tc>
          <w:tcPr>
            <w:tcW w:w="2703"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音响</w:t>
            </w:r>
          </w:p>
        </w:tc>
        <w:tc>
          <w:tcPr>
            <w:tcW w:w="1852"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eastAsia" w:ascii="宋体" w:hAnsi="宋体" w:cs="宋体"/>
                <w:sz w:val="24"/>
                <w:lang w:val="en-US" w:eastAsia="zh-CN"/>
              </w:rPr>
            </w:pPr>
            <w:r>
              <w:rPr>
                <w:rFonts w:hint="eastAsia" w:ascii="宋体" w:hAnsi="宋体" w:cs="宋体"/>
                <w:sz w:val="24"/>
                <w:lang w:val="en-US" w:eastAsia="zh-CN"/>
              </w:rPr>
              <w:t>头带话筒20个；</w:t>
            </w:r>
          </w:p>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数字控制台1个。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3"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widowControl/>
              <w:spacing w:line="560" w:lineRule="exact"/>
              <w:jc w:val="center"/>
              <w:rPr>
                <w:rFonts w:hint="default" w:ascii="宋体" w:hAnsi="宋体" w:cs="宋体"/>
                <w:sz w:val="24"/>
                <w:lang w:val="en-US" w:eastAsia="zh-CN"/>
              </w:rPr>
            </w:pPr>
            <w:r>
              <w:rPr>
                <w:rFonts w:hint="eastAsia" w:ascii="宋体" w:hAnsi="宋体" w:cs="宋体"/>
                <w:sz w:val="24"/>
                <w:lang w:val="en-US" w:eastAsia="zh-CN"/>
              </w:rPr>
              <w:t>7</w:t>
            </w:r>
          </w:p>
        </w:tc>
        <w:tc>
          <w:tcPr>
            <w:tcW w:w="2703"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现场技术服务</w:t>
            </w:r>
          </w:p>
        </w:tc>
        <w:tc>
          <w:tcPr>
            <w:tcW w:w="1852" w:type="pc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10人</w:t>
            </w:r>
          </w:p>
        </w:tc>
      </w:tr>
    </w:tbl>
    <w:p>
      <w:pPr>
        <w:spacing w:line="560" w:lineRule="exact"/>
        <w:ind w:firstLine="560" w:firstLineChars="200"/>
        <w:rPr>
          <w:rFonts w:hint="eastAsia" w:ascii="宋体" w:hAnsi="宋体"/>
          <w:kern w:val="0"/>
          <w:sz w:val="28"/>
          <w:szCs w:val="28"/>
        </w:rPr>
      </w:pPr>
    </w:p>
    <w:p>
      <w:pPr>
        <w:spacing w:line="560" w:lineRule="exact"/>
        <w:ind w:firstLine="560" w:firstLineChars="200"/>
        <w:rPr>
          <w:rFonts w:hint="eastAsia" w:ascii="宋体" w:hAnsi="宋体"/>
          <w:kern w:val="0"/>
          <w:sz w:val="28"/>
          <w:szCs w:val="28"/>
        </w:rPr>
      </w:pP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w:t>
      </w:r>
      <w:r>
        <w:rPr>
          <w:rFonts w:hint="eastAsia" w:ascii="宋体" w:hAnsi="宋体"/>
          <w:kern w:val="0"/>
          <w:sz w:val="28"/>
          <w:szCs w:val="28"/>
          <w:lang w:val="en-US" w:eastAsia="zh-CN"/>
        </w:rPr>
        <w:t>实质性响应指标</w:t>
      </w:r>
      <w:r>
        <w:rPr>
          <w:rFonts w:hint="eastAsia" w:ascii="宋体" w:hAnsi="宋体"/>
          <w:kern w:val="0"/>
          <w:sz w:val="28"/>
          <w:szCs w:val="28"/>
        </w:rPr>
        <w:t>”。“</w:t>
      </w:r>
      <w:r>
        <w:rPr>
          <w:rFonts w:hint="eastAsia" w:ascii="宋体" w:hAnsi="宋体"/>
          <w:kern w:val="0"/>
          <w:sz w:val="28"/>
          <w:szCs w:val="28"/>
          <w:lang w:val="en-US" w:eastAsia="zh-CN"/>
        </w:rPr>
        <w:t>实质性响应指标</w:t>
      </w:r>
      <w:r>
        <w:rPr>
          <w:rFonts w:hint="eastAsia" w:ascii="宋体" w:hAnsi="宋体"/>
          <w:kern w:val="0"/>
          <w:sz w:val="28"/>
          <w:szCs w:val="28"/>
        </w:rPr>
        <w:t>”不允许“负偏离”，否则报价无效；“非</w:t>
      </w:r>
      <w:r>
        <w:rPr>
          <w:rFonts w:hint="eastAsia" w:ascii="宋体" w:hAnsi="宋体"/>
          <w:kern w:val="0"/>
          <w:sz w:val="28"/>
          <w:szCs w:val="28"/>
          <w:lang w:val="en-US" w:eastAsia="zh-CN"/>
        </w:rPr>
        <w:t>实质性响应</w:t>
      </w:r>
      <w:r>
        <w:rPr>
          <w:rFonts w:hint="eastAsia" w:ascii="宋体" w:hAnsi="宋体"/>
          <w:kern w:val="0"/>
          <w:sz w:val="28"/>
          <w:szCs w:val="28"/>
        </w:rPr>
        <w:t>指标”允许“负偏离”，但不能超出偏离范围，否则报价无效</w:t>
      </w:r>
    </w:p>
    <w:p>
      <w:pPr>
        <w:pStyle w:val="4"/>
        <w:spacing w:line="560" w:lineRule="exact"/>
        <w:rPr>
          <w:rFonts w:ascii="宋体" w:hAnsi="宋体" w:cs="宋体"/>
          <w:sz w:val="24"/>
        </w:rPr>
      </w:pPr>
      <w:bookmarkStart w:id="26" w:name="_Toc17787"/>
      <w:bookmarkStart w:id="27" w:name="_Toc60236709"/>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w:t>
      </w:r>
      <w:r>
        <w:rPr>
          <w:rFonts w:hint="eastAsia" w:ascii="宋体" w:hAnsi="宋体"/>
          <w:bCs/>
          <w:sz w:val="28"/>
          <w:szCs w:val="28"/>
          <w:lang w:val="en-US" w:eastAsia="zh-CN"/>
        </w:rPr>
        <w:t>5</w:t>
      </w:r>
      <w:r>
        <w:rPr>
          <w:rFonts w:hint="eastAsia" w:ascii="宋体" w:hAnsi="宋体"/>
          <w:bCs/>
          <w:sz w:val="28"/>
          <w:szCs w:val="28"/>
        </w:rPr>
        <w:t>内完成交货，确保正常运行使用。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w:t>
      </w:r>
      <w:r>
        <w:rPr>
          <w:rFonts w:hint="eastAsia" w:ascii="宋体" w:hAnsi="宋体"/>
          <w:bCs/>
          <w:sz w:val="28"/>
          <w:szCs w:val="28"/>
          <w:lang w:val="en-US" w:eastAsia="zh-CN"/>
        </w:rPr>
        <w:t>佛山</w:t>
      </w:r>
      <w:r>
        <w:rPr>
          <w:rFonts w:hint="eastAsia" w:ascii="宋体" w:hAnsi="宋体"/>
          <w:bCs/>
          <w:sz w:val="28"/>
          <w:szCs w:val="28"/>
        </w:rPr>
        <w:t>校区。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本项目采购内容包括安装、调试和培训，于广东财经大学（</w:t>
      </w:r>
      <w:r>
        <w:rPr>
          <w:rFonts w:hint="eastAsia" w:ascii="宋体" w:hAnsi="宋体"/>
          <w:sz w:val="28"/>
          <w:szCs w:val="28"/>
          <w:lang w:eastAsia="zh-CN"/>
        </w:rPr>
        <w:t>佛山</w:t>
      </w:r>
      <w:r>
        <w:rPr>
          <w:rFonts w:hint="eastAsia" w:ascii="宋体" w:hAnsi="宋体"/>
          <w:sz w:val="28"/>
          <w:szCs w:val="28"/>
        </w:rPr>
        <w:t>校区）完成</w:t>
      </w:r>
      <w:r>
        <w:rPr>
          <w:rFonts w:hint="eastAsia" w:ascii="宋体" w:hAnsi="宋体" w:cs="宋体"/>
          <w:sz w:val="28"/>
          <w:szCs w:val="28"/>
        </w:rPr>
        <w:t>。</w:t>
      </w:r>
    </w:p>
    <w:p>
      <w:pPr>
        <w:numPr>
          <w:ilvl w:val="0"/>
          <w:numId w:val="4"/>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（四）质保期</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质保期自安装验收合格之日起生效，时间为</w:t>
      </w:r>
      <w:r>
        <w:rPr>
          <w:rFonts w:hint="eastAsia" w:ascii="宋体" w:hAnsi="宋体"/>
          <w:sz w:val="28"/>
          <w:szCs w:val="28"/>
          <w:lang w:val="en-US" w:eastAsia="zh-CN"/>
        </w:rPr>
        <w:t>30天</w:t>
      </w:r>
      <w:r>
        <w:rPr>
          <w:rFonts w:hint="eastAsia" w:ascii="宋体" w:hAnsi="宋体" w:cs="宋体"/>
          <w:sz w:val="28"/>
          <w:szCs w:val="28"/>
        </w:rPr>
        <w:t>。</w:t>
      </w:r>
      <w:bookmarkStart w:id="31" w:name="_GoBack"/>
      <w:bookmarkEnd w:id="31"/>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（五）售后服务要求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sz w:val="28"/>
          <w:szCs w:val="28"/>
        </w:rPr>
        <w:t>服务响应速度在</w:t>
      </w:r>
      <w:r>
        <w:rPr>
          <w:rFonts w:hint="eastAsia" w:ascii="宋体" w:hAnsi="宋体"/>
          <w:sz w:val="28"/>
          <w:szCs w:val="28"/>
          <w:lang w:val="en-US" w:eastAsia="zh-CN"/>
        </w:rPr>
        <w:t>2小时</w:t>
      </w:r>
      <w:r>
        <w:rPr>
          <w:rFonts w:hint="eastAsia" w:ascii="宋体" w:hAnsi="宋体"/>
          <w:sz w:val="28"/>
          <w:szCs w:val="28"/>
        </w:rPr>
        <w:t>之内,并在内解决故障。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spacing w:line="560" w:lineRule="exact"/>
        <w:ind w:firstLine="638" w:firstLineChars="228"/>
        <w:rPr>
          <w:rFonts w:ascii="宋体" w:hAnsi="宋体"/>
          <w:sz w:val="28"/>
          <w:szCs w:val="28"/>
        </w:rPr>
      </w:pPr>
      <w:r>
        <w:rPr>
          <w:rFonts w:hint="eastAsia" w:ascii="宋体" w:hAnsi="宋体"/>
          <w:sz w:val="28"/>
          <w:szCs w:val="28"/>
        </w:rPr>
        <w:t>该项目验收合格后，将合同款100%转账支付给成交人。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w:t>
      </w:r>
      <w:r>
        <w:rPr>
          <w:rFonts w:hint="eastAsia" w:ascii="宋体" w:hAnsi="宋体"/>
          <w:sz w:val="28"/>
          <w:szCs w:val="28"/>
          <w:lang w:eastAsia="zh-CN"/>
        </w:rPr>
        <w:t>成交人</w:t>
      </w:r>
      <w:r>
        <w:rPr>
          <w:rFonts w:hint="eastAsia" w:ascii="宋体" w:hAnsi="宋体"/>
          <w:sz w:val="28"/>
          <w:szCs w:val="28"/>
        </w:rPr>
        <w:t>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w:t>
      </w:r>
      <w:r>
        <w:rPr>
          <w:rFonts w:hint="eastAsia" w:ascii="宋体" w:hAnsi="宋体"/>
          <w:sz w:val="28"/>
          <w:szCs w:val="28"/>
          <w:lang w:eastAsia="zh-CN"/>
        </w:rPr>
        <w:t>成交人</w:t>
      </w:r>
      <w:r>
        <w:rPr>
          <w:rFonts w:hint="eastAsia" w:ascii="宋体" w:hAnsi="宋体"/>
          <w:sz w:val="28"/>
          <w:szCs w:val="28"/>
        </w:rPr>
        <w:t>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13543213"/>
      <w:bookmarkStart w:id="29" w:name="_Toc60236710"/>
      <w:r>
        <w:rPr>
          <w:rFonts w:hint="eastAsia"/>
        </w:rPr>
        <w:br w:type="page"/>
      </w:r>
      <w:bookmarkEnd w:id="28"/>
      <w:bookmarkEnd w:id="29"/>
    </w:p>
    <w:p>
      <w:pPr>
        <w:pStyle w:val="3"/>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4"/>
        <w:rPr>
          <w:rFonts w:ascii="Calibri" w:hAnsi="Calibri"/>
          <w:b/>
          <w:sz w:val="32"/>
          <w:szCs w:val="32"/>
        </w:rPr>
      </w:pPr>
    </w:p>
    <w:p>
      <w:pPr>
        <w:pStyle w:val="14"/>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8"/>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4"/>
        <w:spacing w:line="480" w:lineRule="exact"/>
        <w:rPr>
          <w:rFonts w:hAnsi="宋体"/>
          <w:sz w:val="28"/>
          <w:szCs w:val="28"/>
        </w:rPr>
      </w:pPr>
      <w:r>
        <w:rPr>
          <w:rFonts w:hint="eastAsia" w:hAnsi="宋体"/>
          <w:sz w:val="28"/>
          <w:szCs w:val="28"/>
        </w:rPr>
        <w:t>注：</w:t>
      </w:r>
    </w:p>
    <w:p>
      <w:pPr>
        <w:pStyle w:val="14"/>
        <w:numPr>
          <w:ilvl w:val="0"/>
          <w:numId w:val="8"/>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4"/>
        <w:numPr>
          <w:ilvl w:val="0"/>
          <w:numId w:val="8"/>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4"/>
        <w:numPr>
          <w:ilvl w:val="0"/>
          <w:numId w:val="8"/>
        </w:numPr>
        <w:spacing w:line="0" w:lineRule="atLeast"/>
        <w:rPr>
          <w:rFonts w:hAnsi="宋体"/>
          <w:sz w:val="28"/>
          <w:szCs w:val="28"/>
        </w:rPr>
      </w:pPr>
      <w:r>
        <w:rPr>
          <w:rFonts w:hint="eastAsia"/>
          <w:sz w:val="28"/>
          <w:szCs w:val="28"/>
        </w:rPr>
        <w:t>填写此表时不得改变表格的形式。</w:t>
      </w:r>
    </w:p>
    <w:p>
      <w:pPr>
        <w:pStyle w:val="14"/>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4"/>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4"/>
        <w:jc w:val="left"/>
        <w:rPr>
          <w:rFonts w:ascii="Times New Roman" w:hAnsi="Times New Roman"/>
          <w:szCs w:val="21"/>
        </w:rPr>
      </w:pPr>
    </w:p>
    <w:tbl>
      <w:tblPr>
        <w:tblStyle w:val="28"/>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4"/>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 xml:space="preserve"> 人民币：</w:t>
            </w:r>
          </w:p>
        </w:tc>
      </w:tr>
    </w:tbl>
    <w:p>
      <w:pPr>
        <w:pStyle w:val="14"/>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4"/>
        <w:spacing w:line="0" w:lineRule="atLeast"/>
        <w:ind w:left="336"/>
        <w:rPr>
          <w:rFonts w:hAnsi="宋体"/>
          <w:sz w:val="28"/>
          <w:szCs w:val="28"/>
        </w:rPr>
      </w:pPr>
      <w:r>
        <w:rPr>
          <w:rFonts w:hint="eastAsia" w:hAnsi="宋体"/>
          <w:sz w:val="28"/>
          <w:szCs w:val="28"/>
        </w:rPr>
        <w:t>2、本表“报价总价”必须与《报价一览表》中的“报价总价”一致。</w:t>
      </w:r>
    </w:p>
    <w:p>
      <w:pPr>
        <w:pStyle w:val="14"/>
        <w:spacing w:line="0" w:lineRule="atLeast"/>
        <w:ind w:left="336"/>
        <w:rPr>
          <w:rFonts w:hAnsi="宋体"/>
          <w:sz w:val="28"/>
          <w:szCs w:val="28"/>
        </w:rPr>
      </w:pPr>
      <w:r>
        <w:rPr>
          <w:rFonts w:hint="eastAsia" w:hAnsi="宋体"/>
          <w:sz w:val="28"/>
          <w:szCs w:val="28"/>
        </w:rPr>
        <w:t>3、对于报价免费的项目必须标明“免费”。</w:t>
      </w:r>
    </w:p>
    <w:p>
      <w:pPr>
        <w:pStyle w:val="14"/>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4"/>
        <w:jc w:val="left"/>
        <w:rPr>
          <w:rFonts w:ascii="Times New Roman" w:hAnsi="Times New Roman"/>
          <w:szCs w:val="21"/>
        </w:rPr>
      </w:pPr>
    </w:p>
    <w:p>
      <w:pPr>
        <w:pStyle w:val="14"/>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8"/>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9"/>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9"/>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9"/>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9"/>
        </w:numPr>
        <w:spacing w:line="400" w:lineRule="exact"/>
        <w:rPr>
          <w:rFonts w:ascii="宋体" w:hAnsi="宋体"/>
          <w:sz w:val="24"/>
        </w:rPr>
      </w:pPr>
      <w:r>
        <w:rPr>
          <w:rFonts w:hint="eastAsia" w:ascii="宋体" w:hAnsi="宋体"/>
          <w:sz w:val="24"/>
        </w:rPr>
        <w:t>我方理解贵方不一定接受最低报价。</w:t>
      </w:r>
    </w:p>
    <w:p>
      <w:pPr>
        <w:numPr>
          <w:ilvl w:val="0"/>
          <w:numId w:val="9"/>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9"/>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9"/>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0"/>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9"/>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9"/>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F50FAD-2AC8-4613-9AE6-A3B4EED736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CF6514A-CCB6-43C0-8C66-8596DBF0F24D}"/>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6224B62B-D6D4-463A-B4BB-51C1EE0713C3}"/>
  </w:font>
  <w:font w:name="楷体_GB2312">
    <w:panose1 w:val="02010609030101010101"/>
    <w:charset w:val="86"/>
    <w:family w:val="modern"/>
    <w:pitch w:val="default"/>
    <w:sig w:usb0="00000001" w:usb1="080E0000" w:usb2="00000000" w:usb3="00000000" w:csb0="00040000" w:csb1="00000000"/>
    <w:embedRegular r:id="rId4" w:fontKey="{FE37FF9F-D16B-4B56-A9DA-0BF22FC4D7E1}"/>
  </w:font>
  <w:font w:name="楷体">
    <w:panose1 w:val="02010609060101010101"/>
    <w:charset w:val="86"/>
    <w:family w:val="auto"/>
    <w:pitch w:val="default"/>
    <w:sig w:usb0="800002BF" w:usb1="38CF7CFA" w:usb2="00000016" w:usb3="00000000" w:csb0="00040001" w:csb1="00000000"/>
    <w:embedRegular r:id="rId5" w:fontKey="{24C92178-4266-4E29-AC6F-B0A07589736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u w:val="single"/>
      </w:rPr>
    </w:pP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4"/>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NotTrackMove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6D662BE"/>
    <w:rsid w:val="07654F6A"/>
    <w:rsid w:val="079E325C"/>
    <w:rsid w:val="0A2F4D76"/>
    <w:rsid w:val="0A8E5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790202A"/>
    <w:rsid w:val="18DC1D83"/>
    <w:rsid w:val="18DD33E1"/>
    <w:rsid w:val="18EE0C00"/>
    <w:rsid w:val="1AE42B15"/>
    <w:rsid w:val="1CF3291F"/>
    <w:rsid w:val="203B7B38"/>
    <w:rsid w:val="20BC39CA"/>
    <w:rsid w:val="213E5304"/>
    <w:rsid w:val="21E00F42"/>
    <w:rsid w:val="2452573A"/>
    <w:rsid w:val="245F6E0F"/>
    <w:rsid w:val="24905418"/>
    <w:rsid w:val="25E40FA1"/>
    <w:rsid w:val="263B5217"/>
    <w:rsid w:val="27192484"/>
    <w:rsid w:val="27C423D8"/>
    <w:rsid w:val="28E13EA5"/>
    <w:rsid w:val="291150CE"/>
    <w:rsid w:val="2E2429AD"/>
    <w:rsid w:val="2E7F096C"/>
    <w:rsid w:val="2E950643"/>
    <w:rsid w:val="2FA06D13"/>
    <w:rsid w:val="305B2BFC"/>
    <w:rsid w:val="311763F2"/>
    <w:rsid w:val="31412FE0"/>
    <w:rsid w:val="31C20389"/>
    <w:rsid w:val="3237724D"/>
    <w:rsid w:val="328865F4"/>
    <w:rsid w:val="32C61B83"/>
    <w:rsid w:val="342755E8"/>
    <w:rsid w:val="344B05CF"/>
    <w:rsid w:val="34683033"/>
    <w:rsid w:val="35B77661"/>
    <w:rsid w:val="36583023"/>
    <w:rsid w:val="3713274F"/>
    <w:rsid w:val="39A6093D"/>
    <w:rsid w:val="3BF75747"/>
    <w:rsid w:val="3D832EB5"/>
    <w:rsid w:val="3EB43B95"/>
    <w:rsid w:val="3F0535D6"/>
    <w:rsid w:val="401A05CF"/>
    <w:rsid w:val="402E23C3"/>
    <w:rsid w:val="40652603"/>
    <w:rsid w:val="42532A81"/>
    <w:rsid w:val="442F0A64"/>
    <w:rsid w:val="44FE771E"/>
    <w:rsid w:val="453D2E2E"/>
    <w:rsid w:val="455B5F6E"/>
    <w:rsid w:val="4678338B"/>
    <w:rsid w:val="476B2D91"/>
    <w:rsid w:val="48833F13"/>
    <w:rsid w:val="49074577"/>
    <w:rsid w:val="495A0EC9"/>
    <w:rsid w:val="496E3BEE"/>
    <w:rsid w:val="4ADD6003"/>
    <w:rsid w:val="4BEB2A35"/>
    <w:rsid w:val="4C8D3147"/>
    <w:rsid w:val="4C9204F0"/>
    <w:rsid w:val="4DBA5FA6"/>
    <w:rsid w:val="4DD5065C"/>
    <w:rsid w:val="4FC21359"/>
    <w:rsid w:val="5044484B"/>
    <w:rsid w:val="507A5425"/>
    <w:rsid w:val="50C30629"/>
    <w:rsid w:val="51577DD1"/>
    <w:rsid w:val="51AB09AF"/>
    <w:rsid w:val="51E92603"/>
    <w:rsid w:val="520732F2"/>
    <w:rsid w:val="531269D1"/>
    <w:rsid w:val="54B4589B"/>
    <w:rsid w:val="55B90436"/>
    <w:rsid w:val="57434CFA"/>
    <w:rsid w:val="58C16059"/>
    <w:rsid w:val="5A165665"/>
    <w:rsid w:val="5A965CB3"/>
    <w:rsid w:val="5AC57D66"/>
    <w:rsid w:val="5C097FBF"/>
    <w:rsid w:val="5C837B0E"/>
    <w:rsid w:val="5CFE645C"/>
    <w:rsid w:val="5D901B4E"/>
    <w:rsid w:val="5DCB7EB6"/>
    <w:rsid w:val="5EB743B6"/>
    <w:rsid w:val="6194517C"/>
    <w:rsid w:val="62437726"/>
    <w:rsid w:val="628F0A4F"/>
    <w:rsid w:val="6296560A"/>
    <w:rsid w:val="62D60C04"/>
    <w:rsid w:val="62DB6DB3"/>
    <w:rsid w:val="63065FF8"/>
    <w:rsid w:val="63291E9F"/>
    <w:rsid w:val="63550335"/>
    <w:rsid w:val="63E11347"/>
    <w:rsid w:val="68742FE5"/>
    <w:rsid w:val="68C74D2A"/>
    <w:rsid w:val="697C1D6F"/>
    <w:rsid w:val="6A80153E"/>
    <w:rsid w:val="6B935FA3"/>
    <w:rsid w:val="6C97799E"/>
    <w:rsid w:val="6EE34C38"/>
    <w:rsid w:val="6F544E68"/>
    <w:rsid w:val="70392DEE"/>
    <w:rsid w:val="71493231"/>
    <w:rsid w:val="719242C5"/>
    <w:rsid w:val="72B62304"/>
    <w:rsid w:val="742D0AEA"/>
    <w:rsid w:val="74AB0B6C"/>
    <w:rsid w:val="750157C1"/>
    <w:rsid w:val="77F228DE"/>
    <w:rsid w:val="78851ED1"/>
    <w:rsid w:val="79C61CFF"/>
    <w:rsid w:val="7A1671BE"/>
    <w:rsid w:val="7DBD7DE5"/>
    <w:rsid w:val="7E740121"/>
    <w:rsid w:val="7ECF3B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line="720" w:lineRule="exact"/>
      <w:jc w:val="center"/>
      <w:outlineLvl w:val="0"/>
    </w:pPr>
    <w:rPr>
      <w:b/>
      <w:bCs/>
      <w:kern w:val="44"/>
      <w:sz w:val="44"/>
      <w:szCs w:val="44"/>
    </w:rPr>
  </w:style>
  <w:style w:type="paragraph" w:styleId="4">
    <w:name w:val="heading 2"/>
    <w:basedOn w:val="1"/>
    <w:next w:val="1"/>
    <w:link w:val="48"/>
    <w:qFormat/>
    <w:uiPriority w:val="0"/>
    <w:pPr>
      <w:keepNext/>
      <w:keepLines/>
      <w:spacing w:before="260" w:after="260" w:line="416" w:lineRule="auto"/>
      <w:outlineLvl w:val="1"/>
    </w:pPr>
    <w:rPr>
      <w:rFonts w:ascii="Arial" w:hAnsi="Arial"/>
      <w:b/>
      <w:bCs/>
      <w:kern w:val="0"/>
      <w:sz w:val="28"/>
      <w:szCs w:val="32"/>
    </w:rPr>
  </w:style>
  <w:style w:type="paragraph" w:styleId="5">
    <w:name w:val="heading 3"/>
    <w:basedOn w:val="1"/>
    <w:next w:val="1"/>
    <w:link w:val="52"/>
    <w:qFormat/>
    <w:uiPriority w:val="0"/>
    <w:pPr>
      <w:keepNext/>
      <w:keepLines/>
      <w:spacing w:before="260" w:after="260" w:line="416" w:lineRule="auto"/>
      <w:outlineLvl w:val="2"/>
    </w:pPr>
    <w:rPr>
      <w:b/>
      <w:bCs/>
      <w:kern w:val="0"/>
      <w:sz w:val="24"/>
      <w:szCs w:val="32"/>
    </w:rPr>
  </w:style>
  <w:style w:type="paragraph" w:styleId="6">
    <w:name w:val="heading 4"/>
    <w:basedOn w:val="1"/>
    <w:next w:val="1"/>
    <w:link w:val="57"/>
    <w:qFormat/>
    <w:uiPriority w:val="9"/>
    <w:pPr>
      <w:keepNext/>
      <w:keepLines/>
      <w:spacing w:before="280" w:after="290" w:line="376" w:lineRule="auto"/>
      <w:outlineLvl w:val="3"/>
    </w:pPr>
    <w:rPr>
      <w:rFonts w:ascii="Cambria" w:hAnsi="Cambria"/>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autoSpaceDE w:val="0"/>
      <w:autoSpaceDN w:val="0"/>
      <w:ind w:left="490"/>
      <w:jc w:val="left"/>
    </w:pPr>
    <w:rPr>
      <w:rFonts w:cs="宋体"/>
      <w:kern w:val="0"/>
      <w:sz w:val="19"/>
      <w:szCs w:val="19"/>
      <w:lang w:eastAsia="en-US"/>
    </w:rPr>
  </w:style>
  <w:style w:type="paragraph" w:styleId="7">
    <w:name w:val="Normal Indent"/>
    <w:basedOn w:val="1"/>
    <w:link w:val="47"/>
    <w:qFormat/>
    <w:uiPriority w:val="0"/>
    <w:pPr>
      <w:ind w:firstLine="420"/>
    </w:pPr>
    <w:rPr>
      <w:rFonts w:ascii="Calibri" w:hAnsi="Calibri"/>
      <w:kern w:val="0"/>
      <w:sz w:val="20"/>
      <w:szCs w:val="20"/>
    </w:rPr>
  </w:style>
  <w:style w:type="paragraph" w:styleId="8">
    <w:name w:val="Document Map"/>
    <w:basedOn w:val="1"/>
    <w:link w:val="62"/>
    <w:semiHidden/>
    <w:qFormat/>
    <w:uiPriority w:val="0"/>
    <w:pPr>
      <w:shd w:val="clear" w:color="auto" w:fill="000080"/>
    </w:pPr>
    <w:rPr>
      <w:kern w:val="0"/>
      <w:sz w:val="20"/>
    </w:rPr>
  </w:style>
  <w:style w:type="paragraph" w:styleId="9">
    <w:name w:val="annotation text"/>
    <w:basedOn w:val="1"/>
    <w:next w:val="10"/>
    <w:link w:val="65"/>
    <w:qFormat/>
    <w:uiPriority w:val="0"/>
    <w:pPr>
      <w:spacing w:line="280" w:lineRule="exact"/>
      <w:jc w:val="left"/>
    </w:pPr>
    <w:rPr>
      <w:sz w:val="24"/>
    </w:rPr>
  </w:style>
  <w:style w:type="paragraph" w:styleId="10">
    <w:name w:val="Balloon Text"/>
    <w:basedOn w:val="1"/>
    <w:link w:val="41"/>
    <w:semiHidden/>
    <w:qFormat/>
    <w:uiPriority w:val="0"/>
    <w:pPr>
      <w:adjustRightInd w:val="0"/>
      <w:snapToGrid w:val="0"/>
    </w:pPr>
    <w:rPr>
      <w:sz w:val="28"/>
      <w:szCs w:val="18"/>
    </w:rPr>
  </w:style>
  <w:style w:type="paragraph" w:styleId="11">
    <w:name w:val="Body Text Indent"/>
    <w:basedOn w:val="1"/>
    <w:link w:val="55"/>
    <w:qFormat/>
    <w:uiPriority w:val="0"/>
    <w:pPr>
      <w:ind w:firstLine="570"/>
    </w:pPr>
    <w:rPr>
      <w:rFonts w:ascii="宋体" w:hAnsi="宋体"/>
      <w:kern w:val="0"/>
      <w:sz w:val="24"/>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3">
    <w:name w:val="toc 3"/>
    <w:basedOn w:val="1"/>
    <w:next w:val="1"/>
    <w:qFormat/>
    <w:uiPriority w:val="39"/>
    <w:pPr>
      <w:ind w:left="840" w:leftChars="400"/>
    </w:pPr>
  </w:style>
  <w:style w:type="paragraph" w:styleId="14">
    <w:name w:val="Plain Text"/>
    <w:basedOn w:val="1"/>
    <w:link w:val="42"/>
    <w:qFormat/>
    <w:uiPriority w:val="0"/>
    <w:rPr>
      <w:rFonts w:ascii="宋体" w:hAnsi="Courier New"/>
      <w:kern w:val="0"/>
      <w:sz w:val="20"/>
    </w:rPr>
  </w:style>
  <w:style w:type="paragraph" w:styleId="15">
    <w:name w:val="Date"/>
    <w:basedOn w:val="1"/>
    <w:next w:val="1"/>
    <w:link w:val="39"/>
    <w:qFormat/>
    <w:uiPriority w:val="0"/>
    <w:pPr>
      <w:ind w:left="100" w:leftChars="2500"/>
    </w:pPr>
    <w:rPr>
      <w:kern w:val="0"/>
      <w:sz w:val="28"/>
    </w:rPr>
  </w:style>
  <w:style w:type="paragraph" w:styleId="16">
    <w:name w:val="Body Text Indent 2"/>
    <w:basedOn w:val="1"/>
    <w:link w:val="60"/>
    <w:qFormat/>
    <w:uiPriority w:val="0"/>
    <w:pPr>
      <w:spacing w:line="300" w:lineRule="auto"/>
      <w:ind w:firstLine="540" w:firstLineChars="225"/>
    </w:pPr>
    <w:rPr>
      <w:rFonts w:ascii="宋体" w:hAnsi="宋体"/>
      <w:color w:val="000000"/>
      <w:kern w:val="0"/>
      <w:sz w:val="24"/>
    </w:rPr>
  </w:style>
  <w:style w:type="paragraph" w:styleId="17">
    <w:name w:val="footer"/>
    <w:basedOn w:val="1"/>
    <w:link w:val="56"/>
    <w:qFormat/>
    <w:uiPriority w:val="0"/>
    <w:pPr>
      <w:tabs>
        <w:tab w:val="center" w:pos="4153"/>
        <w:tab w:val="right" w:pos="8306"/>
      </w:tabs>
      <w:snapToGrid w:val="0"/>
      <w:jc w:val="left"/>
    </w:pPr>
    <w:rPr>
      <w:kern w:val="0"/>
      <w:sz w:val="18"/>
      <w:szCs w:val="18"/>
    </w:rPr>
  </w:style>
  <w:style w:type="paragraph" w:styleId="18">
    <w:name w:val="header"/>
    <w:basedOn w:val="1"/>
    <w:link w:val="5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9">
    <w:name w:val="toc 1"/>
    <w:basedOn w:val="1"/>
    <w:next w:val="1"/>
    <w:qFormat/>
    <w:uiPriority w:val="39"/>
  </w:style>
  <w:style w:type="paragraph" w:styleId="20">
    <w:name w:val="index heading"/>
    <w:basedOn w:val="1"/>
    <w:next w:val="21"/>
    <w:semiHidden/>
    <w:qFormat/>
    <w:uiPriority w:val="0"/>
    <w:rPr>
      <w:szCs w:val="20"/>
    </w:rPr>
  </w:style>
  <w:style w:type="paragraph" w:styleId="21">
    <w:name w:val="index 1"/>
    <w:basedOn w:val="1"/>
    <w:next w:val="1"/>
    <w:semiHidden/>
    <w:qFormat/>
    <w:uiPriority w:val="0"/>
  </w:style>
  <w:style w:type="paragraph" w:styleId="22">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40"/>
    <w:qFormat/>
    <w:uiPriority w:val="0"/>
    <w:pPr>
      <w:snapToGrid w:val="0"/>
      <w:jc w:val="left"/>
    </w:pPr>
    <w:rPr>
      <w:kern w:val="0"/>
      <w:sz w:val="18"/>
      <w:szCs w:val="18"/>
    </w:rPr>
  </w:style>
  <w:style w:type="paragraph" w:styleId="24">
    <w:name w:val="Body Text Indent 3"/>
    <w:basedOn w:val="1"/>
    <w:link w:val="46"/>
    <w:qFormat/>
    <w:uiPriority w:val="0"/>
    <w:pPr>
      <w:snapToGrid w:val="0"/>
      <w:spacing w:after="120" w:line="360" w:lineRule="auto"/>
      <w:ind w:firstLine="1365"/>
    </w:pPr>
    <w:rPr>
      <w:rFonts w:ascii="宋体"/>
      <w:kern w:val="0"/>
      <w:sz w:val="28"/>
      <w:szCs w:val="20"/>
    </w:rPr>
  </w:style>
  <w:style w:type="paragraph" w:styleId="25">
    <w:name w:val="toc 2"/>
    <w:basedOn w:val="1"/>
    <w:next w:val="1"/>
    <w:qFormat/>
    <w:uiPriority w:val="39"/>
    <w:pPr>
      <w:ind w:left="420" w:leftChars="200"/>
    </w:pPr>
  </w:style>
  <w:style w:type="paragraph" w:styleId="26">
    <w:name w:val="Normal (Web)"/>
    <w:basedOn w:val="1"/>
    <w:qFormat/>
    <w:uiPriority w:val="0"/>
    <w:rPr>
      <w:rFonts w:ascii="Calibri" w:hAnsi="Calibri"/>
      <w:sz w:val="24"/>
      <w:szCs w:val="22"/>
    </w:rPr>
  </w:style>
  <w:style w:type="paragraph" w:styleId="27">
    <w:name w:val="annotation subject"/>
    <w:basedOn w:val="9"/>
    <w:next w:val="9"/>
    <w:link w:val="63"/>
    <w:semiHidden/>
    <w:qFormat/>
    <w:uiPriority w:val="0"/>
    <w:rPr>
      <w:b/>
      <w:bCs/>
      <w:kern w:val="0"/>
      <w:sz w:val="20"/>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Emphasis"/>
    <w:basedOn w:val="30"/>
    <w:qFormat/>
    <w:uiPriority w:val="20"/>
    <w:rPr>
      <w:color w:val="CC0000"/>
    </w:rPr>
  </w:style>
  <w:style w:type="character" w:styleId="35">
    <w:name w:val="Hyperlink"/>
    <w:qFormat/>
    <w:uiPriority w:val="99"/>
    <w:rPr>
      <w:color w:val="0000FF"/>
      <w:u w:val="single"/>
    </w:rPr>
  </w:style>
  <w:style w:type="character" w:styleId="36">
    <w:name w:val="annotation reference"/>
    <w:semiHidden/>
    <w:qFormat/>
    <w:uiPriority w:val="0"/>
    <w:rPr>
      <w:sz w:val="21"/>
      <w:szCs w:val="21"/>
    </w:rPr>
  </w:style>
  <w:style w:type="character" w:styleId="37">
    <w:name w:val="footnote reference"/>
    <w:qFormat/>
    <w:uiPriority w:val="0"/>
    <w:rPr>
      <w:vertAlign w:val="superscript"/>
    </w:rPr>
  </w:style>
  <w:style w:type="character" w:customStyle="1" w:styleId="38">
    <w:name w:val="副标题 Char"/>
    <w:link w:val="22"/>
    <w:qFormat/>
    <w:uiPriority w:val="0"/>
    <w:rPr>
      <w:rFonts w:ascii="Cambria" w:hAnsi="Cambria" w:eastAsia="宋体" w:cs="Times New Roman"/>
      <w:b/>
      <w:bCs/>
      <w:kern w:val="28"/>
      <w:sz w:val="32"/>
      <w:szCs w:val="32"/>
    </w:rPr>
  </w:style>
  <w:style w:type="character" w:customStyle="1" w:styleId="39">
    <w:name w:val="日期 Char"/>
    <w:link w:val="15"/>
    <w:qFormat/>
    <w:uiPriority w:val="0"/>
    <w:rPr>
      <w:rFonts w:ascii="Times New Roman" w:hAnsi="Times New Roman" w:eastAsia="宋体" w:cs="Times New Roman"/>
      <w:sz w:val="28"/>
      <w:szCs w:val="24"/>
    </w:rPr>
  </w:style>
  <w:style w:type="character" w:customStyle="1" w:styleId="40">
    <w:name w:val="脚注文本 Char"/>
    <w:link w:val="23"/>
    <w:qFormat/>
    <w:uiPriority w:val="0"/>
    <w:rPr>
      <w:rFonts w:ascii="Times New Roman" w:hAnsi="Times New Roman" w:eastAsia="宋体" w:cs="Times New Roman"/>
      <w:sz w:val="18"/>
      <w:szCs w:val="18"/>
    </w:rPr>
  </w:style>
  <w:style w:type="character" w:customStyle="1" w:styleId="41">
    <w:name w:val="批注框文本 Char"/>
    <w:link w:val="10"/>
    <w:semiHidden/>
    <w:qFormat/>
    <w:uiPriority w:val="0"/>
    <w:rPr>
      <w:rFonts w:ascii="Times New Roman" w:hAnsi="Times New Roman"/>
      <w:kern w:val="2"/>
      <w:sz w:val="28"/>
      <w:szCs w:val="18"/>
    </w:rPr>
  </w:style>
  <w:style w:type="character" w:customStyle="1" w:styleId="42">
    <w:name w:val="纯文本 Char"/>
    <w:link w:val="14"/>
    <w:qFormat/>
    <w:uiPriority w:val="0"/>
    <w:rPr>
      <w:rFonts w:ascii="宋体" w:hAnsi="Courier New" w:eastAsia="宋体"/>
      <w:szCs w:val="24"/>
    </w:rPr>
  </w:style>
  <w:style w:type="character" w:customStyle="1" w:styleId="43">
    <w:name w:val="列出段落 Char"/>
    <w:link w:val="44"/>
    <w:qFormat/>
    <w:locked/>
    <w:uiPriority w:val="99"/>
    <w:rPr>
      <w:rFonts w:ascii="Times New Roman" w:hAnsi="Times New Roman"/>
      <w:kern w:val="2"/>
      <w:sz w:val="21"/>
      <w:szCs w:val="24"/>
    </w:rPr>
  </w:style>
  <w:style w:type="paragraph" w:customStyle="1" w:styleId="44">
    <w:name w:val="列出段落2"/>
    <w:basedOn w:val="1"/>
    <w:link w:val="43"/>
    <w:qFormat/>
    <w:uiPriority w:val="99"/>
    <w:pPr>
      <w:ind w:firstLine="420" w:firstLineChars="200"/>
    </w:pPr>
  </w:style>
  <w:style w:type="character" w:customStyle="1" w:styleId="45">
    <w:name w:val="纯文本 Char1"/>
    <w:semiHidden/>
    <w:qFormat/>
    <w:uiPriority w:val="99"/>
    <w:rPr>
      <w:rFonts w:ascii="宋体" w:hAnsi="Courier New" w:eastAsia="宋体" w:cs="Courier New"/>
      <w:szCs w:val="21"/>
    </w:rPr>
  </w:style>
  <w:style w:type="character" w:customStyle="1" w:styleId="46">
    <w:name w:val="正文文本缩进 3 Char"/>
    <w:link w:val="24"/>
    <w:qFormat/>
    <w:uiPriority w:val="0"/>
    <w:rPr>
      <w:rFonts w:ascii="宋体" w:hAnsi="Times New Roman" w:eastAsia="宋体" w:cs="Times New Roman"/>
      <w:sz w:val="28"/>
      <w:szCs w:val="20"/>
    </w:rPr>
  </w:style>
  <w:style w:type="character" w:customStyle="1" w:styleId="47">
    <w:name w:val="正文缩进 Char"/>
    <w:link w:val="7"/>
    <w:qFormat/>
    <w:uiPriority w:val="0"/>
    <w:rPr>
      <w:rFonts w:eastAsia="宋体"/>
    </w:rPr>
  </w:style>
  <w:style w:type="character" w:customStyle="1" w:styleId="48">
    <w:name w:val="标题 2 Char"/>
    <w:link w:val="4"/>
    <w:qFormat/>
    <w:uiPriority w:val="0"/>
    <w:rPr>
      <w:rFonts w:ascii="Arial" w:hAnsi="Arial" w:eastAsia="宋体" w:cs="Times New Roman"/>
      <w:b/>
      <w:bCs/>
      <w:sz w:val="28"/>
      <w:szCs w:val="32"/>
    </w:rPr>
  </w:style>
  <w:style w:type="character" w:customStyle="1" w:styleId="49">
    <w:name w:val="页眉1 Char"/>
    <w:link w:val="50"/>
    <w:qFormat/>
    <w:uiPriority w:val="0"/>
    <w:rPr>
      <w:sz w:val="18"/>
      <w:szCs w:val="18"/>
    </w:rPr>
  </w:style>
  <w:style w:type="paragraph" w:customStyle="1" w:styleId="50">
    <w:name w:val="页眉1"/>
    <w:basedOn w:val="18"/>
    <w:link w:val="49"/>
    <w:qFormat/>
    <w:uiPriority w:val="0"/>
    <w:pPr>
      <w:pBdr>
        <w:bottom w:val="none" w:color="auto" w:sz="0" w:space="0"/>
      </w:pBdr>
      <w:jc w:val="both"/>
    </w:pPr>
  </w:style>
  <w:style w:type="character" w:customStyle="1" w:styleId="51">
    <w:name w:val="页眉 Char"/>
    <w:link w:val="18"/>
    <w:qFormat/>
    <w:uiPriority w:val="0"/>
    <w:rPr>
      <w:sz w:val="18"/>
      <w:szCs w:val="18"/>
    </w:rPr>
  </w:style>
  <w:style w:type="character" w:customStyle="1" w:styleId="52">
    <w:name w:val="标题 3 Char"/>
    <w:link w:val="5"/>
    <w:qFormat/>
    <w:uiPriority w:val="0"/>
    <w:rPr>
      <w:rFonts w:ascii="Times New Roman" w:hAnsi="Times New Roman" w:eastAsia="宋体" w:cs="Times New Roman"/>
      <w:b/>
      <w:bCs/>
      <w:sz w:val="24"/>
      <w:szCs w:val="32"/>
    </w:rPr>
  </w:style>
  <w:style w:type="character" w:customStyle="1" w:styleId="53">
    <w:name w:val="h2"/>
    <w:qFormat/>
    <w:uiPriority w:val="0"/>
    <w:rPr>
      <w:color w:val="000000"/>
      <w:sz w:val="24"/>
      <w:szCs w:val="24"/>
    </w:rPr>
  </w:style>
  <w:style w:type="character" w:customStyle="1" w:styleId="54">
    <w:name w:val="unnamed1"/>
    <w:basedOn w:val="30"/>
    <w:qFormat/>
    <w:uiPriority w:val="0"/>
  </w:style>
  <w:style w:type="character" w:customStyle="1" w:styleId="55">
    <w:name w:val="正文文本缩进 Char"/>
    <w:link w:val="11"/>
    <w:qFormat/>
    <w:uiPriority w:val="0"/>
    <w:rPr>
      <w:rFonts w:ascii="宋体" w:hAnsi="宋体" w:eastAsia="宋体" w:cs="Times New Roman"/>
      <w:sz w:val="24"/>
      <w:szCs w:val="24"/>
    </w:rPr>
  </w:style>
  <w:style w:type="character" w:customStyle="1" w:styleId="56">
    <w:name w:val="页脚 Char"/>
    <w:link w:val="17"/>
    <w:qFormat/>
    <w:uiPriority w:val="0"/>
    <w:rPr>
      <w:rFonts w:ascii="Times New Roman" w:hAnsi="Times New Roman" w:eastAsia="宋体" w:cs="Times New Roman"/>
      <w:sz w:val="18"/>
      <w:szCs w:val="18"/>
    </w:rPr>
  </w:style>
  <w:style w:type="character" w:customStyle="1" w:styleId="57">
    <w:name w:val="标题 4 Char"/>
    <w:link w:val="6"/>
    <w:semiHidden/>
    <w:qFormat/>
    <w:uiPriority w:val="9"/>
    <w:rPr>
      <w:rFonts w:ascii="Cambria" w:hAnsi="Cambria" w:eastAsia="宋体" w:cs="Times New Roman"/>
      <w:b/>
      <w:bCs/>
      <w:sz w:val="28"/>
      <w:szCs w:val="28"/>
    </w:rPr>
  </w:style>
  <w:style w:type="character" w:customStyle="1" w:styleId="58">
    <w:name w:val="font101"/>
    <w:qFormat/>
    <w:uiPriority w:val="0"/>
    <w:rPr>
      <w:rFonts w:hint="eastAsia" w:ascii="黑体" w:hAnsi="宋体" w:eastAsia="黑体" w:cs="黑体"/>
      <w:color w:val="000000"/>
      <w:sz w:val="20"/>
      <w:szCs w:val="20"/>
      <w:u w:val="none"/>
    </w:rPr>
  </w:style>
  <w:style w:type="character" w:customStyle="1" w:styleId="59">
    <w:name w:val="标题 1 Char"/>
    <w:link w:val="3"/>
    <w:qFormat/>
    <w:uiPriority w:val="0"/>
    <w:rPr>
      <w:rFonts w:ascii="Times New Roman" w:hAnsi="Times New Roman" w:eastAsia="宋体" w:cs="Times New Roman"/>
      <w:b/>
      <w:bCs/>
      <w:kern w:val="44"/>
      <w:sz w:val="44"/>
      <w:szCs w:val="44"/>
    </w:rPr>
  </w:style>
  <w:style w:type="character" w:customStyle="1" w:styleId="60">
    <w:name w:val="正文文本缩进 2 Char"/>
    <w:link w:val="16"/>
    <w:qFormat/>
    <w:uiPriority w:val="0"/>
    <w:rPr>
      <w:rFonts w:ascii="宋体" w:hAnsi="宋体" w:eastAsia="宋体" w:cs="Times New Roman"/>
      <w:color w:val="000000"/>
      <w:sz w:val="24"/>
      <w:szCs w:val="24"/>
    </w:rPr>
  </w:style>
  <w:style w:type="character" w:customStyle="1" w:styleId="61">
    <w:name w:val="font61"/>
    <w:qFormat/>
    <w:uiPriority w:val="0"/>
    <w:rPr>
      <w:rFonts w:hint="eastAsia" w:ascii="宋体" w:hAnsi="宋体" w:eastAsia="宋体" w:cs="宋体"/>
      <w:color w:val="000000"/>
      <w:sz w:val="20"/>
      <w:szCs w:val="20"/>
      <w:u w:val="none"/>
    </w:rPr>
  </w:style>
  <w:style w:type="character" w:customStyle="1" w:styleId="62">
    <w:name w:val="文档结构图 Char"/>
    <w:link w:val="8"/>
    <w:semiHidden/>
    <w:qFormat/>
    <w:uiPriority w:val="0"/>
    <w:rPr>
      <w:rFonts w:ascii="Times New Roman" w:hAnsi="Times New Roman" w:eastAsia="宋体" w:cs="Times New Roman"/>
      <w:szCs w:val="24"/>
      <w:shd w:val="clear" w:color="auto" w:fill="000080"/>
    </w:rPr>
  </w:style>
  <w:style w:type="character" w:customStyle="1" w:styleId="63">
    <w:name w:val="批注主题 Char"/>
    <w:link w:val="27"/>
    <w:semiHidden/>
    <w:qFormat/>
    <w:uiPriority w:val="0"/>
    <w:rPr>
      <w:rFonts w:ascii="Times New Roman" w:hAnsi="Times New Roman" w:eastAsia="宋体" w:cs="Times New Roman"/>
      <w:b/>
      <w:bCs/>
      <w:szCs w:val="24"/>
    </w:rPr>
  </w:style>
  <w:style w:type="character" w:customStyle="1" w:styleId="64">
    <w:name w:val="页眉 Char1"/>
    <w:semiHidden/>
    <w:qFormat/>
    <w:uiPriority w:val="99"/>
    <w:rPr>
      <w:rFonts w:ascii="Times New Roman" w:hAnsi="Times New Roman" w:eastAsia="宋体" w:cs="Times New Roman"/>
      <w:sz w:val="18"/>
      <w:szCs w:val="18"/>
    </w:rPr>
  </w:style>
  <w:style w:type="character" w:customStyle="1" w:styleId="65">
    <w:name w:val="批注文字 Char"/>
    <w:link w:val="9"/>
    <w:qFormat/>
    <w:uiPriority w:val="0"/>
    <w:rPr>
      <w:rFonts w:ascii="Times New Roman" w:hAnsi="Times New Roman"/>
      <w:kern w:val="2"/>
      <w:sz w:val="24"/>
      <w:szCs w:val="24"/>
    </w:rPr>
  </w:style>
  <w:style w:type="character" w:customStyle="1" w:styleId="66">
    <w:name w:val="apple-converted-space"/>
    <w:qFormat/>
    <w:uiPriority w:val="99"/>
    <w:rPr>
      <w:rFonts w:cs="Times New Roman"/>
    </w:rPr>
  </w:style>
  <w:style w:type="paragraph" w:customStyle="1" w:styleId="67">
    <w:name w:val="1"/>
    <w:basedOn w:val="1"/>
    <w:qFormat/>
    <w:uiPriority w:val="0"/>
    <w:pPr>
      <w:widowControl/>
      <w:spacing w:after="160" w:line="240" w:lineRule="exact"/>
      <w:jc w:val="left"/>
    </w:pPr>
    <w:rPr>
      <w:rFonts w:ascii="Verdana" w:hAnsi="Verdana"/>
      <w:kern w:val="0"/>
      <w:szCs w:val="20"/>
      <w:lang w:eastAsia="en-US"/>
    </w:rPr>
  </w:style>
  <w:style w:type="paragraph" w:customStyle="1" w:styleId="68">
    <w:name w:val="Char Char Char"/>
    <w:basedOn w:val="1"/>
    <w:qFormat/>
    <w:uiPriority w:val="0"/>
    <w:rPr>
      <w:rFonts w:ascii="宋体" w:hAnsi="宋体"/>
      <w:b/>
      <w:sz w:val="28"/>
      <w:szCs w:val="28"/>
    </w:rPr>
  </w:style>
  <w:style w:type="paragraph" w:customStyle="1" w:styleId="69">
    <w:name w:val="Char Char Char Char"/>
    <w:basedOn w:val="1"/>
    <w:qFormat/>
    <w:uiPriority w:val="0"/>
    <w:rPr>
      <w:szCs w:val="20"/>
    </w:rPr>
  </w:style>
  <w:style w:type="paragraph" w:customStyle="1" w:styleId="70">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1">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2">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5">
    <w:name w:val="列出段落1"/>
    <w:basedOn w:val="1"/>
    <w:qFormat/>
    <w:uiPriority w:val="0"/>
    <w:pPr>
      <w:ind w:firstLine="420" w:firstLineChars="200"/>
    </w:pPr>
    <w:rPr>
      <w:rFonts w:ascii="Calibri" w:hAnsi="Calibri"/>
      <w:szCs w:val="21"/>
    </w:rPr>
  </w:style>
  <w:style w:type="paragraph" w:customStyle="1" w:styleId="76">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7">
    <w:name w:val="Char1 Char Char Char"/>
    <w:basedOn w:val="1"/>
    <w:qFormat/>
    <w:uiPriority w:val="0"/>
    <w:pPr>
      <w:ind w:left="420" w:hanging="420"/>
    </w:pPr>
    <w:rPr>
      <w:sz w:val="24"/>
    </w:rPr>
  </w:style>
  <w:style w:type="paragraph" w:customStyle="1" w:styleId="78">
    <w:name w:val="_Style 1"/>
    <w:basedOn w:val="1"/>
    <w:qFormat/>
    <w:uiPriority w:val="99"/>
    <w:pPr>
      <w:ind w:firstLine="420" w:firstLineChars="200"/>
    </w:pPr>
  </w:style>
  <w:style w:type="paragraph" w:customStyle="1" w:styleId="79">
    <w:name w:val="样式2"/>
    <w:basedOn w:val="1"/>
    <w:qFormat/>
    <w:uiPriority w:val="0"/>
    <w:rPr>
      <w:b/>
      <w:sz w:val="24"/>
    </w:rPr>
  </w:style>
  <w:style w:type="paragraph" w:customStyle="1" w:styleId="80">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图"/>
    <w:basedOn w:val="1"/>
    <w:link w:val="93"/>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2">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3">
    <w:name w:val="Char"/>
    <w:basedOn w:val="1"/>
    <w:qFormat/>
    <w:uiPriority w:val="0"/>
    <w:pPr>
      <w:tabs>
        <w:tab w:val="left" w:pos="0"/>
      </w:tabs>
      <w:ind w:left="964" w:hanging="964"/>
    </w:pPr>
    <w:rPr>
      <w:sz w:val="24"/>
    </w:rPr>
  </w:style>
  <w:style w:type="paragraph" w:styleId="84">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5">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hwyang"/>
    <w:basedOn w:val="1"/>
    <w:qFormat/>
    <w:uiPriority w:val="0"/>
    <w:pPr>
      <w:widowControl/>
      <w:spacing w:line="360" w:lineRule="auto"/>
      <w:ind w:firstLine="480" w:firstLineChars="200"/>
      <w:jc w:val="left"/>
    </w:pPr>
    <w:rPr>
      <w:kern w:val="0"/>
      <w:sz w:val="24"/>
      <w:szCs w:val="20"/>
    </w:rPr>
  </w:style>
  <w:style w:type="paragraph" w:customStyle="1" w:styleId="89">
    <w:name w:val="列表段落1"/>
    <w:basedOn w:val="1"/>
    <w:qFormat/>
    <w:uiPriority w:val="0"/>
    <w:pPr>
      <w:ind w:firstLine="420" w:firstLineChars="200"/>
    </w:pPr>
    <w:rPr>
      <w:rFonts w:ascii="Calibri" w:hAnsi="Calibri"/>
      <w:szCs w:val="21"/>
    </w:rPr>
  </w:style>
  <w:style w:type="paragraph" w:customStyle="1" w:styleId="90">
    <w:name w:val="正文_0_1"/>
    <w:basedOn w:val="1"/>
    <w:qFormat/>
    <w:uiPriority w:val="0"/>
    <w:pPr>
      <w:spacing w:line="360" w:lineRule="auto"/>
    </w:pPr>
    <w:rPr>
      <w:rFonts w:ascii="Calibri" w:hAnsi="Calibri" w:eastAsia="仿宋" w:cs="宋体"/>
      <w:sz w:val="28"/>
      <w:szCs w:val="28"/>
    </w:rPr>
  </w:style>
  <w:style w:type="paragraph" w:customStyle="1" w:styleId="91">
    <w:name w:val="￥正文"/>
    <w:basedOn w:val="1"/>
    <w:qFormat/>
    <w:uiPriority w:val="0"/>
    <w:pPr>
      <w:spacing w:line="360" w:lineRule="auto"/>
    </w:pPr>
    <w:rPr>
      <w:rFonts w:ascii="Calibri" w:hAnsi="Calibri"/>
      <w:kern w:val="0"/>
      <w:sz w:val="24"/>
      <w:szCs w:val="20"/>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图 Char Char"/>
    <w:link w:val="81"/>
    <w:qFormat/>
    <w:locked/>
    <w:uiPriority w:val="0"/>
    <w:rPr>
      <w:rFonts w:ascii="Times New Roman" w:hAnsi="Times New Roman"/>
      <w:snapToGrid w:val="0"/>
      <w:spacing w:val="20"/>
      <w:sz w:val="24"/>
    </w:rPr>
  </w:style>
  <w:style w:type="paragraph" w:customStyle="1" w:styleId="94">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5">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7">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List Paragraph Char"/>
    <w:qFormat/>
    <w:locked/>
    <w:uiPriority w:val="99"/>
    <w:rPr>
      <w:kern w:val="0"/>
      <w:sz w:val="20"/>
      <w:szCs w:val="20"/>
    </w:rPr>
  </w:style>
  <w:style w:type="paragraph" w:customStyle="1" w:styleId="99">
    <w:name w:val="_正文段落"/>
    <w:basedOn w:val="1"/>
    <w:link w:val="100"/>
    <w:qFormat/>
    <w:uiPriority w:val="0"/>
    <w:pPr>
      <w:spacing w:beforeLines="15" w:afterLines="15" w:line="360" w:lineRule="auto"/>
      <w:ind w:firstLine="200" w:firstLineChars="200"/>
    </w:pPr>
    <w:rPr>
      <w:sz w:val="24"/>
    </w:rPr>
  </w:style>
  <w:style w:type="character" w:customStyle="1" w:styleId="100">
    <w:name w:val="_正文段落 Char"/>
    <w:link w:val="99"/>
    <w:qFormat/>
    <w:uiPriority w:val="0"/>
    <w:rPr>
      <w:rFonts w:ascii="Times New Roman" w:hAnsi="Times New Roman"/>
      <w:kern w:val="2"/>
      <w:sz w:val="24"/>
      <w:szCs w:val="24"/>
    </w:rPr>
  </w:style>
  <w:style w:type="paragraph" w:customStyle="1" w:styleId="101">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29</Pages>
  <Words>7997</Words>
  <Characters>8263</Characters>
  <Lines>72</Lines>
  <Paragraphs>20</Paragraphs>
  <TotalTime>1</TotalTime>
  <ScaleCrop>false</ScaleCrop>
  <LinksUpToDate>false</LinksUpToDate>
  <CharactersWithSpaces>8830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吴薇</cp:lastModifiedBy>
  <cp:lastPrinted>2022-01-21T10:35:00Z</cp:lastPrinted>
  <dcterms:modified xsi:type="dcterms:W3CDTF">2023-10-13T07:31:28Z</dcterms:modified>
  <cp:revision>942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B6F306688BD94E0C802639192DE4781B_13</vt:lpwstr>
  </property>
</Properties>
</file>