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b/>
          <w:sz w:val="36"/>
        </w:rPr>
        <w:t xml:space="preserve">图书馆消防设施维保的采购计划及相关服务 </w:t>
      </w:r>
    </w:p>
    <w:p>
      <w:pPr>
        <w:spacing w:line="760" w:lineRule="exact"/>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eastAsia="zh-CN"/>
        </w:rPr>
        <w:t>保卫处</w:t>
      </w:r>
      <w:r>
        <w:rPr>
          <w:rFonts w:hint="eastAsia" w:ascii="宋体" w:hAnsi="宋体"/>
          <w:b/>
          <w:sz w:val="36"/>
          <w:u w:val="single"/>
        </w:rPr>
        <w:t xml:space="preserve">                    </w:t>
      </w:r>
    </w:p>
    <w:p>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2023年7月17日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bookmarkStart w:id="31" w:name="_GoBack"/>
      <w:bookmarkEnd w:id="31"/>
    </w:p>
    <w:p>
      <w:pPr>
        <w:jc w:val="center"/>
        <w:rPr>
          <w:b/>
          <w:sz w:val="52"/>
          <w:szCs w:val="52"/>
        </w:rPr>
      </w:pPr>
      <w:r>
        <w:rPr>
          <w:rFonts w:ascii="宋体" w:hAnsi="宋体"/>
          <w:sz w:val="32"/>
          <w:szCs w:val="32"/>
        </w:rPr>
        <w:br w:type="column"/>
      </w:r>
      <w:r>
        <w:rPr>
          <w:rFonts w:hint="eastAsia"/>
          <w:sz w:val="52"/>
          <w:szCs w:val="52"/>
        </w:rPr>
        <w:t>目录</w:t>
      </w:r>
    </w:p>
    <w:p>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color w:val="FF0000"/>
          <w:sz w:val="28"/>
          <w:szCs w:val="28"/>
        </w:rPr>
      </w:pPr>
      <w:r>
        <w:rPr>
          <w:rFonts w:hint="eastAsia" w:ascii="宋体" w:hAnsi="宋体"/>
          <w:color w:val="FF0000"/>
          <w:sz w:val="28"/>
          <w:szCs w:val="28"/>
          <w:lang w:eastAsia="zh-CN"/>
        </w:rPr>
        <w:t>校本部</w:t>
      </w:r>
      <w:r>
        <w:rPr>
          <w:rFonts w:hint="eastAsia" w:ascii="宋体" w:hAnsi="宋体"/>
          <w:color w:val="FF0000"/>
          <w:sz w:val="28"/>
          <w:szCs w:val="28"/>
        </w:rPr>
        <w:t>图书馆消防设施维保的采购计划及相关服务</w:t>
      </w:r>
      <w:r>
        <w:rPr>
          <w:rFonts w:hint="eastAsia" w:ascii="宋体" w:hAnsi="宋体"/>
          <w:color w:val="FF0000"/>
          <w:sz w:val="28"/>
          <w:szCs w:val="28"/>
          <w:lang w:eastAsia="zh-CN"/>
        </w:rPr>
        <w:t>，</w:t>
      </w:r>
      <w:r>
        <w:rPr>
          <w:rFonts w:hint="eastAsia" w:ascii="宋体" w:hAnsi="宋体"/>
          <w:color w:val="FF0000"/>
          <w:sz w:val="28"/>
          <w:szCs w:val="28"/>
        </w:rPr>
        <w:t>本项目采购预算控制价</w:t>
      </w:r>
      <w:r>
        <w:rPr>
          <w:rFonts w:hint="eastAsia" w:ascii="宋体" w:hAnsi="宋体"/>
          <w:color w:val="FF0000"/>
          <w:sz w:val="28"/>
          <w:szCs w:val="28"/>
          <w:lang w:val="en-US" w:eastAsia="zh-CN"/>
        </w:rPr>
        <w:t>6</w:t>
      </w:r>
      <w:r>
        <w:rPr>
          <w:rFonts w:hint="eastAsia" w:ascii="宋体" w:hAnsi="宋体"/>
          <w:color w:val="FF0000"/>
          <w:sz w:val="28"/>
          <w:szCs w:val="28"/>
        </w:rPr>
        <w:t>万元，</w:t>
      </w:r>
      <w:r>
        <w:rPr>
          <w:rFonts w:ascii="宋体" w:hAnsi="宋体"/>
          <w:color w:val="FF0000"/>
          <w:sz w:val="28"/>
          <w:szCs w:val="28"/>
        </w:rPr>
        <w:t>资金已到位。</w:t>
      </w:r>
    </w:p>
    <w:p>
      <w:pPr>
        <w:pStyle w:val="3"/>
        <w:spacing w:line="560" w:lineRule="exact"/>
      </w:pPr>
      <w:bookmarkStart w:id="7" w:name="_Toc28829"/>
      <w:bookmarkStart w:id="8" w:name="_Toc508103352"/>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pStyle w:val="84"/>
        <w:numPr>
          <w:ilvl w:val="0"/>
          <w:numId w:val="0"/>
        </w:numPr>
        <w:tabs>
          <w:tab w:val="left" w:pos="1724"/>
        </w:tabs>
        <w:spacing w:before="158" w:after="0" w:line="364" w:lineRule="auto"/>
        <w:ind w:right="652" w:rightChars="0" w:firstLine="480" w:firstLineChars="200"/>
        <w:jc w:val="both"/>
        <w:rPr>
          <w:sz w:val="24"/>
        </w:rPr>
      </w:pPr>
      <w:bookmarkStart w:id="13" w:name="_Toc508103354"/>
      <w:bookmarkStart w:id="14" w:name="_Toc60236701"/>
      <w:bookmarkStart w:id="15" w:name="_Toc20873"/>
      <w:r>
        <w:rPr>
          <w:rFonts w:hint="eastAsia"/>
          <w:sz w:val="24"/>
          <w:lang w:val="en-US" w:eastAsia="zh-CN"/>
        </w:rPr>
        <w:t>1.</w:t>
      </w:r>
      <w:r>
        <w:rPr>
          <w:rFonts w:hint="eastAsia"/>
          <w:sz w:val="24"/>
          <w:lang w:eastAsia="zh-CN"/>
        </w:rPr>
        <w:t>报价人</w:t>
      </w:r>
      <w:r>
        <w:rPr>
          <w:sz w:val="24"/>
        </w:rPr>
        <w:t>必须是在中华人民共和国境内注册的具有独立承担民事责任能力的法</w:t>
      </w:r>
      <w:r>
        <w:rPr>
          <w:spacing w:val="-3"/>
          <w:sz w:val="24"/>
        </w:rPr>
        <w:t>人或其他组织，投标时提交企业法人《营业执照》副本或事业单位法人证书或法人登记证书复印件，并加盖</w:t>
      </w:r>
      <w:r>
        <w:rPr>
          <w:rFonts w:hint="eastAsia"/>
          <w:spacing w:val="-3"/>
          <w:sz w:val="24"/>
          <w:lang w:eastAsia="zh-CN"/>
        </w:rPr>
        <w:t>报价人</w:t>
      </w:r>
      <w:r>
        <w:rPr>
          <w:spacing w:val="-3"/>
          <w:sz w:val="24"/>
        </w:rPr>
        <w:t>公章。</w:t>
      </w:r>
    </w:p>
    <w:p>
      <w:pPr>
        <w:spacing w:after="0" w:line="364" w:lineRule="auto"/>
        <w:jc w:val="both"/>
        <w:rPr>
          <w:sz w:val="24"/>
        </w:rPr>
        <w:sectPr>
          <w:footerReference r:id="rId3" w:type="default"/>
          <w:pgSz w:w="11900" w:h="16820"/>
          <w:pgMar w:top="0" w:right="760" w:bottom="1200" w:left="780" w:header="720" w:footer="1011" w:gutter="0"/>
          <w:pgNumType w:start="1"/>
          <w:cols w:space="720" w:num="1"/>
        </w:sectPr>
      </w:pPr>
    </w:p>
    <w:p>
      <w:pPr>
        <w:pStyle w:val="84"/>
        <w:numPr>
          <w:ilvl w:val="0"/>
          <w:numId w:val="0"/>
        </w:numPr>
        <w:tabs>
          <w:tab w:val="left" w:pos="1724"/>
        </w:tabs>
        <w:spacing w:before="54" w:after="0" w:line="364" w:lineRule="auto"/>
        <w:ind w:right="518" w:rightChars="0"/>
        <w:jc w:val="left"/>
        <w:rPr>
          <w:sz w:val="24"/>
        </w:rPr>
      </w:pPr>
      <w:r>
        <w:rPr>
          <w:rFonts w:hint="eastAsia"/>
          <w:sz w:val="24"/>
          <w:lang w:val="en-US" w:eastAsia="zh-CN"/>
        </w:rPr>
        <w:t>2.</w:t>
      </w:r>
      <w:r>
        <w:rPr>
          <w:rFonts w:hint="eastAsia"/>
          <w:sz w:val="24"/>
          <w:lang w:eastAsia="zh-CN"/>
        </w:rPr>
        <w:t>报价人</w:t>
      </w:r>
      <w:r>
        <w:rPr>
          <w:sz w:val="24"/>
        </w:rPr>
        <w:t>必须具备中华人民共和国消防技术服务机构资质证书，消防服务机构</w:t>
      </w:r>
      <w:r>
        <w:rPr>
          <w:spacing w:val="3"/>
          <w:sz w:val="24"/>
        </w:rPr>
        <w:t>类型为消防设施维护保养检测或在广东社会消防技术服务平台消防设施维保单位</w:t>
      </w:r>
      <w:r>
        <w:rPr>
          <w:spacing w:val="-3"/>
          <w:sz w:val="24"/>
        </w:rPr>
        <w:t>中注册的维保单位，</w:t>
      </w:r>
    </w:p>
    <w:p>
      <w:pPr>
        <w:pStyle w:val="84"/>
        <w:numPr>
          <w:ilvl w:val="0"/>
          <w:numId w:val="0"/>
        </w:numPr>
        <w:tabs>
          <w:tab w:val="left" w:pos="1724"/>
        </w:tabs>
        <w:spacing w:before="54" w:after="0" w:line="364" w:lineRule="auto"/>
        <w:ind w:right="518" w:rightChars="0"/>
        <w:jc w:val="left"/>
        <w:rPr>
          <w:sz w:val="24"/>
        </w:rPr>
      </w:pPr>
      <w:r>
        <w:rPr>
          <w:rFonts w:hint="eastAsia"/>
          <w:spacing w:val="-3"/>
          <w:sz w:val="24"/>
          <w:lang w:val="en-US" w:eastAsia="zh-CN"/>
        </w:rPr>
        <w:t>3.</w:t>
      </w:r>
      <w:r>
        <w:rPr>
          <w:spacing w:val="-3"/>
          <w:sz w:val="24"/>
        </w:rPr>
        <w:t>具有消防施工和设计资质等级为贰级或以上，</w:t>
      </w:r>
      <w:r>
        <w:rPr>
          <w:rFonts w:hint="eastAsia"/>
          <w:spacing w:val="-3"/>
          <w:sz w:val="24"/>
          <w:lang w:eastAsia="zh-CN"/>
        </w:rPr>
        <w:t>并</w:t>
      </w:r>
      <w:r>
        <w:rPr>
          <w:spacing w:val="-3"/>
          <w:sz w:val="24"/>
        </w:rPr>
        <w:t>提供</w:t>
      </w:r>
      <w:r>
        <w:rPr>
          <w:sz w:val="24"/>
        </w:rPr>
        <w:t>2</w:t>
      </w:r>
      <w:r>
        <w:rPr>
          <w:spacing w:val="-3"/>
          <w:sz w:val="24"/>
        </w:rPr>
        <w:t>名注册一级消防工程师证书，在投标时提供有效证书复印件，并加盖</w:t>
      </w:r>
      <w:r>
        <w:rPr>
          <w:rFonts w:hint="eastAsia"/>
          <w:spacing w:val="-3"/>
          <w:sz w:val="24"/>
          <w:lang w:eastAsia="zh-CN"/>
        </w:rPr>
        <w:t>报价人</w:t>
      </w:r>
      <w:r>
        <w:rPr>
          <w:spacing w:val="-3"/>
          <w:sz w:val="24"/>
        </w:rPr>
        <w:t>公章。</w:t>
      </w:r>
    </w:p>
    <w:p>
      <w:pPr>
        <w:pStyle w:val="84"/>
        <w:numPr>
          <w:ilvl w:val="0"/>
          <w:numId w:val="0"/>
        </w:numPr>
        <w:tabs>
          <w:tab w:val="left" w:pos="1724"/>
        </w:tabs>
        <w:spacing w:before="54" w:after="0" w:line="364" w:lineRule="auto"/>
        <w:ind w:right="518" w:rightChars="0"/>
        <w:jc w:val="left"/>
        <w:rPr>
          <w:color w:val="C00000"/>
          <w:sz w:val="24"/>
        </w:rPr>
      </w:pPr>
      <w:r>
        <w:rPr>
          <w:rFonts w:hint="eastAsia"/>
          <w:spacing w:val="-3"/>
          <w:sz w:val="24"/>
          <w:lang w:val="en-US" w:eastAsia="zh-CN"/>
        </w:rPr>
        <w:t>4.</w:t>
      </w:r>
      <w:r>
        <w:rPr>
          <w:rFonts w:hint="eastAsia"/>
          <w:spacing w:val="-3"/>
          <w:sz w:val="24"/>
          <w:lang w:eastAsia="zh-CN"/>
        </w:rPr>
        <w:t>提供报价人</w:t>
      </w:r>
      <w:r>
        <w:rPr>
          <w:spacing w:val="-3"/>
          <w:sz w:val="24"/>
        </w:rPr>
        <w:t>公司</w:t>
      </w:r>
      <w:r>
        <w:rPr>
          <w:rFonts w:hint="eastAsia"/>
          <w:spacing w:val="-3"/>
          <w:sz w:val="24"/>
          <w:lang w:eastAsia="zh-CN"/>
        </w:rPr>
        <w:t>有效期内的《安全生产许可证》。</w:t>
      </w:r>
    </w:p>
    <w:p>
      <w:pPr>
        <w:pStyle w:val="84"/>
        <w:numPr>
          <w:ilvl w:val="0"/>
          <w:numId w:val="0"/>
        </w:numPr>
        <w:tabs>
          <w:tab w:val="left" w:pos="1720"/>
        </w:tabs>
        <w:spacing w:before="101" w:after="0" w:line="364" w:lineRule="auto"/>
        <w:ind w:right="525" w:rightChars="0"/>
        <w:jc w:val="left"/>
        <w:rPr>
          <w:sz w:val="24"/>
        </w:rPr>
      </w:pPr>
      <w:r>
        <w:rPr>
          <w:rFonts w:hint="eastAsia"/>
          <w:sz w:val="24"/>
          <w:lang w:val="en-US" w:eastAsia="zh-CN"/>
        </w:rPr>
        <w:t>5.报价人</w:t>
      </w:r>
      <w:r>
        <w:rPr>
          <w:sz w:val="24"/>
        </w:rPr>
        <w:t xml:space="preserve">未被列入“信用中国”网站(www.creditchina.gov.cn)“记录失信被执行人或重大税收违法案件当事人名单或政府采购严重违法失信行为”记录名单； </w:t>
      </w:r>
      <w:r>
        <w:rPr>
          <w:spacing w:val="-3"/>
          <w:sz w:val="24"/>
        </w:rPr>
        <w:t>不处于中国政府采购网(</w:t>
      </w:r>
      <w:r>
        <w:rPr>
          <w:spacing w:val="-1"/>
          <w:sz w:val="24"/>
        </w:rPr>
        <w:t>www.ccgp.gov.cn</w:t>
      </w:r>
      <w:r>
        <w:rPr>
          <w:spacing w:val="-3"/>
          <w:sz w:val="24"/>
        </w:rPr>
        <w:t>)“政府采购严重违法失信行为信息记录” 中的禁止参加政府采购活动期间。如相关失信记录已失效，</w:t>
      </w:r>
      <w:r>
        <w:rPr>
          <w:rFonts w:hint="eastAsia"/>
          <w:spacing w:val="-3"/>
          <w:sz w:val="24"/>
          <w:lang w:eastAsia="zh-CN"/>
        </w:rPr>
        <w:t>报价人</w:t>
      </w:r>
      <w:r>
        <w:rPr>
          <w:spacing w:val="-3"/>
          <w:sz w:val="24"/>
        </w:rPr>
        <w:t>在投标时须提供相关证明资料。</w:t>
      </w:r>
    </w:p>
    <w:p>
      <w:pPr>
        <w:pStyle w:val="3"/>
        <w:spacing w:line="560" w:lineRule="exact"/>
      </w:pPr>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60236702"/>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left="559" w:leftChars="266" w:firstLine="0" w:firstLineChars="0"/>
        <w:rPr>
          <w:rFonts w:ascii="宋体" w:hAnsi="宋体"/>
          <w:color w:val="FF0000"/>
          <w:sz w:val="28"/>
          <w:szCs w:val="28"/>
        </w:rPr>
      </w:pPr>
      <w:r>
        <w:rPr>
          <w:rFonts w:ascii="宋体" w:hAnsi="宋体"/>
          <w:color w:val="FF0000"/>
          <w:sz w:val="28"/>
          <w:szCs w:val="28"/>
        </w:rPr>
        <w:t>1</w:t>
      </w:r>
      <w:r>
        <w:rPr>
          <w:rFonts w:hint="eastAsia" w:ascii="宋体" w:hAnsi="宋体"/>
          <w:color w:val="FF0000"/>
          <w:sz w:val="28"/>
          <w:szCs w:val="28"/>
        </w:rPr>
        <w:t>.报价人必须制作报价文件。报价文件以电子形式提交，应当加密。2.报价文件一经送达，无论报价人是否推荐成交，其报价文件不予退还。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eastAsia="zh-CN"/>
        </w:rPr>
        <w:t>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18"/>
                <w:szCs w:val="18"/>
              </w:rPr>
            </w:pPr>
            <w:r>
              <w:rPr>
                <w:rFonts w:hint="eastAsia" w:ascii="宋体" w:hAnsi="宋体"/>
                <w:b/>
                <w:sz w:val="18"/>
                <w:szCs w:val="18"/>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18"/>
                <w:szCs w:val="18"/>
              </w:rPr>
            </w:pPr>
            <w:r>
              <w:rPr>
                <w:rFonts w:hint="eastAsia" w:ascii="宋体" w:hAnsi="宋体"/>
                <w:b/>
                <w:sz w:val="18"/>
                <w:szCs w:val="18"/>
              </w:rPr>
              <w:t>序号</w:t>
            </w:r>
          </w:p>
        </w:tc>
        <w:tc>
          <w:tcPr>
            <w:tcW w:w="6557" w:type="dxa"/>
            <w:noWrap/>
            <w:vAlign w:val="center"/>
          </w:tcPr>
          <w:p>
            <w:pPr>
              <w:spacing w:line="400" w:lineRule="exact"/>
              <w:jc w:val="center"/>
              <w:rPr>
                <w:rFonts w:ascii="宋体" w:hAnsi="宋体"/>
                <w:b/>
                <w:sz w:val="18"/>
                <w:szCs w:val="18"/>
              </w:rPr>
            </w:pPr>
            <w:r>
              <w:rPr>
                <w:rFonts w:hint="eastAsia" w:ascii="宋体" w:hAnsi="宋体"/>
                <w:b/>
                <w:sz w:val="18"/>
                <w:szCs w:val="18"/>
              </w:rPr>
              <w:t>审查内容及标准</w:t>
            </w:r>
          </w:p>
        </w:tc>
        <w:tc>
          <w:tcPr>
            <w:tcW w:w="1465" w:type="dxa"/>
            <w:noWrap/>
            <w:vAlign w:val="center"/>
          </w:tcPr>
          <w:p>
            <w:pPr>
              <w:spacing w:line="400" w:lineRule="exact"/>
              <w:jc w:val="center"/>
              <w:rPr>
                <w:rFonts w:ascii="宋体" w:hAnsi="宋体"/>
                <w:b/>
                <w:sz w:val="18"/>
                <w:szCs w:val="18"/>
              </w:rPr>
            </w:pPr>
            <w:r>
              <w:rPr>
                <w:rFonts w:hint="eastAsia" w:ascii="宋体" w:hAnsi="宋体"/>
                <w:b/>
                <w:sz w:val="18"/>
                <w:szCs w:val="1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18"/>
                <w:szCs w:val="18"/>
              </w:rPr>
            </w:pPr>
            <w:r>
              <w:rPr>
                <w:rFonts w:hint="eastAsia" w:ascii="宋体" w:hAnsi="宋体"/>
                <w:sz w:val="18"/>
                <w:szCs w:val="1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18"/>
                <w:szCs w:val="18"/>
              </w:rPr>
            </w:pPr>
            <w:r>
              <w:rPr>
                <w:rFonts w:hint="eastAsia" w:ascii="宋体" w:hAnsi="宋体"/>
                <w:sz w:val="18"/>
                <w:szCs w:val="1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18"/>
                <w:szCs w:val="18"/>
              </w:rPr>
            </w:pPr>
            <w:r>
              <w:rPr>
                <w:rFonts w:hint="eastAsia" w:ascii="宋体" w:hAnsi="宋体"/>
                <w:b/>
                <w:sz w:val="18"/>
                <w:szCs w:val="18"/>
              </w:rPr>
              <w:t>3</w:t>
            </w:r>
          </w:p>
        </w:tc>
        <w:tc>
          <w:tcPr>
            <w:tcW w:w="6557" w:type="dxa"/>
            <w:noWrap/>
            <w:vAlign w:val="center"/>
          </w:tcPr>
          <w:p>
            <w:pPr>
              <w:spacing w:line="400" w:lineRule="exact"/>
              <w:rPr>
                <w:rFonts w:hint="default" w:ascii="宋体" w:hAnsi="宋体" w:eastAsia="宋体"/>
                <w:sz w:val="18"/>
                <w:szCs w:val="18"/>
                <w:lang w:val="en-US" w:eastAsia="zh-CN"/>
              </w:rPr>
            </w:pPr>
            <w:r>
              <w:rPr>
                <w:rFonts w:hint="eastAsia" w:ascii="宋体" w:hAnsi="宋体"/>
                <w:sz w:val="18"/>
                <w:szCs w:val="18"/>
                <w:lang w:eastAsia="zh-CN"/>
              </w:rPr>
              <w:t>其他资质条件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18"/>
                <w:szCs w:val="1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18"/>
                <w:szCs w:val="18"/>
              </w:rPr>
            </w:pPr>
            <w:r>
              <w:rPr>
                <w:rFonts w:hint="eastAsia" w:ascii="宋体" w:hAnsi="宋体"/>
                <w:b/>
                <w:sz w:val="18"/>
                <w:szCs w:val="18"/>
              </w:rPr>
              <w:t>序号</w:t>
            </w:r>
          </w:p>
        </w:tc>
        <w:tc>
          <w:tcPr>
            <w:tcW w:w="6557" w:type="dxa"/>
            <w:noWrap/>
            <w:vAlign w:val="center"/>
          </w:tcPr>
          <w:p>
            <w:pPr>
              <w:spacing w:line="400" w:lineRule="exact"/>
              <w:jc w:val="center"/>
              <w:rPr>
                <w:rFonts w:ascii="宋体" w:hAnsi="宋体"/>
                <w:b/>
                <w:sz w:val="18"/>
                <w:szCs w:val="18"/>
              </w:rPr>
            </w:pPr>
            <w:r>
              <w:rPr>
                <w:rFonts w:hint="eastAsia" w:ascii="宋体" w:hAnsi="宋体"/>
                <w:b/>
                <w:sz w:val="18"/>
                <w:szCs w:val="18"/>
              </w:rPr>
              <w:t>审查内容及标准</w:t>
            </w:r>
          </w:p>
        </w:tc>
        <w:tc>
          <w:tcPr>
            <w:tcW w:w="1465" w:type="dxa"/>
            <w:noWrap/>
            <w:vAlign w:val="center"/>
          </w:tcPr>
          <w:p>
            <w:pPr>
              <w:spacing w:line="400" w:lineRule="exact"/>
              <w:jc w:val="center"/>
              <w:rPr>
                <w:rFonts w:ascii="宋体" w:hAnsi="宋体"/>
                <w:b/>
                <w:sz w:val="18"/>
                <w:szCs w:val="18"/>
              </w:rPr>
            </w:pPr>
            <w:r>
              <w:rPr>
                <w:rFonts w:hint="eastAsia" w:ascii="宋体" w:hAnsi="宋体"/>
                <w:b/>
                <w:sz w:val="18"/>
                <w:szCs w:val="1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18"/>
                <w:szCs w:val="18"/>
              </w:rPr>
            </w:pPr>
            <w:r>
              <w:rPr>
                <w:rFonts w:hint="eastAsia" w:ascii="宋体" w:hAnsi="宋体"/>
                <w:b/>
                <w:sz w:val="18"/>
                <w:szCs w:val="18"/>
              </w:rPr>
              <w:t>1</w:t>
            </w:r>
          </w:p>
        </w:tc>
        <w:tc>
          <w:tcPr>
            <w:tcW w:w="6557" w:type="dxa"/>
            <w:noWrap/>
            <w:vAlign w:val="center"/>
          </w:tcPr>
          <w:p>
            <w:pPr>
              <w:spacing w:line="400" w:lineRule="exact"/>
              <w:rPr>
                <w:rFonts w:ascii="宋体" w:hAnsi="宋体"/>
                <w:sz w:val="18"/>
                <w:szCs w:val="18"/>
              </w:rPr>
            </w:pPr>
            <w:r>
              <w:rPr>
                <w:rFonts w:hint="eastAsia" w:ascii="宋体" w:hAnsi="宋体"/>
                <w:sz w:val="18"/>
                <w:szCs w:val="18"/>
              </w:rPr>
              <w:t>提供法人或负责人资格证明；授权委托书</w:t>
            </w:r>
          </w:p>
        </w:tc>
        <w:tc>
          <w:tcPr>
            <w:tcW w:w="1465" w:type="dxa"/>
            <w:noWrap/>
            <w:vAlign w:val="center"/>
          </w:tcPr>
          <w:p>
            <w:pPr>
              <w:spacing w:line="400" w:lineRule="exact"/>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18"/>
                <w:szCs w:val="18"/>
              </w:rPr>
            </w:pPr>
            <w:r>
              <w:rPr>
                <w:rFonts w:hint="eastAsia" w:ascii="宋体" w:hAnsi="宋体"/>
                <w:b/>
                <w:sz w:val="18"/>
                <w:szCs w:val="18"/>
              </w:rPr>
              <w:t>2</w:t>
            </w:r>
          </w:p>
        </w:tc>
        <w:tc>
          <w:tcPr>
            <w:tcW w:w="6557" w:type="dxa"/>
            <w:noWrap/>
            <w:vAlign w:val="center"/>
          </w:tcPr>
          <w:p>
            <w:pPr>
              <w:spacing w:line="400" w:lineRule="exact"/>
              <w:rPr>
                <w:rFonts w:ascii="宋体" w:hAnsi="宋体"/>
                <w:sz w:val="18"/>
                <w:szCs w:val="18"/>
              </w:rPr>
            </w:pPr>
            <w:r>
              <w:rPr>
                <w:rFonts w:hint="eastAsia" w:ascii="宋体" w:hAnsi="宋体"/>
                <w:sz w:val="18"/>
                <w:szCs w:val="18"/>
              </w:rPr>
              <w:t>提供报价一览表</w:t>
            </w:r>
          </w:p>
        </w:tc>
        <w:tc>
          <w:tcPr>
            <w:tcW w:w="1465" w:type="dxa"/>
            <w:noWrap/>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18"/>
                <w:szCs w:val="18"/>
              </w:rPr>
            </w:pPr>
            <w:r>
              <w:rPr>
                <w:rFonts w:hint="eastAsia" w:ascii="宋体" w:hAnsi="宋体"/>
                <w:b/>
                <w:sz w:val="18"/>
                <w:szCs w:val="18"/>
              </w:rPr>
              <w:t>3</w:t>
            </w:r>
          </w:p>
        </w:tc>
        <w:tc>
          <w:tcPr>
            <w:tcW w:w="6557" w:type="dxa"/>
            <w:noWrap/>
            <w:vAlign w:val="center"/>
          </w:tcPr>
          <w:p>
            <w:pPr>
              <w:spacing w:line="400" w:lineRule="exact"/>
              <w:rPr>
                <w:rFonts w:ascii="宋体" w:hAnsi="宋体"/>
                <w:sz w:val="18"/>
                <w:szCs w:val="18"/>
              </w:rPr>
            </w:pPr>
            <w:r>
              <w:rPr>
                <w:rFonts w:hint="eastAsia" w:ascii="宋体" w:hAnsi="宋体"/>
                <w:sz w:val="18"/>
                <w:szCs w:val="18"/>
              </w:rPr>
              <w:t>提供报价明细表</w:t>
            </w:r>
          </w:p>
        </w:tc>
        <w:tc>
          <w:tcPr>
            <w:tcW w:w="1465" w:type="dxa"/>
            <w:noWrap/>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18"/>
                <w:szCs w:val="18"/>
              </w:rPr>
            </w:pPr>
            <w:r>
              <w:rPr>
                <w:rFonts w:hint="eastAsia" w:ascii="宋体" w:hAnsi="宋体"/>
                <w:b/>
                <w:sz w:val="18"/>
                <w:szCs w:val="18"/>
              </w:rPr>
              <w:t>4</w:t>
            </w:r>
          </w:p>
        </w:tc>
        <w:tc>
          <w:tcPr>
            <w:tcW w:w="6557" w:type="dxa"/>
            <w:noWrap/>
            <w:vAlign w:val="center"/>
          </w:tcPr>
          <w:p>
            <w:pPr>
              <w:spacing w:line="400" w:lineRule="exact"/>
              <w:rPr>
                <w:rFonts w:ascii="宋体" w:hAnsi="宋体"/>
                <w:sz w:val="18"/>
                <w:szCs w:val="18"/>
              </w:rPr>
            </w:pPr>
            <w:r>
              <w:rPr>
                <w:rFonts w:hint="eastAsia" w:ascii="宋体" w:hAnsi="宋体"/>
                <w:sz w:val="18"/>
                <w:szCs w:val="18"/>
              </w:rPr>
              <w:t>提供“技术（服务）条款响应表”和“商务条款响应表”</w:t>
            </w:r>
          </w:p>
        </w:tc>
        <w:tc>
          <w:tcPr>
            <w:tcW w:w="1465" w:type="dxa"/>
            <w:noWrap/>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18"/>
                <w:szCs w:val="18"/>
              </w:rPr>
            </w:pPr>
            <w:r>
              <w:rPr>
                <w:rFonts w:hint="eastAsia" w:ascii="宋体" w:hAnsi="宋体"/>
                <w:b/>
                <w:sz w:val="18"/>
                <w:szCs w:val="18"/>
              </w:rPr>
              <w:t>5</w:t>
            </w:r>
          </w:p>
        </w:tc>
        <w:tc>
          <w:tcPr>
            <w:tcW w:w="6557" w:type="dxa"/>
            <w:noWrap/>
            <w:vAlign w:val="center"/>
          </w:tcPr>
          <w:p>
            <w:pPr>
              <w:spacing w:line="400" w:lineRule="exact"/>
              <w:rPr>
                <w:rFonts w:ascii="宋体" w:hAnsi="宋体"/>
                <w:sz w:val="18"/>
                <w:szCs w:val="18"/>
              </w:rPr>
            </w:pPr>
            <w:r>
              <w:rPr>
                <w:rFonts w:hint="eastAsia" w:ascii="宋体" w:hAnsi="宋体"/>
                <w:sz w:val="18"/>
                <w:szCs w:val="18"/>
              </w:rPr>
              <w:t>提供报价人声明及承诺</w:t>
            </w:r>
          </w:p>
        </w:tc>
        <w:tc>
          <w:tcPr>
            <w:tcW w:w="1465" w:type="dxa"/>
            <w:noWrap/>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6" w:type="dxa"/>
            <w:noWrap/>
            <w:vAlign w:val="center"/>
          </w:tcPr>
          <w:p>
            <w:pPr>
              <w:spacing w:beforeLines="25" w:afterLines="25" w:line="400" w:lineRule="exact"/>
              <w:jc w:val="center"/>
              <w:rPr>
                <w:rFonts w:ascii="宋体" w:hAnsi="宋体"/>
                <w:b/>
                <w:sz w:val="18"/>
                <w:szCs w:val="18"/>
              </w:rPr>
            </w:pPr>
            <w:r>
              <w:rPr>
                <w:rFonts w:hint="eastAsia" w:ascii="宋体" w:hAnsi="宋体"/>
                <w:b/>
                <w:sz w:val="18"/>
                <w:szCs w:val="18"/>
              </w:rPr>
              <w:t>6</w:t>
            </w:r>
          </w:p>
        </w:tc>
        <w:tc>
          <w:tcPr>
            <w:tcW w:w="6557" w:type="dxa"/>
            <w:noWrap/>
            <w:vAlign w:val="center"/>
          </w:tcPr>
          <w:p>
            <w:pPr>
              <w:spacing w:line="400" w:lineRule="exact"/>
              <w:rPr>
                <w:rFonts w:ascii="宋体" w:hAnsi="宋体"/>
                <w:sz w:val="18"/>
                <w:szCs w:val="18"/>
              </w:rPr>
            </w:pPr>
            <w:r>
              <w:rPr>
                <w:rFonts w:hint="eastAsia" w:ascii="宋体" w:hAnsi="宋体"/>
                <w:sz w:val="18"/>
                <w:szCs w:val="18"/>
              </w:rPr>
              <w:t>未出现采购单位无法接受的附加条件</w:t>
            </w:r>
          </w:p>
        </w:tc>
        <w:tc>
          <w:tcPr>
            <w:tcW w:w="1465" w:type="dxa"/>
            <w:noWrap/>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18"/>
                <w:szCs w:val="18"/>
              </w:rPr>
            </w:pPr>
            <w:r>
              <w:rPr>
                <w:rFonts w:hint="eastAsia" w:ascii="宋体" w:hAnsi="宋体"/>
                <w:b/>
                <w:sz w:val="18"/>
                <w:szCs w:val="18"/>
              </w:rPr>
              <w:t>结论</w:t>
            </w:r>
          </w:p>
        </w:tc>
        <w:tc>
          <w:tcPr>
            <w:tcW w:w="1465" w:type="dxa"/>
            <w:noWrap/>
            <w:vAlign w:val="center"/>
          </w:tcPr>
          <w:p>
            <w:pPr>
              <w:spacing w:line="400" w:lineRule="exact"/>
              <w:rPr>
                <w:rFonts w:ascii="宋体" w:hAnsi="宋体"/>
                <w:sz w:val="18"/>
                <w:szCs w:val="1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color w:val="FF0000"/>
          <w:sz w:val="28"/>
          <w:szCs w:val="28"/>
        </w:rPr>
      </w:pPr>
      <w:r>
        <w:rPr>
          <w:rFonts w:hint="eastAsia" w:ascii="宋体" w:hAnsi="宋体"/>
          <w:b/>
          <w:color w:val="FF0000"/>
          <w:sz w:val="28"/>
          <w:szCs w:val="28"/>
        </w:rPr>
        <w:t>附表2：</w:t>
      </w:r>
    </w:p>
    <w:p>
      <w:pPr>
        <w:spacing w:line="560" w:lineRule="exact"/>
        <w:ind w:firstLine="562" w:firstLineChars="200"/>
        <w:jc w:val="center"/>
        <w:rPr>
          <w:rFonts w:ascii="宋体" w:hAnsi="宋体"/>
          <w:b/>
          <w:bCs/>
          <w:color w:val="FF0000"/>
          <w:sz w:val="28"/>
          <w:szCs w:val="28"/>
        </w:rPr>
      </w:pPr>
      <w:r>
        <w:rPr>
          <w:rFonts w:hint="eastAsia" w:ascii="宋体" w:hAnsi="宋体"/>
          <w:b/>
          <w:bCs/>
          <w:color w:val="FF0000"/>
          <w:sz w:val="28"/>
          <w:szCs w:val="28"/>
        </w:rPr>
        <w:t>详细评审表（评分因素仅做参考，采购单位根据实际情况编制）</w:t>
      </w:r>
    </w:p>
    <w:tbl>
      <w:tblPr>
        <w:tblStyle w:val="28"/>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FF0000"/>
                <w:sz w:val="28"/>
                <w:szCs w:val="28"/>
              </w:rPr>
            </w:pPr>
            <w:r>
              <w:rPr>
                <w:b/>
                <w:color w:val="FF0000"/>
                <w:sz w:val="28"/>
                <w:szCs w:val="28"/>
              </w:rPr>
              <w:t>评审因素</w:t>
            </w:r>
          </w:p>
        </w:tc>
        <w:tc>
          <w:tcPr>
            <w:tcW w:w="1080" w:type="dxa"/>
            <w:noWrap/>
            <w:vAlign w:val="center"/>
          </w:tcPr>
          <w:p>
            <w:pPr>
              <w:jc w:val="center"/>
              <w:rPr>
                <w:b/>
                <w:color w:val="FF0000"/>
                <w:sz w:val="28"/>
                <w:szCs w:val="28"/>
              </w:rPr>
            </w:pPr>
            <w:r>
              <w:rPr>
                <w:rFonts w:hint="eastAsia"/>
                <w:b/>
                <w:color w:val="FF0000"/>
                <w:sz w:val="28"/>
                <w:szCs w:val="28"/>
              </w:rPr>
              <w:t>权重</w:t>
            </w:r>
          </w:p>
        </w:tc>
        <w:tc>
          <w:tcPr>
            <w:tcW w:w="5400" w:type="dxa"/>
            <w:noWrap/>
            <w:vAlign w:val="center"/>
          </w:tcPr>
          <w:p>
            <w:pPr>
              <w:jc w:val="center"/>
              <w:rPr>
                <w:b/>
                <w:color w:val="FF0000"/>
                <w:sz w:val="28"/>
                <w:szCs w:val="28"/>
              </w:rPr>
            </w:pPr>
            <w:r>
              <w:rPr>
                <w:b/>
                <w:color w:val="FF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FF0000"/>
              </w:rPr>
            </w:pPr>
            <w:r>
              <w:rPr>
                <w:rFonts w:hint="eastAsia"/>
                <w:color w:val="FF0000"/>
              </w:rPr>
              <w:t>报价</w:t>
            </w:r>
          </w:p>
          <w:p>
            <w:pPr>
              <w:jc w:val="center"/>
              <w:rPr>
                <w:color w:val="FF0000"/>
              </w:rPr>
            </w:pPr>
            <w:r>
              <w:rPr>
                <w:rFonts w:hint="eastAsia"/>
                <w:color w:val="FF0000"/>
              </w:rPr>
              <w:t>（采用低价优先法）</w:t>
            </w:r>
          </w:p>
        </w:tc>
        <w:tc>
          <w:tcPr>
            <w:tcW w:w="1080" w:type="dxa"/>
            <w:noWrap/>
            <w:vAlign w:val="center"/>
          </w:tcPr>
          <w:p>
            <w:pPr>
              <w:jc w:val="center"/>
              <w:rPr>
                <w:rFonts w:hint="default" w:eastAsia="宋体"/>
                <w:color w:val="FF0000"/>
                <w:lang w:val="en-US" w:eastAsia="zh-CN"/>
              </w:rPr>
            </w:pPr>
            <w:r>
              <w:rPr>
                <w:rFonts w:hint="eastAsia"/>
                <w:color w:val="FF0000"/>
                <w:lang w:val="en-US" w:eastAsia="zh-CN"/>
              </w:rPr>
              <w:t>100</w:t>
            </w:r>
          </w:p>
        </w:tc>
        <w:tc>
          <w:tcPr>
            <w:tcW w:w="5400" w:type="dxa"/>
            <w:noWrap/>
            <w:vAlign w:val="center"/>
          </w:tcPr>
          <w:p>
            <w:pPr>
              <w:ind w:left="-2" w:leftChars="-1"/>
              <w:rPr>
                <w:color w:val="FF0000"/>
              </w:rPr>
            </w:pPr>
            <w:r>
              <w:rPr>
                <w:color w:val="FF0000"/>
              </w:rPr>
              <w:t>满足</w:t>
            </w:r>
            <w:r>
              <w:rPr>
                <w:rFonts w:hint="eastAsia"/>
                <w:color w:val="FF0000"/>
              </w:rPr>
              <w:t>采购书</w:t>
            </w:r>
            <w:r>
              <w:rPr>
                <w:color w:val="FF0000"/>
              </w:rPr>
              <w:t>要求且</w:t>
            </w:r>
            <w:r>
              <w:rPr>
                <w:rFonts w:hint="eastAsia"/>
                <w:color w:val="FF0000"/>
              </w:rPr>
              <w:t>最终报价</w:t>
            </w:r>
            <w:r>
              <w:rPr>
                <w:color w:val="FF0000"/>
              </w:rPr>
              <w:t>最低为评标</w:t>
            </w:r>
            <w:r>
              <w:rPr>
                <w:rFonts w:hint="eastAsia"/>
                <w:color w:val="FF0000"/>
                <w:lang w:eastAsia="zh-CN"/>
              </w:rPr>
              <w:t>标准</w:t>
            </w:r>
            <w:r>
              <w:rPr>
                <w:color w:val="FF0000"/>
              </w:rPr>
              <w:t>，其价格分为满分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FF0000"/>
              </w:rPr>
            </w:pPr>
            <w:r>
              <w:rPr>
                <w:color w:val="FF0000"/>
              </w:rPr>
              <w:t>技术</w:t>
            </w:r>
            <w:r>
              <w:rPr>
                <w:rFonts w:hint="eastAsia"/>
                <w:color w:val="FF0000"/>
              </w:rPr>
              <w:t>因素</w:t>
            </w: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FF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FF0000"/>
              </w:rPr>
            </w:pPr>
          </w:p>
        </w:tc>
        <w:tc>
          <w:tcPr>
            <w:tcW w:w="1980" w:type="dxa"/>
            <w:noWrap/>
            <w:vAlign w:val="center"/>
          </w:tcPr>
          <w:p>
            <w:pPr>
              <w:jc w:val="center"/>
              <w:rPr>
                <w:color w:val="FF0000"/>
              </w:rPr>
            </w:pP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FF0000"/>
              </w:rPr>
            </w:pPr>
            <w:r>
              <w:rPr>
                <w:rFonts w:hint="eastAsia"/>
                <w:color w:val="FF0000"/>
              </w:rPr>
              <w:t>商务因素</w:t>
            </w: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FF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FF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FF0000"/>
              </w:rPr>
            </w:pPr>
          </w:p>
        </w:tc>
        <w:tc>
          <w:tcPr>
            <w:tcW w:w="1980" w:type="dxa"/>
            <w:noWrap/>
            <w:vAlign w:val="center"/>
          </w:tcPr>
          <w:p>
            <w:pPr>
              <w:jc w:val="center"/>
              <w:rPr>
                <w:color w:val="FF0000"/>
              </w:rPr>
            </w:pPr>
            <w:r>
              <w:rPr>
                <w:color w:val="FF0000"/>
              </w:rPr>
              <w:t>……</w:t>
            </w: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color w:val="FF0000"/>
          <w:sz w:val="28"/>
          <w:szCs w:val="28"/>
        </w:rPr>
      </w:pPr>
      <w:r>
        <w:rPr>
          <w:rFonts w:hint="eastAsia" w:asciiTheme="minorEastAsia" w:hAnsiTheme="minorEastAsia" w:eastAsiaTheme="minorEastAsia"/>
          <w:color w:val="FF0000"/>
          <w:sz w:val="24"/>
        </w:rPr>
        <w:t>注：各评委按规定的范围内进行量化打分，并统计总分。</w:t>
      </w:r>
    </w:p>
    <w:p>
      <w:pPr>
        <w:pStyle w:val="2"/>
      </w:pPr>
      <w:bookmarkStart w:id="23" w:name="_Toc60236707"/>
      <w:r>
        <w:rPr>
          <w:rFonts w:hint="eastAsia"/>
          <w:color w:val="FF0000"/>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57"/>
        <w:gridCol w:w="5779"/>
        <w:gridCol w:w="2778"/>
        <w:gridCol w:w="11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tabs>
                <w:tab w:val="left" w:pos="1366"/>
              </w:tabs>
              <w:spacing w:line="560" w:lineRule="exact"/>
              <w:jc w:val="left"/>
              <w:rPr>
                <w:rFonts w:hint="eastAsia" w:ascii="宋体" w:hAnsi="宋体" w:eastAsia="宋体" w:cs="宋体"/>
                <w:sz w:val="24"/>
                <w:lang w:eastAsia="zh-CN"/>
              </w:rPr>
            </w:pPr>
            <w:r>
              <w:rPr>
                <w:rFonts w:hint="eastAsia" w:ascii="宋体" w:hAnsi="宋体" w:cs="宋体"/>
                <w:sz w:val="24"/>
                <w:lang w:eastAsia="zh-CN"/>
              </w:rPr>
              <w:tab/>
            </w:r>
            <w:r>
              <w:rPr>
                <w:rFonts w:hint="eastAsia" w:ascii="宋体" w:hAnsi="宋体" w:cs="宋体"/>
                <w:sz w:val="24"/>
                <w:lang w:eastAsia="zh-CN"/>
              </w:rPr>
              <w:t>按询价文件要求，对2023年 7 月至2024 年 7 月（共 12 个月）的校本部图书馆所有的消防设施设备实施维保，其中包括火灾自动报警系统、气体灭火系统、消防联动控制系统、消防水泵系统、防排烟系统、消防水炮系统等并每月提交维保报告。</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保卫处</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pStyle w:val="84"/>
        <w:numPr>
          <w:ilvl w:val="0"/>
          <w:numId w:val="0"/>
        </w:numPr>
        <w:tabs>
          <w:tab w:val="left" w:pos="1724"/>
        </w:tabs>
        <w:spacing w:before="161" w:after="0" w:line="364" w:lineRule="auto"/>
        <w:ind w:left="1116" w:leftChars="0" w:right="652" w:rightChars="0" w:firstLine="560" w:firstLineChars="200"/>
        <w:jc w:val="both"/>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（1）</w:t>
      </w:r>
      <w:r>
        <w:rPr>
          <w:rFonts w:hint="eastAsia" w:ascii="宋体" w:hAnsi="宋体" w:eastAsia="宋体" w:cs="Times New Roman"/>
          <w:kern w:val="2"/>
          <w:sz w:val="28"/>
          <w:szCs w:val="28"/>
          <w:lang w:val="en-US" w:eastAsia="zh-CN" w:bidi="ar-SA"/>
        </w:rPr>
        <w:t>中标人在维保期内应保证合同规定的维保消防设施符合国家公安部、建设部等相关部门关于消防安全管理的有关法律、法规，安全可靠、无故障运行，并能通过消防部门及其他相关部门的各项相关检查。</w:t>
      </w:r>
    </w:p>
    <w:p>
      <w:pPr>
        <w:pStyle w:val="84"/>
        <w:numPr>
          <w:ilvl w:val="0"/>
          <w:numId w:val="0"/>
        </w:numPr>
        <w:tabs>
          <w:tab w:val="left" w:pos="1724"/>
        </w:tabs>
        <w:spacing w:before="0" w:after="0" w:line="364" w:lineRule="auto"/>
        <w:ind w:left="1116" w:leftChars="0" w:right="652" w:rightChars="0" w:firstLine="560" w:firstLineChars="200"/>
        <w:jc w:val="both"/>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（2）</w:t>
      </w:r>
      <w:r>
        <w:rPr>
          <w:rFonts w:hint="eastAsia" w:ascii="宋体" w:hAnsi="宋体" w:eastAsia="宋体" w:cs="Times New Roman"/>
          <w:kern w:val="2"/>
          <w:sz w:val="28"/>
          <w:szCs w:val="28"/>
          <w:lang w:val="en-US" w:eastAsia="zh-CN" w:bidi="ar-SA"/>
        </w:rPr>
        <w:t>中标人对维修保养范围内的消防系统每月进行一次巡检测试，每次检测完毕后填写《自动消防系统维修保养项目检测报告》，并经采购人代表签章认可（检测报告一式两份，采购人、中标人双方各存一份）。</w:t>
      </w:r>
    </w:p>
    <w:p>
      <w:pPr>
        <w:pStyle w:val="84"/>
        <w:numPr>
          <w:ilvl w:val="0"/>
          <w:numId w:val="0"/>
        </w:numPr>
        <w:tabs>
          <w:tab w:val="left" w:pos="1724"/>
        </w:tabs>
        <w:spacing w:before="0" w:after="0" w:line="364" w:lineRule="auto"/>
        <w:ind w:left="1116" w:leftChars="0" w:right="652" w:rightChars="0" w:firstLine="560" w:firstLineChars="200"/>
        <w:jc w:val="both"/>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（3）</w:t>
      </w:r>
      <w:r>
        <w:rPr>
          <w:rFonts w:hint="eastAsia" w:ascii="宋体" w:hAnsi="宋体" w:eastAsia="宋体" w:cs="Times New Roman"/>
          <w:kern w:val="2"/>
          <w:sz w:val="28"/>
          <w:szCs w:val="28"/>
          <w:lang w:val="en-US" w:eastAsia="zh-CN" w:bidi="ar-SA"/>
        </w:rPr>
        <w:t>在维保期内消防系统运行出现故障，若不能即时修复而影响消防系统正常运作，应书面通知采购人，同时中标人应做好相应的临时补救措施，派技术员到现场排除故障（并以书面记录存查）。中标人对维保范围内的消防系统负维修保养责任。在维修保养过程中提供技术服务，按《自动消防系统维修保养项目检测报告》负责对消防设备进行认真的测试、维护，确保采购人消防系统安全可靠、无故障运行。</w:t>
      </w:r>
    </w:p>
    <w:p>
      <w:pPr>
        <w:pStyle w:val="84"/>
        <w:numPr>
          <w:ilvl w:val="0"/>
          <w:numId w:val="0"/>
        </w:numPr>
        <w:tabs>
          <w:tab w:val="left" w:pos="1724"/>
        </w:tabs>
        <w:spacing w:before="161" w:after="0" w:line="364" w:lineRule="auto"/>
        <w:ind w:left="1116" w:leftChars="0" w:right="652" w:rightChars="0" w:firstLine="560" w:firstLineChars="200"/>
        <w:jc w:val="both"/>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（4）</w:t>
      </w:r>
      <w:r>
        <w:rPr>
          <w:rFonts w:hint="eastAsia" w:ascii="宋体" w:hAnsi="宋体" w:eastAsia="宋体" w:cs="Times New Roman"/>
          <w:kern w:val="2"/>
          <w:sz w:val="28"/>
          <w:szCs w:val="28"/>
          <w:lang w:val="en-US" w:eastAsia="zh-CN" w:bidi="ar-SA"/>
        </w:rPr>
        <w:t>维保期内，消防设备出现问题，单价 300 元以内的常备消防器材及消防设备零部件品由中标人承担（投标时提供清单），超出 300 元的由采购人承担。</w:t>
      </w:r>
    </w:p>
    <w:p>
      <w:pPr>
        <w:pStyle w:val="84"/>
        <w:numPr>
          <w:ilvl w:val="0"/>
          <w:numId w:val="0"/>
        </w:numPr>
        <w:tabs>
          <w:tab w:val="left" w:pos="1724"/>
        </w:tabs>
        <w:spacing w:before="161" w:after="0" w:line="364" w:lineRule="auto"/>
        <w:ind w:left="1116" w:leftChars="0" w:right="652" w:rightChars="0" w:firstLine="560" w:firstLineChars="200"/>
        <w:jc w:val="both"/>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（5）</w:t>
      </w:r>
      <w:r>
        <w:rPr>
          <w:rFonts w:hint="eastAsia" w:ascii="宋体" w:hAnsi="宋体" w:eastAsia="宋体" w:cs="Times New Roman"/>
          <w:kern w:val="2"/>
          <w:sz w:val="28"/>
          <w:szCs w:val="28"/>
          <w:lang w:val="en-US" w:eastAsia="zh-CN" w:bidi="ar-SA"/>
        </w:rPr>
        <w:t>中标人维修人员到现场应遵守采购人有关管理制度，如中标人因故损坏甲方其它设施及财产，由中标人负责恢复原状，费用由中标人承担。</w:t>
      </w:r>
    </w:p>
    <w:p>
      <w:pPr>
        <w:pStyle w:val="84"/>
        <w:numPr>
          <w:ilvl w:val="0"/>
          <w:numId w:val="0"/>
        </w:numPr>
        <w:tabs>
          <w:tab w:val="left" w:pos="1724"/>
        </w:tabs>
        <w:spacing w:before="161" w:after="0" w:line="364" w:lineRule="auto"/>
        <w:ind w:left="1116" w:leftChars="0" w:right="652" w:rightChars="0" w:firstLine="560" w:firstLineChars="200"/>
        <w:jc w:val="both"/>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（6）</w:t>
      </w:r>
      <w:r>
        <w:rPr>
          <w:rFonts w:hint="eastAsia" w:ascii="宋体" w:hAnsi="宋体" w:eastAsia="宋体" w:cs="Times New Roman"/>
          <w:kern w:val="2"/>
          <w:sz w:val="28"/>
          <w:szCs w:val="28"/>
          <w:lang w:val="en-US" w:eastAsia="zh-CN" w:bidi="ar-SA"/>
        </w:rPr>
        <w:t>在中标人维修人员工作期间，采购人免费提供消防维修人员保养工作中的临时用水、用电等。</w:t>
      </w:r>
    </w:p>
    <w:p>
      <w:pPr>
        <w:pStyle w:val="84"/>
        <w:numPr>
          <w:ilvl w:val="0"/>
          <w:numId w:val="0"/>
        </w:numPr>
        <w:tabs>
          <w:tab w:val="left" w:pos="1724"/>
        </w:tabs>
        <w:spacing w:before="161" w:after="0" w:line="364" w:lineRule="auto"/>
        <w:ind w:left="1116" w:leftChars="0" w:right="652" w:rightChars="0" w:firstLine="560" w:firstLineChars="200"/>
        <w:jc w:val="both"/>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（7）</w:t>
      </w:r>
      <w:r>
        <w:rPr>
          <w:rFonts w:hint="eastAsia" w:ascii="宋体" w:hAnsi="宋体" w:eastAsia="宋体" w:cs="Times New Roman"/>
          <w:kern w:val="2"/>
          <w:sz w:val="28"/>
          <w:szCs w:val="28"/>
          <w:lang w:val="en-US" w:eastAsia="zh-CN" w:bidi="ar-SA"/>
        </w:rPr>
        <w:t>采购人在工程改（扩）建和设备维修过程中影响原有的消防设施使用的，应通知中标人，双方根据实际情况做好确保消防系统正常运行的措施。</w:t>
      </w:r>
    </w:p>
    <w:p>
      <w:pPr>
        <w:pStyle w:val="84"/>
        <w:numPr>
          <w:ilvl w:val="0"/>
          <w:numId w:val="0"/>
        </w:numPr>
        <w:tabs>
          <w:tab w:val="left" w:pos="1724"/>
        </w:tabs>
        <w:spacing w:before="161" w:after="0" w:line="364" w:lineRule="auto"/>
        <w:ind w:left="1116" w:leftChars="0" w:right="652" w:rightChars="0" w:firstLine="560" w:firstLineChars="200"/>
        <w:jc w:val="both"/>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（8）</w:t>
      </w:r>
      <w:r>
        <w:rPr>
          <w:rFonts w:hint="eastAsia" w:ascii="宋体" w:hAnsi="宋体" w:eastAsia="宋体" w:cs="Times New Roman"/>
          <w:kern w:val="2"/>
          <w:sz w:val="28"/>
          <w:szCs w:val="28"/>
          <w:lang w:val="en-US" w:eastAsia="zh-CN" w:bidi="ar-SA"/>
        </w:rPr>
        <w:t>采购人在工程改（扩）建和设备维修过程中需要中标人对消防设施进行改造的，中标人要无条件配合，改造过程涉及费用的由采购人支付。</w:t>
      </w:r>
    </w:p>
    <w:p>
      <w:pPr>
        <w:pStyle w:val="84"/>
        <w:numPr>
          <w:ilvl w:val="0"/>
          <w:numId w:val="0"/>
        </w:numPr>
        <w:tabs>
          <w:tab w:val="left" w:pos="1724"/>
        </w:tabs>
        <w:spacing w:before="161" w:after="0" w:line="364" w:lineRule="auto"/>
        <w:ind w:left="1116" w:leftChars="0" w:right="652" w:rightChars="0" w:firstLine="560" w:firstLineChars="200"/>
        <w:jc w:val="both"/>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（9）</w:t>
      </w:r>
      <w:r>
        <w:rPr>
          <w:rFonts w:hint="eastAsia" w:ascii="宋体" w:hAnsi="宋体" w:eastAsia="宋体" w:cs="Times New Roman"/>
          <w:kern w:val="2"/>
          <w:sz w:val="28"/>
          <w:szCs w:val="28"/>
          <w:lang w:val="en-US" w:eastAsia="zh-CN" w:bidi="ar-SA"/>
        </w:rPr>
        <w:t>采购人向中标人提供有关消防工程竣工图及消防验收技术资料。</w:t>
      </w:r>
    </w:p>
    <w:p>
      <w:pPr>
        <w:pStyle w:val="84"/>
        <w:numPr>
          <w:ilvl w:val="0"/>
          <w:numId w:val="0"/>
        </w:numPr>
        <w:tabs>
          <w:tab w:val="left" w:pos="1724"/>
        </w:tabs>
        <w:spacing w:before="161" w:after="0" w:line="364" w:lineRule="auto"/>
        <w:ind w:right="652" w:rightChars="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（三）图书馆消防维保项目工作内容</w:t>
      </w:r>
    </w:p>
    <w:p>
      <w:pPr>
        <w:pStyle w:val="84"/>
        <w:numPr>
          <w:ilvl w:val="0"/>
          <w:numId w:val="0"/>
        </w:numPr>
        <w:tabs>
          <w:tab w:val="left" w:pos="1724"/>
        </w:tabs>
        <w:spacing w:before="161" w:after="0" w:line="364" w:lineRule="auto"/>
        <w:ind w:right="652" w:rightChars="0" w:firstLine="280" w:firstLineChars="100"/>
        <w:jc w:val="both"/>
        <w:rPr>
          <w:rFonts w:hint="eastAsia" w:ascii="宋体" w:hAnsi="宋体" w:eastAsia="宋体" w:cs="Times New Roman"/>
          <w:kern w:val="2"/>
          <w:sz w:val="28"/>
          <w:szCs w:val="28"/>
          <w:lang w:val="zh-CN" w:eastAsia="zh-CN" w:bidi="ar-SA"/>
        </w:rPr>
      </w:pPr>
      <w:r>
        <w:rPr>
          <w:rFonts w:hint="eastAsia" w:ascii="宋体" w:hAnsi="宋体" w:eastAsia="宋体" w:cs="Times New Roman"/>
          <w:kern w:val="2"/>
          <w:sz w:val="28"/>
          <w:szCs w:val="28"/>
          <w:lang w:val="en-US" w:eastAsia="zh-CN" w:bidi="ar-SA"/>
        </w:rPr>
        <w:t>1.</w:t>
      </w:r>
      <w:r>
        <w:rPr>
          <w:rFonts w:hint="default" w:ascii="宋体" w:hAnsi="宋体" w:eastAsia="宋体" w:cs="Times New Roman"/>
          <w:kern w:val="2"/>
          <w:sz w:val="28"/>
          <w:szCs w:val="28"/>
          <w:lang w:val="zh-CN" w:eastAsia="zh-CN" w:bidi="ar-SA"/>
        </w:rPr>
        <w:t>火灾自动报警与消防联动控制系统</w:t>
      </w:r>
      <w:r>
        <w:rPr>
          <w:rFonts w:hint="eastAsia" w:ascii="宋体" w:hAnsi="宋体" w:eastAsia="宋体" w:cs="Times New Roman"/>
          <w:kern w:val="2"/>
          <w:sz w:val="28"/>
          <w:szCs w:val="28"/>
          <w:lang w:val="zh-CN" w:eastAsia="zh-CN" w:bidi="ar-SA"/>
        </w:rPr>
        <w:t>，</w:t>
      </w:r>
    </w:p>
    <w:p>
      <w:pPr>
        <w:pStyle w:val="84"/>
        <w:numPr>
          <w:ilvl w:val="0"/>
          <w:numId w:val="0"/>
        </w:numPr>
        <w:tabs>
          <w:tab w:val="left" w:pos="1724"/>
        </w:tabs>
        <w:spacing w:before="161" w:after="0" w:line="364" w:lineRule="auto"/>
        <w:ind w:right="652" w:rightChars="0" w:firstLine="280" w:firstLineChars="10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检查火灾报警主机与学校监控中心智慧消防物联网云平台的通讯畅通。（每月）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检查烟感、温感、探头是否完好。（每月）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检查手动报警按钮是否变形，玻璃有无破损。（每月）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巡检火灾自动报警控制器、显示器的功能（每月）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巡检探测器、手动报警按钮或破玻功能（每月）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及时更换损坏或丢失的探头、按钮玻璃等。</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进行火灾模拟试验，采用喷烟雾或磁石测试，抽查不少于 5%的探头及 0.5%的手动报警站、破碎按钮。（每季）</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检查火警时在自动状态下能否及时准确显示报警地址、类型和发出警报（警铃鸣响）。（每季）</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检查火警时在自动状态下能否准确联动相关消防设备，如：起动消防栓泵、喷淋泵、打开风阀、联动风机、关闭防火卷帘、接通广播、启动警铃、电梯迫降等。（每季）</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检查火警时，学校监控中心智慧消防物联网消防中心平台能否接收到各设备动作后的反馈信号。（每季）</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每季度对报警控制器，各楼层消防控制线路接线箱、联动控制柜进行清洁保养。</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每半年对报警控制器、各楼层消防控制线路接线箱、联动控制柜、通讯主机内电器元件进行清洁保养。</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每季对备用电源进行充放电试验，对主电源和备用电源进行切换试验。检查内容包括：消防联动控制柜、消防主机、通讯主机、CRT 平面显示系统、UPS 电源。</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半年进行一次强切非消防电源功能试验。</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定期对探头清洁一次。</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每年至少两次对系统主机进行联动测试。</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上述工作均按工程程序进行记录存档。</w:t>
      </w:r>
    </w:p>
    <w:p>
      <w:pPr>
        <w:pStyle w:val="84"/>
        <w:numPr>
          <w:ilvl w:val="0"/>
          <w:numId w:val="0"/>
        </w:numPr>
        <w:tabs>
          <w:tab w:val="left" w:pos="1724"/>
        </w:tabs>
        <w:spacing w:before="161" w:after="0" w:line="364" w:lineRule="auto"/>
        <w:ind w:right="652" w:rightChars="0" w:firstLine="280" w:firstLineChars="1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2.消防栓、自动喷淋灭火系统</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检查消火栓箱及配置的消防部件，外观是否破损，涂层有无脱落，周围有无障碍物, 标识字样是否清晰。（每月）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检查箱内消防水枪、水带、消防卷盘及全部附件是否齐全、良好、水带是否霉烂，水枪内是否有杂物，消火栓水带水枪接口处的密封是否老化，卷盘是否有漏水现象及转动是否灵活。（每月）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检查减压阀高、低压端压力表读数是否处于正常范围。（每月）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检查消防栓管道上各阀门是否处于正确的位置，管道接口及阀门是否有漏水和锈蚀现象。（每月）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检查贮水池储水量是否满足要求。（每日）</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启动各台消火栓泵，试验运行。试验完毕后，在最不利处的消防栓放水，观察其出水压力及流量是否足够。启动各台喷淋泵，试验运行，检查电流、压力、运行情况。（每月）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检查消火栓水泵接合器，保证接口完好、无渗漏，检查密封垫是否老化。（每月）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检查、清洁消防中心、现场水泵房及消防水泵控制柜线路。（每月）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检查和测试消防栓系统和喷淋系统的自动满载运行状况。（每月）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在正常情况下，维护管理人员定期应对进水阀、报警阀进行外观检查并应保证系统处于无故障状态。（每月）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检查喷淋管道上各阀门是否处于正确位置。（每日）</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检查喷淋水泵接合器的接口及附件，并保证接口完好、无渗漏，检查密封垫是否老化。（每月）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启动稳压泵，观察压力上升是否正常，消防控制中心能否显示其动作信号， 人工防水观察稳压泵自动起动和停止后的压力是否正常。（每月）</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检查消防泵喝喷淋泵启动时，消防控制中心能否显示其动作信号，自动状态时，消防控制中心能否控制其启动和停止。（每季）</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每季度对消火栓箱及水泵控制柜和水泵控制柜内元件进行清洁保养。</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定期清洗减压阀、止回阀及对所有水泵各种转轴的连动构件进行清洁润滑保养。</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消防水池、消防水箱及消防气压给水设备，并检查其消防储备水位。消防气压给水设备的水应根据当地环境、气候条件不定期更换。更换前，负责自动喷水灭火系统的专职或兼职管理人员应向领导报告，并报告当地消防部门。</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消火栓和消防卷盘供水阀不应有渗漏现象。</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报警按钮、指示灯及控制线路功能正常，无故障。</w:t>
      </w:r>
    </w:p>
    <w:p>
      <w:pPr>
        <w:pStyle w:val="84"/>
        <w:numPr>
          <w:ilvl w:val="0"/>
          <w:numId w:val="0"/>
        </w:numPr>
        <w:tabs>
          <w:tab w:val="left" w:pos="1724"/>
        </w:tabs>
        <w:spacing w:before="161" w:after="0" w:line="364" w:lineRule="auto"/>
        <w:ind w:right="652" w:rightChars="0"/>
        <w:jc w:val="both"/>
        <w:rPr>
          <w:sz w:val="24"/>
        </w:rPr>
      </w:pPr>
      <w:r>
        <w:rPr>
          <w:rFonts w:hint="default" w:ascii="宋体" w:hAnsi="宋体" w:eastAsia="宋体" w:cs="Times New Roman"/>
          <w:kern w:val="2"/>
          <w:sz w:val="28"/>
          <w:szCs w:val="28"/>
          <w:lang w:val="zh-CN" w:eastAsia="zh-CN" w:bidi="ar-SA"/>
        </w:rPr>
        <w:t>每年应对消防储水设备进行检查，修补缺损和重新油</w:t>
      </w:r>
      <w:r>
        <w:rPr>
          <w:sz w:val="24"/>
        </w:rPr>
        <w:t>漆。</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钢板消防水箱和气压给水设备的玻璃水位计，两端的角阀，在不进行水位观察时应关闭。</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对喷头进行巡检检查，发现有不正常的喷头应及时更换。当喷头上有异物时， 应及时清除。更换或安装喷头应使用专用扳手和各种不同规格的喷头均应有一定数量的备用品，其数量不应少于安装数量的 1%，且每种喷头的数量不应少于 10 个。</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管路：检查系统管路有无腐蚀渗漏，湿式系统管路内的水应定期排空、冲洗。</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检查和测试消防水泵及喷淋水泵，包括所有消防加压泵模拟火灾状态进行联动控制。（每季）</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启、闭信号蝶阀，检查消防控制中心能否收到其关闭信号并显示所在位置。（半年）</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各楼层在试喷管进行试放水一次，检查以下内容：（每季）</w:t>
      </w: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zh-CN" w:eastAsia="zh-CN" w:bidi="ar-SA"/>
        </w:rPr>
        <w:t>该楼层水流指示器是否动作，动作时消防控制中心能否收到其报警信号并处理。</w:t>
      </w:r>
    </w:p>
    <w:p>
      <w:pPr>
        <w:pStyle w:val="10"/>
        <w:spacing w:before="158" w:line="364" w:lineRule="auto"/>
        <w:ind w:right="844" w:firstLine="560" w:firstLineChars="200"/>
        <w:rPr>
          <w:rFonts w:hint="default" w:ascii="宋体" w:hAnsi="宋体" w:eastAsia="宋体" w:cs="Times New Roman"/>
          <w:kern w:val="2"/>
          <w:sz w:val="28"/>
          <w:szCs w:val="28"/>
          <w:lang w:val="zh-CN" w:eastAsia="zh-CN" w:bidi="ar-SA"/>
        </w:rPr>
      </w:pPr>
      <w:r>
        <w:rPr>
          <w:rFonts w:hint="eastAsia" w:ascii="宋体" w:hAnsi="宋体" w:eastAsia="宋体" w:cs="Times New Roman"/>
          <w:kern w:val="2"/>
          <w:sz w:val="28"/>
          <w:szCs w:val="28"/>
          <w:lang w:val="en-US" w:eastAsia="zh-CN" w:bidi="ar-SA"/>
        </w:rPr>
        <w:t>3.</w:t>
      </w:r>
      <w:r>
        <w:rPr>
          <w:rFonts w:hint="default" w:ascii="宋体" w:hAnsi="宋体" w:eastAsia="宋体" w:cs="Times New Roman"/>
          <w:kern w:val="2"/>
          <w:sz w:val="28"/>
          <w:szCs w:val="28"/>
          <w:lang w:val="zh-CN" w:eastAsia="zh-CN" w:bidi="ar-SA"/>
        </w:rPr>
        <w:t>消防通风和防排烟系统</w:t>
      </w:r>
    </w:p>
    <w:p>
      <w:pPr>
        <w:spacing w:after="0" w:line="306" w:lineRule="exact"/>
        <w:jc w:val="left"/>
        <w:rPr>
          <w:rFonts w:hint="default" w:ascii="宋体" w:hAnsi="宋体" w:eastAsia="宋体" w:cs="Times New Roman"/>
          <w:kern w:val="2"/>
          <w:sz w:val="28"/>
          <w:szCs w:val="28"/>
          <w:lang w:val="zh-CN" w:eastAsia="zh-CN" w:bidi="ar-SA"/>
        </w:rPr>
        <w:sectPr>
          <w:pgSz w:w="11900" w:h="16820"/>
          <w:pgMar w:top="1320" w:right="760" w:bottom="1200" w:left="780" w:header="0" w:footer="1011" w:gutter="0"/>
          <w:cols w:space="720" w:num="1"/>
        </w:sectPr>
      </w:pP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对现场风机控制箱、正压送风机和消防排烟风机进行检查测试。（每月）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对正压送风阀、排烟阀、防火阀进行检查测试。（每月）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上述 2、3 项工作检查测试的数据输入电脑，利用电脑程序，来评定系统。</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检查风机与排烟连接部位的法兰有无损伤，螺栓是否松动（每月）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检查送风机、排烟风机周围有无可燃物，安装螺栓是否松动、损伤、传动机构是否变形、损伤，叶轮有无刮壳现象。（每月）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送风风机、排烟风机的电动机的接线是否松动，传动皮带是否正常，似乎情况决定修正或更换（皮带由用户提供），转动部件是否正常并加注润滑油（用户提供）。风机的外壳有无腐蚀现象，电源的供电是否正常。（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启动送风（排烟）风机，检查风机运转是否正常。（每月）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巡视排烟阀（口）、送风阀（口）保养情况，抽查手动开启（在非联动状态下） 的信号反馈及复位情况。</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对排烟阀（口）及送风阀（口）体、风机电控柜进行清洁保养。（每季）</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对排烟阀（口）及送风阀（口）的机械传动、电动机的转轴（含轴承）进行润滑（用户提供润滑油）。（每季）</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对风机电控柜内电器元件进行清洁保养。（每季） 上述工作均按工作程序进行记录存档。</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eastAsia" w:ascii="宋体" w:hAnsi="宋体" w:eastAsia="宋体" w:cs="Times New Roman"/>
          <w:kern w:val="2"/>
          <w:sz w:val="28"/>
          <w:szCs w:val="28"/>
          <w:lang w:val="en-US" w:eastAsia="zh-CN" w:bidi="ar-SA"/>
        </w:rPr>
        <w:t>4</w:t>
      </w:r>
      <w:r>
        <w:rPr>
          <w:rFonts w:hint="default" w:ascii="宋体" w:hAnsi="宋体" w:eastAsia="宋体" w:cs="Times New Roman"/>
          <w:kern w:val="2"/>
          <w:sz w:val="28"/>
          <w:szCs w:val="28"/>
          <w:lang w:val="zh-CN" w:eastAsia="zh-CN" w:bidi="ar-SA"/>
        </w:rPr>
        <w:t>、消防水泵系统</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检查消防水池、消防恒压气压给水设备，检查消防储备水位及消防恒压气压给水设备水量和水压是否正常，检查各种阀门是否处于正常状态，发现故障应及时进行处理。（每月）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检查吸水环管及阀门是否有漏水和锈蚀现象，检查水泵吸入和输出管道上各阀门是否处于正确的位置（每月）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转动各水泵转子，检查转子转动是否灵活。(每月)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检查双回路电源自投柜切换是否正常，相序是否一致。（每月）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检查水泵控制柜电源电压及指示灯是否正常。（每月）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打下控制柜电源总开关，检测控制柜二次回路，检查万能转换开关、按钮、指示灯是否正常，手动或自动模拟起泵，测试起泵时是否正常，检查接触器、继电器分合是否正常。（每月）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手动启动各台泵，测量（或看面板上的电流表）水泵电动机的起动和运行电流是否正常。（每月）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手动启动水泵，检查水泵能否正常运转，压力能否保证。（每月）</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模拟火警状态下，检查其中一台泵故障时自动切换备用泵是否正常。（每季）</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模拟火警状态下，检查在消防控制中心能否控制各台泵的起动和停止。检查水泵启动时，消防控制中心能否显示动作信号。（每季）</w:t>
      </w: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r>
        <w:rPr>
          <w:rFonts w:hint="default" w:ascii="宋体" w:hAnsi="宋体" w:eastAsia="宋体" w:cs="Times New Roman"/>
          <w:kern w:val="2"/>
          <w:sz w:val="28"/>
          <w:szCs w:val="28"/>
          <w:lang w:val="zh-CN" w:eastAsia="zh-CN" w:bidi="ar-SA"/>
        </w:rPr>
        <w:t>上述工作均按工作程序进行记录存档。</w:t>
      </w:r>
    </w:p>
    <w:p>
      <w:pPr>
        <w:pStyle w:val="26"/>
        <w:keepNext w:val="0"/>
        <w:keepLines w:val="0"/>
        <w:widowControl/>
        <w:suppressLineNumbers w:val="0"/>
        <w:spacing w:before="0" w:beforeAutospacing="1" w:after="0" w:afterAutospacing="1"/>
        <w:ind w:left="0" w:right="0" w:firstLine="560" w:firstLineChars="200"/>
        <w:rPr>
          <w:rFonts w:hint="default" w:ascii="宋体" w:hAnsi="宋体" w:eastAsia="宋体" w:cs="Times New Roman"/>
          <w:kern w:val="2"/>
          <w:sz w:val="28"/>
          <w:szCs w:val="28"/>
          <w:lang w:val="zh-CN" w:eastAsia="zh-CN" w:bidi="ar-SA"/>
        </w:rPr>
      </w:pPr>
      <w:r>
        <w:rPr>
          <w:rFonts w:hint="eastAsia" w:ascii="宋体" w:hAnsi="宋体" w:eastAsia="宋体" w:cs="Times New Roman"/>
          <w:kern w:val="2"/>
          <w:sz w:val="28"/>
          <w:szCs w:val="28"/>
          <w:lang w:val="en-US" w:eastAsia="zh-CN" w:bidi="ar-SA"/>
        </w:rPr>
        <w:t>5</w:t>
      </w:r>
      <w:r>
        <w:rPr>
          <w:rFonts w:hint="eastAsia" w:ascii="宋体" w:hAnsi="宋体" w:eastAsia="宋体" w:cs="Times New Roman"/>
          <w:kern w:val="2"/>
          <w:sz w:val="28"/>
          <w:szCs w:val="28"/>
          <w:lang w:val="zh-CN" w:eastAsia="zh-CN" w:bidi="ar-SA"/>
        </w:rPr>
        <w:t>、消</w:t>
      </w:r>
      <w:r>
        <w:rPr>
          <w:rFonts w:hint="default" w:ascii="宋体" w:hAnsi="宋体" w:eastAsia="宋体" w:cs="Times New Roman"/>
          <w:kern w:val="2"/>
          <w:sz w:val="28"/>
          <w:szCs w:val="28"/>
          <w:lang w:val="zh-CN" w:eastAsia="zh-CN" w:bidi="ar-SA"/>
        </w:rPr>
        <w:t>防水炮</w:t>
      </w:r>
      <w:r>
        <w:rPr>
          <w:rFonts w:hint="eastAsia" w:ascii="宋体" w:hAnsi="宋体" w:eastAsia="宋体" w:cs="Times New Roman"/>
          <w:kern w:val="2"/>
          <w:sz w:val="28"/>
          <w:szCs w:val="28"/>
          <w:lang w:val="zh-CN" w:eastAsia="zh-CN" w:bidi="ar-SA"/>
        </w:rPr>
        <w:t>系统</w:t>
      </w:r>
    </w:p>
    <w:p>
      <w:pPr>
        <w:pStyle w:val="26"/>
        <w:keepNext w:val="0"/>
        <w:keepLines w:val="0"/>
        <w:widowControl/>
        <w:suppressLineNumbers w:val="0"/>
        <w:spacing w:before="0" w:beforeAutospacing="1" w:after="0" w:afterAutospacing="1"/>
        <w:ind w:right="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自动跟踪定位射流灭火装置（以下使用俗称消防水炮）的主要维护对象为炮体水平旋转机构、垂直旋转机构，水平旋转机构、垂直旋转机构机械传动部位为齿轮传动，应定期清除齿轮咬合部位的灰尘、杂物。粉尘较大场所应每季度或每月定期清理润滑。并做好维护、保养记录。</w:t>
      </w:r>
    </w:p>
    <w:p>
      <w:pPr>
        <w:pStyle w:val="26"/>
        <w:keepNext w:val="0"/>
        <w:keepLines w:val="0"/>
        <w:widowControl/>
        <w:suppressLineNumbers w:val="0"/>
        <w:spacing w:before="0" w:beforeAutospacing="1" w:after="0" w:afterAutospacing="1"/>
        <w:ind w:right="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消防水炮应每周现场手动操作一次，检查装置的现场手动操作功能是否正常，旋转机构是否灵活可靠；应每月对射流灭火装置自动工作性能和远程控制功能进行一次模拟检查，自动工作性能检查具体操作方法：关闭检修阀，采用标准1A类火试模型作为诱发火，观察灭火装置的自动扫描、定位功能是否正常，并做好相关记录。</w:t>
      </w:r>
    </w:p>
    <w:p>
      <w:pPr>
        <w:pStyle w:val="26"/>
        <w:keepNext w:val="0"/>
        <w:keepLines w:val="0"/>
        <w:widowControl/>
        <w:suppressLineNumbers w:val="0"/>
        <w:spacing w:before="0" w:beforeAutospacing="1" w:after="0" w:afterAutospacing="1"/>
        <w:ind w:right="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消防水炮感光探测组件维保检</w:t>
      </w:r>
      <w:r>
        <w:rPr>
          <w:rFonts w:hint="eastAsia" w:ascii="宋体" w:hAnsi="宋体" w:cs="Times New Roman"/>
          <w:kern w:val="2"/>
          <w:sz w:val="28"/>
          <w:szCs w:val="28"/>
          <w:lang w:val="en-US" w:eastAsia="zh-CN" w:bidi="ar-SA"/>
        </w:rPr>
        <w:t>查，</w:t>
      </w:r>
      <w:r>
        <w:rPr>
          <w:rFonts w:hint="eastAsia" w:ascii="宋体" w:hAnsi="宋体" w:eastAsia="宋体" w:cs="Times New Roman"/>
          <w:kern w:val="2"/>
          <w:sz w:val="28"/>
          <w:szCs w:val="28"/>
          <w:lang w:val="en-US" w:eastAsia="zh-CN" w:bidi="ar-SA"/>
        </w:rPr>
        <w:t>感光探测组件平常无需特别维护，但至少每半年应对其携带的探测元件表面进行清洁处理一次，粉尘较大的场所应按季度或每月进行此项工作，并做好相关记录。</w:t>
      </w:r>
    </w:p>
    <w:p>
      <w:pPr>
        <w:pStyle w:val="26"/>
        <w:keepNext w:val="0"/>
        <w:keepLines w:val="0"/>
        <w:widowControl/>
        <w:suppressLineNumbers w:val="0"/>
        <w:spacing w:before="0" w:beforeAutospacing="1" w:after="0" w:afterAutospacing="1"/>
        <w:ind w:right="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感光探测组件性能检查至少每季度进行一次，检查时采用1A类火试模型作为诱发火，在其监控领域内任何一处点火，观察其火警信号输出是否正常，并做好相关记录。</w:t>
      </w:r>
    </w:p>
    <w:p>
      <w:pPr>
        <w:pStyle w:val="26"/>
        <w:keepNext w:val="0"/>
        <w:keepLines w:val="0"/>
        <w:widowControl/>
        <w:suppressLineNumbers w:val="0"/>
        <w:spacing w:before="0" w:beforeAutospacing="1" w:after="0" w:afterAutospacing="1"/>
        <w:ind w:right="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电磁阀维保检</w:t>
      </w:r>
      <w:r>
        <w:rPr>
          <w:rFonts w:hint="eastAsia" w:ascii="宋体" w:hAnsi="宋体" w:cs="Times New Roman"/>
          <w:kern w:val="2"/>
          <w:sz w:val="28"/>
          <w:szCs w:val="28"/>
          <w:lang w:val="en-US" w:eastAsia="zh-CN" w:bidi="ar-SA"/>
        </w:rPr>
        <w:t>查，</w:t>
      </w:r>
      <w:r>
        <w:rPr>
          <w:rFonts w:hint="eastAsia" w:ascii="宋体" w:hAnsi="宋体" w:eastAsia="宋体" w:cs="Times New Roman"/>
          <w:kern w:val="2"/>
          <w:sz w:val="28"/>
          <w:szCs w:val="28"/>
          <w:lang w:val="en-US" w:eastAsia="zh-CN" w:bidi="ar-SA"/>
        </w:rPr>
        <w:t>应每月对电磁阀的外观、密封性能等进行检查，并做好相关记录。应每月对电磁阀驱动线圈和电源进行检测，可采用现场控制箱面板上的手动控制盘操作电动阀进行开、闭动作，观察电磁阀驱动线圈是否工作正常，观察电磁阀电动开、闭是否正常，检测其反馈信号是否正常，并做好相关记录。</w:t>
      </w:r>
    </w:p>
    <w:p>
      <w:pPr>
        <w:pStyle w:val="26"/>
        <w:keepNext w:val="0"/>
        <w:keepLines w:val="0"/>
        <w:widowControl/>
        <w:suppressLineNumbers w:val="0"/>
        <w:spacing w:before="0" w:beforeAutospacing="1" w:after="0" w:afterAutospacing="1"/>
        <w:ind w:right="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检修阀维保检</w:t>
      </w:r>
      <w:r>
        <w:rPr>
          <w:rFonts w:hint="eastAsia" w:ascii="宋体" w:hAnsi="宋体" w:cs="Times New Roman"/>
          <w:kern w:val="2"/>
          <w:sz w:val="28"/>
          <w:szCs w:val="28"/>
          <w:lang w:val="en-US" w:eastAsia="zh-CN" w:bidi="ar-SA"/>
        </w:rPr>
        <w:t>查，</w:t>
      </w:r>
      <w:r>
        <w:rPr>
          <w:rFonts w:hint="eastAsia" w:ascii="宋体" w:hAnsi="宋体" w:eastAsia="宋体" w:cs="Times New Roman"/>
          <w:kern w:val="2"/>
          <w:sz w:val="28"/>
          <w:szCs w:val="28"/>
          <w:lang w:val="en-US" w:eastAsia="zh-CN" w:bidi="ar-SA"/>
        </w:rPr>
        <w:t>应每半年对检修阀和水流指示器进行一次检测，检查检修阀开、闭性能是否正常，水流指示器反馈信号是否正常，确保检修阀开启和水流指示器无损坏，并做好相关记录。</w:t>
      </w:r>
    </w:p>
    <w:p>
      <w:pPr>
        <w:pStyle w:val="26"/>
        <w:keepNext w:val="0"/>
        <w:keepLines w:val="0"/>
        <w:widowControl/>
        <w:suppressLineNumbers w:val="0"/>
        <w:spacing w:before="0" w:beforeAutospacing="1" w:after="0" w:afterAutospacing="1"/>
        <w:ind w:right="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消防水炮中控主机维保检</w:t>
      </w:r>
      <w:r>
        <w:rPr>
          <w:rFonts w:hint="eastAsia" w:ascii="宋体" w:hAnsi="宋体" w:cs="Times New Roman"/>
          <w:kern w:val="2"/>
          <w:sz w:val="28"/>
          <w:szCs w:val="28"/>
          <w:lang w:val="en-US" w:eastAsia="zh-CN" w:bidi="ar-SA"/>
        </w:rPr>
        <w:t>查，</w:t>
      </w:r>
      <w:r>
        <w:rPr>
          <w:rFonts w:hint="eastAsia" w:ascii="宋体" w:hAnsi="宋体" w:eastAsia="宋体" w:cs="Times New Roman"/>
          <w:kern w:val="2"/>
          <w:sz w:val="28"/>
          <w:szCs w:val="28"/>
          <w:lang w:val="en-US" w:eastAsia="zh-CN" w:bidi="ar-SA"/>
        </w:rPr>
        <w:t>每月消防控制主机电源检查项目：检查系统供电电压是否在允许范围，系统标准供电电压范围：AC197V-AC242V，50HZ±1HZ。 查看消防配电控制箱的标志，以及仪表、指示灯、开关和控制按钮是否完好。 检查消防主电源和备用电源之间的切换是否正常。检查方式是在自动控制方式下，手动切断消防主电源，观察备用电源的投入及指示灯显示；人为控制方式下，先切断消防主电源，再闭合消防备用电源，观察消防备用电源的投入运行及指示灯显示情况；每季度应对备用电源进行1-2次充放电试验，进行1-3次主、备电切换试验。</w:t>
      </w:r>
    </w:p>
    <w:p>
      <w:pPr>
        <w:pStyle w:val="10"/>
        <w:spacing w:before="5" w:line="362" w:lineRule="auto"/>
        <w:ind w:right="5164"/>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6.消防事故广播系统</w:t>
      </w:r>
    </w:p>
    <w:p>
      <w:pPr>
        <w:pStyle w:val="84"/>
        <w:numPr>
          <w:ilvl w:val="0"/>
          <w:numId w:val="0"/>
        </w:numPr>
        <w:tabs>
          <w:tab w:val="left" w:pos="1703"/>
        </w:tabs>
        <w:spacing w:before="5"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检查功放机工作是否正常。（每月）</w:t>
      </w:r>
    </w:p>
    <w:p>
      <w:pPr>
        <w:pStyle w:val="84"/>
        <w:numPr>
          <w:ilvl w:val="0"/>
          <w:numId w:val="0"/>
        </w:numPr>
        <w:tabs>
          <w:tab w:val="left" w:pos="1703"/>
        </w:tabs>
        <w:spacing w:before="158"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检查麦克风播音是否正常。（每月）</w:t>
      </w:r>
    </w:p>
    <w:p>
      <w:pPr>
        <w:pStyle w:val="84"/>
        <w:numPr>
          <w:ilvl w:val="0"/>
          <w:numId w:val="0"/>
        </w:numPr>
        <w:tabs>
          <w:tab w:val="left" w:pos="1705"/>
        </w:tabs>
        <w:spacing w:before="160"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检查天花喇叭、挂墙音箱有无脱落。（每月）</w:t>
      </w:r>
    </w:p>
    <w:p>
      <w:pPr>
        <w:pStyle w:val="84"/>
        <w:numPr>
          <w:ilvl w:val="0"/>
          <w:numId w:val="0"/>
        </w:numPr>
        <w:tabs>
          <w:tab w:val="left" w:pos="1705"/>
        </w:tabs>
        <w:spacing w:before="158"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检查喇叭、音箱音量是否正常、清晰。（每季）</w:t>
      </w:r>
    </w:p>
    <w:p>
      <w:pPr>
        <w:pStyle w:val="84"/>
        <w:numPr>
          <w:ilvl w:val="0"/>
          <w:numId w:val="0"/>
        </w:numPr>
        <w:tabs>
          <w:tab w:val="left" w:pos="1705"/>
        </w:tabs>
        <w:spacing w:before="161" w:after="0" w:line="362" w:lineRule="auto"/>
        <w:ind w:leftChars="200" w:right="3249"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模拟火灾事故情况下，消防广播是否动作 上述工作均按工作程序进行记录存档。</w:t>
      </w:r>
    </w:p>
    <w:p>
      <w:pPr>
        <w:pStyle w:val="10"/>
        <w:spacing w:before="5"/>
        <w:ind w:firstLine="560" w:firstLineChars="200"/>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7.</w:t>
      </w:r>
      <w:r>
        <w:rPr>
          <w:rFonts w:hint="eastAsia" w:ascii="宋体" w:hAnsi="宋体" w:eastAsia="宋体" w:cs="Times New Roman"/>
          <w:kern w:val="2"/>
          <w:sz w:val="28"/>
          <w:szCs w:val="28"/>
          <w:lang w:val="en-US" w:eastAsia="zh-CN" w:bidi="ar-SA"/>
        </w:rPr>
        <w:t>消防对讲电话系统</w:t>
      </w:r>
    </w:p>
    <w:p>
      <w:pPr>
        <w:pStyle w:val="84"/>
        <w:numPr>
          <w:ilvl w:val="0"/>
          <w:numId w:val="0"/>
        </w:numPr>
        <w:tabs>
          <w:tab w:val="left" w:pos="1703"/>
        </w:tabs>
        <w:spacing w:before="160"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检查插孔及固定话机是否齐全。（每月）</w:t>
      </w:r>
    </w:p>
    <w:p>
      <w:pPr>
        <w:pStyle w:val="84"/>
        <w:numPr>
          <w:ilvl w:val="0"/>
          <w:numId w:val="0"/>
        </w:numPr>
        <w:tabs>
          <w:tab w:val="left" w:pos="1708"/>
        </w:tabs>
        <w:spacing w:before="158"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现场对消防中心之间进行通话试验，通话质量是否符合要求。（每月）</w:t>
      </w:r>
    </w:p>
    <w:p>
      <w:pPr>
        <w:pStyle w:val="84"/>
        <w:numPr>
          <w:ilvl w:val="0"/>
          <w:numId w:val="0"/>
        </w:numPr>
        <w:tabs>
          <w:tab w:val="left" w:pos="1701"/>
        </w:tabs>
        <w:spacing w:before="161" w:after="0" w:line="362" w:lineRule="auto"/>
        <w:ind w:leftChars="200" w:right="5164"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确保对讲电话通话清晰。（每月） </w:t>
      </w:r>
    </w:p>
    <w:p>
      <w:pPr>
        <w:pStyle w:val="84"/>
        <w:numPr>
          <w:ilvl w:val="0"/>
          <w:numId w:val="0"/>
        </w:numPr>
        <w:tabs>
          <w:tab w:val="left" w:pos="1701"/>
        </w:tabs>
        <w:spacing w:before="161" w:after="0" w:line="362" w:lineRule="auto"/>
        <w:ind w:leftChars="200" w:right="5164"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8.气体灭火系统</w:t>
      </w:r>
    </w:p>
    <w:p>
      <w:pPr>
        <w:pStyle w:val="84"/>
        <w:numPr>
          <w:ilvl w:val="0"/>
          <w:numId w:val="0"/>
        </w:numPr>
        <w:tabs>
          <w:tab w:val="left" w:pos="1721"/>
        </w:tabs>
        <w:spacing w:before="2" w:after="0" w:line="364" w:lineRule="auto"/>
        <w:ind w:leftChars="200" w:right="655"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日常维护保养主要对系统进行巡检，观察本系统的所有设备是否完好，是否处于正常工作状态。日常检查完成后应作记录，发现异常情况应及时维修。</w:t>
      </w:r>
    </w:p>
    <w:p>
      <w:pPr>
        <w:pStyle w:val="84"/>
        <w:numPr>
          <w:ilvl w:val="0"/>
          <w:numId w:val="0"/>
        </w:numPr>
        <w:tabs>
          <w:tab w:val="left" w:pos="1721"/>
        </w:tabs>
        <w:spacing w:before="1" w:after="0" w:line="362" w:lineRule="auto"/>
        <w:ind w:leftChars="200" w:right="655"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核查所有防护区的警告标志牌，手拉启动器，紧急停止开关，手自动转换开关（紧急维修开关）的警告标志牌，确认其均在原位置上,安装牢固及完好无损。</w:t>
      </w:r>
    </w:p>
    <w:p>
      <w:pPr>
        <w:pStyle w:val="84"/>
        <w:numPr>
          <w:ilvl w:val="0"/>
          <w:numId w:val="0"/>
        </w:numPr>
        <w:tabs>
          <w:tab w:val="left" w:pos="1715"/>
        </w:tabs>
        <w:spacing w:before="5"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检查控制盘，确认控制盘工作正常，如控制盘有故障信号，应及时修复。</w:t>
      </w:r>
    </w:p>
    <w:p>
      <w:pPr>
        <w:pStyle w:val="84"/>
        <w:numPr>
          <w:ilvl w:val="0"/>
          <w:numId w:val="0"/>
        </w:numPr>
        <w:tabs>
          <w:tab w:val="left" w:pos="1713"/>
        </w:tabs>
        <w:spacing w:before="159" w:after="0" w:line="364" w:lineRule="auto"/>
        <w:ind w:leftChars="200" w:right="64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检查手拉启动器，紧急停止开关，手动/自动转换开关是否在原位，处于正常工作状态</w:t>
      </w:r>
    </w:p>
    <w:p>
      <w:pPr>
        <w:pStyle w:val="84"/>
        <w:numPr>
          <w:ilvl w:val="0"/>
          <w:numId w:val="0"/>
        </w:numPr>
        <w:tabs>
          <w:tab w:val="left" w:pos="1715"/>
        </w:tabs>
        <w:spacing w:before="0" w:after="0" w:line="306" w:lineRule="exact"/>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检查气瓶间，气瓶间设备是否完整并处正常工作状态。</w:t>
      </w:r>
    </w:p>
    <w:p>
      <w:pPr>
        <w:pStyle w:val="84"/>
        <w:numPr>
          <w:ilvl w:val="0"/>
          <w:numId w:val="0"/>
        </w:numPr>
        <w:tabs>
          <w:tab w:val="left" w:pos="1710"/>
        </w:tabs>
        <w:spacing w:before="160" w:after="0" w:line="362" w:lineRule="auto"/>
        <w:ind w:leftChars="200" w:right="645"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检查选择阀 HF 电磁启动器，压力启动器，紧急机械启动器是否在正常工作状态。</w:t>
      </w:r>
    </w:p>
    <w:p>
      <w:pPr>
        <w:pStyle w:val="84"/>
        <w:numPr>
          <w:ilvl w:val="0"/>
          <w:numId w:val="0"/>
        </w:numPr>
        <w:tabs>
          <w:tab w:val="left" w:pos="1715"/>
        </w:tabs>
        <w:spacing w:before="5"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检查压力开关是否安装牢固，在正常工作状态。</w:t>
      </w:r>
    </w:p>
    <w:p>
      <w:pPr>
        <w:pStyle w:val="84"/>
        <w:numPr>
          <w:ilvl w:val="0"/>
          <w:numId w:val="0"/>
        </w:numPr>
        <w:tabs>
          <w:tab w:val="left" w:pos="1715"/>
        </w:tabs>
        <w:spacing w:before="158"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核查所有保持防护区的密封性的设备是否完好无缺。</w:t>
      </w:r>
    </w:p>
    <w:p>
      <w:pPr>
        <w:spacing w:after="0" w:line="240" w:lineRule="auto"/>
        <w:jc w:val="left"/>
        <w:rPr>
          <w:rFonts w:hint="eastAsia" w:ascii="宋体" w:hAnsi="宋体" w:eastAsia="宋体" w:cs="Times New Roman"/>
          <w:kern w:val="2"/>
          <w:sz w:val="28"/>
          <w:szCs w:val="28"/>
          <w:lang w:val="en-US" w:eastAsia="zh-CN" w:bidi="ar-SA"/>
        </w:rPr>
        <w:sectPr>
          <w:pgSz w:w="11900" w:h="16820"/>
          <w:pgMar w:top="1320" w:right="760" w:bottom="1200" w:left="1000" w:header="0" w:footer="1011" w:gutter="0"/>
          <w:cols w:space="720" w:num="1"/>
        </w:sectPr>
      </w:pPr>
    </w:p>
    <w:p>
      <w:pPr>
        <w:pStyle w:val="84"/>
        <w:numPr>
          <w:ilvl w:val="0"/>
          <w:numId w:val="0"/>
        </w:numPr>
        <w:tabs>
          <w:tab w:val="left" w:pos="1721"/>
        </w:tabs>
        <w:spacing w:before="54" w:after="0" w:line="362" w:lineRule="auto"/>
        <w:ind w:leftChars="200" w:right="655"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观察气瓶间瓶头阀上的压力表，检查气瓶压力表指针是否在绿色区域处于正常状态。</w:t>
      </w:r>
    </w:p>
    <w:p>
      <w:pPr>
        <w:pStyle w:val="84"/>
        <w:numPr>
          <w:ilvl w:val="0"/>
          <w:numId w:val="0"/>
        </w:numPr>
        <w:tabs>
          <w:tab w:val="left" w:pos="1835"/>
        </w:tabs>
        <w:spacing w:before="4"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每半年应对防火阀等联动设备做一次联动试验。</w:t>
      </w:r>
    </w:p>
    <w:p>
      <w:pPr>
        <w:pStyle w:val="84"/>
        <w:numPr>
          <w:ilvl w:val="0"/>
          <w:numId w:val="0"/>
        </w:numPr>
        <w:tabs>
          <w:tab w:val="left" w:pos="1835"/>
        </w:tabs>
        <w:spacing w:before="161" w:after="0" w:line="362" w:lineRule="auto"/>
        <w:ind w:leftChars="200" w:right="604"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半年应对气瓶的压力测试一次，以校核瓶头阀上压力表的指标是否准确。</w:t>
      </w:r>
    </w:p>
    <w:p>
      <w:pPr>
        <w:pStyle w:val="84"/>
        <w:numPr>
          <w:ilvl w:val="0"/>
          <w:numId w:val="0"/>
        </w:numPr>
        <w:tabs>
          <w:tab w:val="left" w:pos="1835"/>
        </w:tabs>
        <w:spacing w:before="161" w:after="0" w:line="362" w:lineRule="auto"/>
        <w:ind w:leftChars="200" w:right="604"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9.应急疏散系统</w:t>
      </w:r>
    </w:p>
    <w:p>
      <w:pPr>
        <w:pStyle w:val="84"/>
        <w:numPr>
          <w:ilvl w:val="0"/>
          <w:numId w:val="0"/>
        </w:numPr>
        <w:tabs>
          <w:tab w:val="left" w:pos="1703"/>
        </w:tabs>
        <w:spacing w:before="5"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检查应急灯、疏散灯是否齐全。（每季）</w:t>
      </w:r>
    </w:p>
    <w:p>
      <w:pPr>
        <w:pStyle w:val="84"/>
        <w:numPr>
          <w:ilvl w:val="0"/>
          <w:numId w:val="0"/>
        </w:numPr>
        <w:tabs>
          <w:tab w:val="left" w:pos="1708"/>
        </w:tabs>
        <w:spacing w:before="158" w:after="0" w:line="364" w:lineRule="auto"/>
        <w:ind w:leftChars="200" w:right="2044"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现场对应急灯、疏散灯进行试验，检查是否符合要求 </w:t>
      </w:r>
    </w:p>
    <w:p>
      <w:pPr>
        <w:pStyle w:val="84"/>
        <w:numPr>
          <w:ilvl w:val="0"/>
          <w:numId w:val="0"/>
        </w:numPr>
        <w:tabs>
          <w:tab w:val="left" w:pos="1708"/>
        </w:tabs>
        <w:spacing w:before="158" w:after="0" w:line="364" w:lineRule="auto"/>
        <w:ind w:leftChars="200" w:right="2044"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10.灭火器材</w:t>
      </w:r>
    </w:p>
    <w:p>
      <w:pPr>
        <w:pStyle w:val="84"/>
        <w:numPr>
          <w:ilvl w:val="0"/>
          <w:numId w:val="0"/>
        </w:numPr>
        <w:tabs>
          <w:tab w:val="left" w:pos="1708"/>
        </w:tabs>
        <w:spacing w:before="0" w:after="0" w:line="306" w:lineRule="exact"/>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检查全馆所有区域内的灭火器和灭火毯是否完整好用。（每月）</w:t>
      </w:r>
    </w:p>
    <w:p>
      <w:pPr>
        <w:pStyle w:val="84"/>
        <w:numPr>
          <w:ilvl w:val="0"/>
          <w:numId w:val="0"/>
        </w:numPr>
        <w:tabs>
          <w:tab w:val="left" w:pos="1708"/>
        </w:tabs>
        <w:spacing w:before="0" w:after="0" w:line="306" w:lineRule="exact"/>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及时更新失效、损坏和更新到期灭火器。</w:t>
      </w:r>
    </w:p>
    <w:p>
      <w:pPr>
        <w:pStyle w:val="84"/>
        <w:numPr>
          <w:ilvl w:val="0"/>
          <w:numId w:val="0"/>
        </w:numPr>
        <w:tabs>
          <w:tab w:val="left" w:pos="1715"/>
        </w:tabs>
        <w:spacing w:before="161" w:after="0" w:line="362" w:lineRule="auto"/>
        <w:ind w:leftChars="200" w:right="4804" w:rightChars="0"/>
        <w:jc w:val="left"/>
        <w:rPr>
          <w:rFonts w:hint="eastAsia" w:ascii="宋体" w:hAnsi="宋体" w:eastAsia="宋体" w:cs="Times New Roman"/>
          <w:kern w:val="2"/>
          <w:sz w:val="28"/>
          <w:szCs w:val="28"/>
          <w:lang w:val="en-US" w:eastAsia="zh-CN" w:bidi="ar-SA"/>
        </w:rPr>
      </w:pPr>
    </w:p>
    <w:p>
      <w:pPr>
        <w:pStyle w:val="84"/>
        <w:numPr>
          <w:ilvl w:val="0"/>
          <w:numId w:val="0"/>
        </w:numPr>
        <w:tabs>
          <w:tab w:val="left" w:pos="1715"/>
        </w:tabs>
        <w:spacing w:before="161" w:after="0" w:line="362" w:lineRule="auto"/>
        <w:ind w:leftChars="200" w:right="4804"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11.防烟面罩</w:t>
      </w:r>
    </w:p>
    <w:p>
      <w:pPr>
        <w:pStyle w:val="84"/>
        <w:numPr>
          <w:ilvl w:val="0"/>
          <w:numId w:val="0"/>
        </w:numPr>
        <w:tabs>
          <w:tab w:val="left" w:pos="1708"/>
        </w:tabs>
        <w:spacing w:before="4"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检查全馆所有区域内的防烟面罩是否完整好用。（每月）</w:t>
      </w:r>
    </w:p>
    <w:p>
      <w:pPr>
        <w:pStyle w:val="84"/>
        <w:numPr>
          <w:ilvl w:val="0"/>
          <w:numId w:val="0"/>
        </w:numPr>
        <w:tabs>
          <w:tab w:val="left" w:pos="1715"/>
        </w:tabs>
        <w:spacing w:before="159" w:after="0" w:line="364" w:lineRule="auto"/>
        <w:ind w:leftChars="200" w:right="4564"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及时更新失效、损坏和到期防烟面罩。</w:t>
      </w:r>
    </w:p>
    <w:p>
      <w:pPr>
        <w:pStyle w:val="84"/>
        <w:numPr>
          <w:ilvl w:val="0"/>
          <w:numId w:val="0"/>
        </w:numPr>
        <w:tabs>
          <w:tab w:val="left" w:pos="1715"/>
        </w:tabs>
        <w:spacing w:before="159" w:after="0" w:line="364" w:lineRule="auto"/>
        <w:ind w:leftChars="200" w:right="4564"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12、防火门</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检查全馆所有区域内的防火门及闭门器是否完整好用。（每月）</w:t>
      </w:r>
    </w:p>
    <w:p>
      <w:pPr>
        <w:pStyle w:val="26"/>
        <w:keepNext w:val="0"/>
        <w:keepLines w:val="0"/>
        <w:widowControl/>
        <w:suppressLineNumbers w:val="0"/>
        <w:spacing w:before="0" w:beforeAutospacing="1" w:after="0" w:afterAutospacing="1"/>
        <w:ind w:right="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及时更新损坏的防火门和闭门器。</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13.消防维修保养人员要求</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消防系统维护保养检测和联动测试，由中标人负责该项目的维保小组来执行， 消防控制中心值班人员配合；</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中标人负责该项目的维保小组 4-5 人，按照维保计划进行月检、季检、半年检、年检和重大节假日特殊检工作，并在指定期限内向采购人提交消防维保报告或联动测试报告。</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维保小组工作人员，须经过公安消防机构培训合格后，持证上岗。</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pict>
          <v:group id="组合 11" o:spid="_x0000_s2065" o:spt="203" style="position:absolute;left:0pt;margin-left:88.65pt;margin-top:7.35pt;height:71.3pt;width:418pt;mso-position-horizontal-relative:page;mso-wrap-distance-bottom:0pt;mso-wrap-distance-top:0pt;z-index:-251653120;mso-width-relative:page;mso-height-relative:page;" coordorigin="1774,147" coordsize="8360,1426" o:gfxdata="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">
            <o:lock v:ext="edit" aspectratio="f"/>
            <v:shape id="图片 12" o:spid="_x0000_s2058" o:spt="75" type="#_x0000_t75" style="position:absolute;left:1773;top:147;height:1426;width:8360;" filled="f" o:preferrelative="t" stroked="f" coordsize="21600,21600" o:gfxdata="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9JivQAA&#10;ANsAAAAPAAAAAAAAAAEAIAAAACIAAABkcnMvZG93bnJldi54bWxQSwECFAAUAAAACACHTuJAMy8F&#10;njsAAAA5AAAAEAAAAAAAAAABACAAAAAMAQAAZHJzL3NoYXBleG1sLnhtbFBLBQYAAAAABgAGAFsB&#10;AAC2AwAAAAA=&#10;">
              <v:path/>
              <v:fill on="f" focussize="0,0"/>
              <v:stroke on="f"/>
              <v:imagedata r:id="rId11" o:title=""/>
              <o:lock v:ext="edit" aspectratio="t"/>
            </v:shape>
            <v:shape id="文本框 13" o:spid="_x0000_s2059" o:spt="202" type="#_x0000_t202" style="position:absolute;left:3151;top:232;height:209;width:863;"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spacing w:before="0" w:line="209" w:lineRule="exact"/>
                      <w:ind w:left="0" w:right="0" w:firstLine="0"/>
                      <w:jc w:val="left"/>
                      <w:rPr>
                        <w:sz w:val="21"/>
                      </w:rPr>
                    </w:pPr>
                    <w:r>
                      <w:rPr>
                        <w:sz w:val="21"/>
                      </w:rPr>
                      <w:t>工作方式</w:t>
                    </w:r>
                  </w:p>
                </w:txbxContent>
              </v:textbox>
            </v:shape>
            <v:shape id="文本框 14" o:spid="_x0000_s2060" o:spt="202" type="#_x0000_t202" style="position:absolute;left:7269;top:232;height:209;width:863;"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before="0" w:line="209" w:lineRule="exact"/>
                      <w:ind w:left="0" w:right="0" w:firstLine="0"/>
                      <w:jc w:val="left"/>
                      <w:rPr>
                        <w:sz w:val="21"/>
                      </w:rPr>
                    </w:pPr>
                    <w:r>
                      <w:rPr>
                        <w:sz w:val="21"/>
                      </w:rPr>
                      <w:t>月度保养</w:t>
                    </w:r>
                  </w:p>
                </w:txbxContent>
              </v:textbox>
            </v:shape>
            <v:shape id="文本框 15" o:spid="_x0000_s2061" o:spt="202" type="#_x0000_t202" style="position:absolute;left:3151;top:655;height:209;width:858;"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before="0" w:line="209" w:lineRule="exact"/>
                      <w:ind w:left="0" w:right="0" w:firstLine="0"/>
                      <w:jc w:val="left"/>
                      <w:rPr>
                        <w:sz w:val="21"/>
                      </w:rPr>
                    </w:pPr>
                    <w:r>
                      <w:rPr>
                        <w:sz w:val="21"/>
                      </w:rPr>
                      <w:t>工作时间</w:t>
                    </w:r>
                  </w:p>
                </w:txbxContent>
              </v:textbox>
            </v:shape>
            <v:shape id="文本框 16" o:spid="_x0000_s2062" o:spt="202" type="#_x0000_t202" style="position:absolute;left:7063;top:655;height:209;width:1278;"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before="0" w:line="209" w:lineRule="exact"/>
                      <w:ind w:left="0" w:right="0" w:firstLine="0"/>
                      <w:jc w:val="left"/>
                      <w:rPr>
                        <w:sz w:val="21"/>
                      </w:rPr>
                    </w:pPr>
                    <w:r>
                      <w:rPr>
                        <w:sz w:val="21"/>
                      </w:rPr>
                      <w:t>每月至少一次</w:t>
                    </w:r>
                  </w:p>
                </w:txbxContent>
              </v:textbox>
            </v:shape>
            <v:shape id="文本框 17" o:spid="_x0000_s2063" o:spt="202" type="#_x0000_t202" style="position:absolute;left:3151;top:1080;height:209;width:858;"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before="0" w:line="209" w:lineRule="exact"/>
                      <w:ind w:left="0" w:right="0" w:firstLine="0"/>
                      <w:jc w:val="left"/>
                      <w:rPr>
                        <w:sz w:val="21"/>
                      </w:rPr>
                    </w:pPr>
                    <w:r>
                      <w:rPr>
                        <w:sz w:val="21"/>
                      </w:rPr>
                      <w:t>工作人数</w:t>
                    </w:r>
                  </w:p>
                </w:txbxContent>
              </v:textbox>
            </v:shape>
            <v:shape id="文本框 18" o:spid="_x0000_s2064" o:spt="202" type="#_x0000_t202" style="position:absolute;left:6957;top:1080;height:209;width:1489;"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spacing w:before="0" w:line="209" w:lineRule="exact"/>
                      <w:ind w:left="0" w:right="0" w:firstLine="0"/>
                      <w:jc w:val="left"/>
                      <w:rPr>
                        <w:sz w:val="21"/>
                      </w:rPr>
                    </w:pPr>
                    <w:r>
                      <w:rPr>
                        <w:spacing w:val="-10"/>
                        <w:sz w:val="21"/>
                      </w:rPr>
                      <w:t xml:space="preserve">每次不少于 </w:t>
                    </w:r>
                    <w:r>
                      <w:rPr>
                        <w:sz w:val="21"/>
                      </w:rPr>
                      <w:t>4</w:t>
                    </w:r>
                    <w:r>
                      <w:rPr>
                        <w:spacing w:val="-27"/>
                        <w:sz w:val="21"/>
                      </w:rPr>
                      <w:t xml:space="preserve"> 人</w:t>
                    </w:r>
                  </w:p>
                </w:txbxContent>
              </v:textbox>
            </v:shape>
            <w10:wrap type="topAndBottom"/>
          </v:group>
        </w:pic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14.其他：</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★根据行业和用户的特殊性，中标人在合同签订七个工作日内对维保的消防设施设备运作状态检测，在确认消防设施设备运作正常后，开始计算维保服务期。否则用户有权终止合同。</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月检：每月定期对要求的项目进行检查，检查时间及检查项目按保养计划。</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季检：在月检的同时，增加每季一次的检查项目，项目按保养计划，时间安排在每季度第三个月的第一个星期。</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半年检：每半年检查一次的项目，项目按保养计划，时间安排在每半年度最后一个月的第一个星期。</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年检：每年检查一次的项目，项目按保养计划，时间安排在每年度最后一个月的第一个星期。</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报告：中标人须每月向用户呈交一份盖有中标人公章的当月的维修保养工作及系统运行分析报告，用户即按合同及保养计划要求检查中标人的保养工作，对中标人已完成的保养项目予以确认，如果发现中标人未执行合同及保养计划，用户可以要求中标人对未执行项目重新检查及处理，甚至完成该部分保养计划内容后予以确认。如在维修保养过程中中标人发现系统或设备存在隐患，中标人应书面向用户提出处理意见，经用户同意后方可实施整改。</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保养标准按国家、省、市有关规范标准及维保单位有关规范标准执行</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用户提供现场勘察。</w:t>
      </w: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p>
    <w:p>
      <w:pPr>
        <w:pStyle w:val="84"/>
        <w:numPr>
          <w:ilvl w:val="0"/>
          <w:numId w:val="0"/>
        </w:numPr>
        <w:tabs>
          <w:tab w:val="left" w:pos="1708"/>
        </w:tabs>
        <w:spacing w:before="1" w:after="0" w:line="240" w:lineRule="auto"/>
        <w:ind w:leftChars="200" w:right="0" w:rightChars="0"/>
        <w:jc w:val="left"/>
        <w:rPr>
          <w:rFonts w:hint="eastAsia" w:ascii="宋体" w:hAnsi="宋体" w:eastAsia="宋体" w:cs="Times New Roman"/>
          <w:kern w:val="2"/>
          <w:sz w:val="28"/>
          <w:szCs w:val="28"/>
          <w:lang w:val="en-US" w:eastAsia="zh-CN" w:bidi="ar-SA"/>
        </w:rPr>
      </w:pPr>
    </w:p>
    <w:p>
      <w:pPr>
        <w:pStyle w:val="26"/>
        <w:keepNext w:val="0"/>
        <w:keepLines w:val="0"/>
        <w:widowControl/>
        <w:suppressLineNumbers w:val="0"/>
        <w:spacing w:before="0" w:beforeAutospacing="1" w:after="0" w:afterAutospacing="1"/>
        <w:ind w:left="0" w:right="0" w:firstLine="560" w:firstLineChars="200"/>
        <w:rPr>
          <w:rFonts w:hint="default" w:ascii="宋体" w:hAnsi="宋体" w:eastAsia="宋体" w:cs="Times New Roman"/>
          <w:kern w:val="2"/>
          <w:sz w:val="28"/>
          <w:szCs w:val="28"/>
          <w:lang w:val="zh-CN" w:eastAsia="zh-CN" w:bidi="ar-SA"/>
        </w:rPr>
      </w:pPr>
    </w:p>
    <w:p>
      <w:pPr>
        <w:pStyle w:val="84"/>
        <w:numPr>
          <w:ilvl w:val="0"/>
          <w:numId w:val="0"/>
        </w:numPr>
        <w:tabs>
          <w:tab w:val="left" w:pos="660"/>
          <w:tab w:val="left" w:pos="1710"/>
        </w:tabs>
        <w:spacing w:before="54" w:after="0" w:line="240" w:lineRule="auto"/>
        <w:ind w:right="0" w:rightChars="0"/>
        <w:jc w:val="left"/>
        <w:rPr>
          <w:rFonts w:hint="default" w:ascii="宋体" w:hAnsi="宋体" w:eastAsia="宋体" w:cs="Times New Roman"/>
          <w:kern w:val="2"/>
          <w:sz w:val="28"/>
          <w:szCs w:val="28"/>
          <w:lang w:val="zh-CN" w:eastAsia="zh-CN" w:bidi="ar-SA"/>
        </w:rPr>
      </w:pPr>
    </w:p>
    <w:p>
      <w:pPr>
        <w:pStyle w:val="84"/>
        <w:numPr>
          <w:ilvl w:val="0"/>
          <w:numId w:val="0"/>
        </w:numPr>
        <w:tabs>
          <w:tab w:val="left" w:pos="1724"/>
        </w:tabs>
        <w:spacing w:before="161" w:after="0" w:line="364" w:lineRule="auto"/>
        <w:ind w:right="652" w:rightChars="0"/>
        <w:jc w:val="both"/>
        <w:rPr>
          <w:rFonts w:hint="default" w:ascii="宋体" w:hAnsi="宋体" w:eastAsia="宋体" w:cs="Times New Roman"/>
          <w:kern w:val="2"/>
          <w:sz w:val="28"/>
          <w:szCs w:val="28"/>
          <w:lang w:val="en-US" w:eastAsia="zh-CN" w:bidi="ar-SA"/>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eastAsia="zh-CN"/>
        </w:rPr>
        <w:t>一年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一日</w:t>
      </w:r>
      <w:r>
        <w:rPr>
          <w:rFonts w:hint="eastAsia" w:ascii="宋体" w:hAnsi="宋体"/>
          <w:sz w:val="28"/>
          <w:szCs w:val="28"/>
        </w:rPr>
        <w:t>之内,并在</w:t>
      </w:r>
      <w:r>
        <w:rPr>
          <w:rFonts w:hint="eastAsia" w:ascii="宋体" w:hAnsi="宋体"/>
          <w:sz w:val="28"/>
          <w:szCs w:val="28"/>
          <w:lang w:eastAsia="zh-CN"/>
        </w:rPr>
        <w:t>两日</w:t>
      </w:r>
      <w:r>
        <w:rPr>
          <w:rFonts w:hint="eastAsia" w:ascii="宋体" w:hAnsi="宋体"/>
          <w:sz w:val="28"/>
          <w:szCs w:val="28"/>
        </w:rPr>
        <w:t>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w:t>
      </w:r>
      <w:r>
        <w:rPr>
          <w:rFonts w:hint="eastAsia" w:ascii="宋体" w:hAnsi="宋体"/>
          <w:sz w:val="28"/>
          <w:szCs w:val="28"/>
          <w:lang w:eastAsia="zh-CN"/>
        </w:rPr>
        <w:t>合同签订</w:t>
      </w:r>
      <w:r>
        <w:rPr>
          <w:rFonts w:hint="eastAsia" w:ascii="宋体" w:hAnsi="宋体"/>
          <w:sz w:val="28"/>
          <w:szCs w:val="28"/>
        </w:rPr>
        <w:t>后，将合同款</w:t>
      </w:r>
      <w:r>
        <w:rPr>
          <w:rFonts w:hint="eastAsia" w:ascii="宋体" w:hAnsi="宋体"/>
          <w:sz w:val="28"/>
          <w:szCs w:val="28"/>
          <w:lang w:val="en-US" w:eastAsia="zh-CN"/>
        </w:rPr>
        <w:t>50</w:t>
      </w:r>
      <w:r>
        <w:rPr>
          <w:rFonts w:hint="eastAsia" w:ascii="宋体" w:hAnsi="宋体"/>
          <w:sz w:val="28"/>
          <w:szCs w:val="28"/>
        </w:rPr>
        <w:t>%转账支付给成交人。</w:t>
      </w:r>
      <w:r>
        <w:rPr>
          <w:rFonts w:hint="eastAsia" w:ascii="宋体" w:hAnsi="宋体"/>
          <w:sz w:val="28"/>
          <w:szCs w:val="28"/>
          <w:lang w:eastAsia="zh-CN"/>
        </w:rPr>
        <w:t>合同履约完成后支付余下的尾款。</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color w:val="FF0000"/>
          <w:kern w:val="0"/>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8"/>
        </w:numPr>
        <w:spacing w:line="0" w:lineRule="atLeast"/>
        <w:rPr>
          <w:rFonts w:hAnsi="宋体"/>
          <w:sz w:val="28"/>
          <w:szCs w:val="28"/>
        </w:rPr>
      </w:pPr>
      <w:r>
        <w:rPr>
          <w:rFonts w:hint="eastAsia"/>
          <w:sz w:val="28"/>
          <w:szCs w:val="28"/>
        </w:rPr>
        <w:t>填写此表时不得改变表格的形式。</w:t>
      </w:r>
    </w:p>
    <w:p>
      <w:pPr>
        <w:pStyle w:val="14"/>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 xml:space="preserve"> 人民币：</w:t>
            </w:r>
          </w:p>
        </w:tc>
      </w:tr>
    </w:tbl>
    <w:p>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pPr>
        <w:pStyle w:val="14"/>
        <w:spacing w:line="0" w:lineRule="atLeast"/>
        <w:ind w:left="336"/>
        <w:rPr>
          <w:rFonts w:hAnsi="宋体"/>
          <w:sz w:val="28"/>
          <w:szCs w:val="28"/>
        </w:rPr>
      </w:pPr>
      <w:r>
        <w:rPr>
          <w:rFonts w:hint="eastAsia" w:hAnsi="宋体"/>
          <w:sz w:val="28"/>
          <w:szCs w:val="28"/>
        </w:rPr>
        <w:t>3、对于报价免费的项目必须标明“免费”。</w:t>
      </w:r>
    </w:p>
    <w:p>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szCs w:val="21"/>
        </w:rPr>
      </w:pPr>
    </w:p>
    <w:p>
      <w:pPr>
        <w:pStyle w:val="14"/>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6" w:type="first"/>
      <w:footerReference r:id="rId9" w:type="first"/>
      <w:headerReference r:id="rId4" w:type="default"/>
      <w:footerReference r:id="rId7" w:type="default"/>
      <w:headerReference r:id="rId5" w:type="even"/>
      <w:footerReference r:id="rId8"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4D4DB74-0C3C-4DB3-AC04-F2ED73118A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88AF200-5715-4668-9DFA-3CF3855F375A}"/>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0" w:usb1="00000000" w:usb2="00000000" w:usb3="00000000" w:csb0="00000000" w:csb1="00000000"/>
    <w:embedRegular r:id="rId3" w:fontKey="{A3A7D2BB-01DB-4E33-95EB-5BC8E4547B7F}"/>
  </w:font>
  <w:font w:name="Vrinda">
    <w:panose1 w:val="020B0502040204020203"/>
    <w:charset w:val="00"/>
    <w:family w:val="swiss"/>
    <w:pitch w:val="default"/>
    <w:sig w:usb0="00010003" w:usb1="00000000" w:usb2="00000000" w:usb3="00000000" w:csb0="00000001" w:csb1="00000000"/>
    <w:embedRegular r:id="rId4" w:fontKey="{00DE0984-ABFC-4189-AA72-7DA3E84075DF}"/>
  </w:font>
  <w:font w:name="楷体_GB2312">
    <w:panose1 w:val="02010609030101010101"/>
    <w:charset w:val="86"/>
    <w:family w:val="modern"/>
    <w:pitch w:val="default"/>
    <w:sig w:usb0="00000001" w:usb1="080E0000" w:usb2="00000000" w:usb3="00000000" w:csb0="00040000" w:csb1="00000000"/>
    <w:embedRegular r:id="rId5" w:fontKey="{3960C8E2-7114-4492-924F-E758CB09C430}"/>
  </w:font>
  <w:font w:name="楷体">
    <w:panose1 w:val="02010609060101010101"/>
    <w:charset w:val="86"/>
    <w:family w:val="auto"/>
    <w:pitch w:val="default"/>
    <w:sig w:usb0="800002BF" w:usb1="38CF7CFA" w:usb2="00000016" w:usb3="00000000" w:csb0="00040001" w:csb1="00000000"/>
    <w:embedRegular r:id="rId6" w:fontKey="{BA7F55B8-EF41-42C9-AAC0-89C5604E2E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文本框 1" o:spid="_x0000_s1030" o:spt="202" type="#_x0000_t202" style="position:absolute;left:0pt;margin-left:293.05pt;margin-top:779.4pt;height:14.3pt;width:9.05pt;mso-position-horizontal-relative:page;mso-position-vertical-relative:page;z-index:-251656192;mso-width-relative:page;mso-height-relative:page;" filled="f" stroked="f" coordsize="21600,21600" o:gfxdata="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yr8u2gAAAA0BAAAPAAAAAAAAAAEAIAAAACIAAABkcnMvZG93bnJldi54bWxQ&#10;SwECFAAUAAAACACHTuJAMfB+l7wBAABzAwAADgAAAAAAAAABACAAAAApAQAAZHJzL2Uyb0RvYy54&#10;bWxQSwUGAAAAAAYABgBZAQAAVwUAAAAA&#10;">
          <v:path/>
          <v:fill on="f" focussize="0,0"/>
          <v:stroke on="f"/>
          <v:imagedata o:title=""/>
          <o:lock v:ext="edit" aspectratio="f"/>
          <v:textbox inset="0mm,0mm,0mm,0mm">
            <w:txbxContent>
              <w:p>
                <w:pPr>
                  <w:spacing w:before="12"/>
                  <w:ind w:left="40" w:right="0" w:firstLine="0"/>
                  <w:jc w:val="left"/>
                  <w:rPr>
                    <w:rFonts w:ascii="Vrinda"/>
                    <w:sz w:val="18"/>
                  </w:rPr>
                </w:pPr>
                <w:r>
                  <w:fldChar w:fldCharType="begin"/>
                </w:r>
                <w:r>
                  <w:rPr>
                    <w:rFonts w:ascii="Vrinda"/>
                    <w:sz w:val="18"/>
                  </w:rPr>
                  <w:instrText xml:space="preserve"> PAGE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Y2NTY4NGJhNmMyN2U1MmY2NWIwMWI3MTQ5MzkyM2M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A13DAB"/>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0B7641"/>
    <w:rsid w:val="3237724D"/>
    <w:rsid w:val="32C61B83"/>
    <w:rsid w:val="344B05CF"/>
    <w:rsid w:val="34683033"/>
    <w:rsid w:val="35B77661"/>
    <w:rsid w:val="36583023"/>
    <w:rsid w:val="3713274F"/>
    <w:rsid w:val="39A6093D"/>
    <w:rsid w:val="3BF75747"/>
    <w:rsid w:val="3D832EB5"/>
    <w:rsid w:val="3EB43B95"/>
    <w:rsid w:val="3F0535D6"/>
    <w:rsid w:val="3F181B41"/>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3722C1F"/>
    <w:rsid w:val="67562121"/>
    <w:rsid w:val="68742FE5"/>
    <w:rsid w:val="697C1D6F"/>
    <w:rsid w:val="6A80153E"/>
    <w:rsid w:val="6F544E68"/>
    <w:rsid w:val="719242C5"/>
    <w:rsid w:val="72B62304"/>
    <w:rsid w:val="742D0AEA"/>
    <w:rsid w:val="750157C1"/>
    <w:rsid w:val="77F228DE"/>
    <w:rsid w:val="78851ED1"/>
    <w:rsid w:val="79C61CFF"/>
    <w:rsid w:val="7D18299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w:basedOn w:val="1"/>
    <w:qFormat/>
    <w:uiPriority w:val="1"/>
    <w:rPr>
      <w:rFonts w:ascii="宋体" w:hAnsi="宋体" w:eastAsia="宋体" w:cs="宋体"/>
      <w:sz w:val="24"/>
      <w:szCs w:val="24"/>
      <w:lang w:val="zh-CN" w:eastAsia="zh-CN" w:bidi="zh-CN"/>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9"/>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8"/>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6"/>
    <customShpInfo spid="_x0000_s1029"/>
    <customShpInfo spid="_x0000_s1028"/>
    <customShpInfo spid="_x0000_s1027"/>
    <customShpInfo spid="_x0000_s2058"/>
    <customShpInfo spid="_x0000_s2059"/>
    <customShpInfo spid="_x0000_s2060"/>
    <customShpInfo spid="_x0000_s2061"/>
    <customShpInfo spid="_x0000_s2062"/>
    <customShpInfo spid="_x0000_s2063"/>
    <customShpInfo spid="_x0000_s2064"/>
    <customShpInfo spid="_x0000_s20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13568</Words>
  <Characters>13842</Characters>
  <Lines>72</Lines>
  <Paragraphs>20</Paragraphs>
  <TotalTime>4</TotalTime>
  <ScaleCrop>false</ScaleCrop>
  <LinksUpToDate>false</LinksUpToDate>
  <CharactersWithSpaces>15026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Administrator</cp:lastModifiedBy>
  <cp:lastPrinted>2022-01-21T10:35:00Z</cp:lastPrinted>
  <dcterms:modified xsi:type="dcterms:W3CDTF">2023-07-17T05:57:27Z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F90E824227D444BFA626A01BBCC08368</vt:lpwstr>
  </property>
</Properties>
</file>