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left="1807" w:hanging="1807" w:hangingChars="500"/>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广东财经大学《农民数字素养》团体标准制定及发布采购项目  </w:t>
      </w:r>
    </w:p>
    <w:p>
      <w:pPr>
        <w:widowControl/>
        <w:shd w:val="clear" w:color="auto" w:fill="FFFFFF"/>
        <w:spacing w:line="560" w:lineRule="exact"/>
        <w:jc w:val="left"/>
        <w:rPr>
          <w:b/>
          <w:sz w:val="36"/>
          <w:szCs w:val="36"/>
        </w:rPr>
      </w:pPr>
      <w:r>
        <w:rPr>
          <w:rFonts w:hint="eastAsia"/>
          <w:b/>
          <w:sz w:val="36"/>
          <w:szCs w:val="36"/>
        </w:rPr>
        <w:t>采购单位：</w:t>
      </w:r>
      <w:r>
        <w:rPr>
          <w:rFonts w:hint="eastAsia"/>
          <w:b/>
          <w:sz w:val="36"/>
          <w:szCs w:val="36"/>
          <w:u w:val="single"/>
        </w:rPr>
        <w:t>继续教育学院（广东财经大学）</w:t>
      </w:r>
    </w:p>
    <w:p>
      <w:pPr>
        <w:spacing w:line="760" w:lineRule="exact"/>
        <w:jc w:val="left"/>
        <w:rPr>
          <w:b/>
          <w:sz w:val="36"/>
          <w:szCs w:val="36"/>
        </w:rPr>
      </w:pPr>
      <w:r>
        <w:rPr>
          <w:rFonts w:hint="eastAsia"/>
          <w:b/>
          <w:sz w:val="36"/>
          <w:szCs w:val="36"/>
        </w:rPr>
        <w:t>发布时间：</w:t>
      </w:r>
      <w:r>
        <w:rPr>
          <w:rFonts w:hint="eastAsia" w:ascii="宋体" w:hAnsi="宋体"/>
          <w:b/>
          <w:sz w:val="36"/>
          <w:u w:val="single"/>
        </w:rPr>
        <w:t xml:space="preserve"> 2024年1月17日      </w:t>
      </w:r>
    </w:p>
    <w:p>
      <w:pPr>
        <w:spacing w:line="760" w:lineRule="exact"/>
        <w:ind w:firstLine="1084" w:firstLineChars="300"/>
        <w:rPr>
          <w:rFonts w:ascii="宋体" w:hAnsi="宋体"/>
          <w:b/>
          <w:sz w:val="36"/>
          <w:szCs w:val="36"/>
          <w:u w:val="single"/>
        </w:rPr>
      </w:pPr>
    </w:p>
    <w:p>
      <w:pPr>
        <w:jc w:val="center"/>
        <w:rPr>
          <w:b/>
          <w:sz w:val="52"/>
          <w:szCs w:val="52"/>
        </w:rPr>
      </w:pPr>
      <w:r>
        <w:rPr>
          <w:rFonts w:ascii="宋体" w:hAnsi="宋体"/>
          <w:sz w:val="32"/>
          <w:szCs w:val="32"/>
        </w:rPr>
        <w:br w:type="column"/>
      </w:r>
      <w:r>
        <w:rPr>
          <w:rFonts w:hint="eastAsia"/>
          <w:sz w:val="52"/>
          <w:szCs w:val="52"/>
        </w:rPr>
        <w:t>目录</w:t>
      </w:r>
    </w:p>
    <w:p>
      <w:pPr>
        <w:pStyle w:val="19"/>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9"/>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9"/>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508103135"/>
      <w:bookmarkStart w:id="1" w:name="_Toc60236697"/>
      <w:bookmarkStart w:id="2" w:name="_Toc508103350"/>
      <w:r>
        <w:br w:type="page"/>
      </w:r>
    </w:p>
    <w:p>
      <w:pPr>
        <w:pStyle w:val="2"/>
      </w:pPr>
      <w:bookmarkStart w:id="3" w:name="_Toc1048"/>
      <w:r>
        <w:t xml:space="preserve">第一部分   </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pPr>
      <w:bookmarkStart w:id="4" w:name="_Toc508103351"/>
      <w:bookmarkStart w:id="5" w:name="_Toc60236698"/>
      <w:bookmarkStart w:id="6" w:name="_Toc16574"/>
      <w:r>
        <w:rPr>
          <w:rFonts w:hint="eastAsia"/>
        </w:rPr>
        <w:t>一、采购项目</w:t>
      </w:r>
      <w:bookmarkEnd w:id="4"/>
      <w:bookmarkEnd w:id="5"/>
      <w:r>
        <w:rPr>
          <w:rFonts w:hint="eastAsia"/>
        </w:rPr>
        <w:t>概况</w:t>
      </w:r>
      <w:bookmarkEnd w:id="6"/>
    </w:p>
    <w:p>
      <w:pPr>
        <w:pStyle w:val="26"/>
        <w:widowControl/>
        <w:shd w:val="clear" w:color="auto" w:fill="FFFFFF"/>
        <w:spacing w:line="560" w:lineRule="atLeast"/>
        <w:ind w:firstLine="560"/>
        <w:rPr>
          <w:rFonts w:ascii="Times New Roman" w:hAnsi="Times New Roman"/>
          <w:color w:val="000000"/>
          <w:sz w:val="21"/>
          <w:szCs w:val="21"/>
        </w:rPr>
      </w:pPr>
      <w:r>
        <w:rPr>
          <w:rFonts w:hint="eastAsia" w:ascii="宋体" w:hAnsi="宋体" w:cs="宋体"/>
          <w:color w:val="000000"/>
          <w:sz w:val="28"/>
          <w:szCs w:val="28"/>
          <w:shd w:val="clear" w:color="auto" w:fill="FFFFFF"/>
        </w:rPr>
        <w:t>1.项目名称：</w:t>
      </w:r>
      <w:r>
        <w:rPr>
          <w:rFonts w:hint="eastAsia" w:ascii="宋体" w:hAnsi="宋体" w:cs="宋体"/>
          <w:color w:val="000000"/>
          <w:sz w:val="28"/>
          <w:szCs w:val="28"/>
          <w:u w:val="single"/>
          <w:shd w:val="clear" w:color="auto" w:fill="FFFFFF"/>
        </w:rPr>
        <w:t>广东财经大学《农民数字素养》团体标准制定及发布采购项目</w:t>
      </w:r>
      <w:r>
        <w:rPr>
          <w:rFonts w:hint="eastAsia" w:ascii="宋体" w:hAnsi="宋体" w:cs="宋体"/>
          <w:color w:val="000000"/>
          <w:sz w:val="28"/>
          <w:szCs w:val="28"/>
          <w:shd w:val="clear" w:color="auto" w:fill="FFFFFF"/>
        </w:rPr>
        <w:t>。</w:t>
      </w:r>
    </w:p>
    <w:p>
      <w:pPr>
        <w:pStyle w:val="26"/>
        <w:widowControl/>
        <w:shd w:val="clear" w:color="auto" w:fill="FFFFFF"/>
        <w:spacing w:line="560" w:lineRule="atLeast"/>
        <w:ind w:firstLine="560"/>
        <w:rPr>
          <w:rFonts w:ascii="Times New Roman" w:hAnsi="Times New Roman"/>
          <w:color w:val="000000"/>
          <w:sz w:val="21"/>
          <w:szCs w:val="21"/>
        </w:rPr>
      </w:pPr>
      <w:r>
        <w:rPr>
          <w:rFonts w:hint="eastAsia" w:ascii="宋体" w:hAnsi="宋体" w:cs="宋体"/>
          <w:color w:val="000000"/>
          <w:sz w:val="28"/>
          <w:szCs w:val="28"/>
          <w:shd w:val="clear" w:color="auto" w:fill="FFFFFF"/>
        </w:rPr>
        <w:t xml:space="preserve">2.经费预算：人民币 </w:t>
      </w:r>
      <w:r>
        <w:rPr>
          <w:rFonts w:hint="eastAsia" w:ascii="宋体" w:hAnsi="宋体" w:cs="宋体"/>
          <w:color w:val="000000"/>
          <w:sz w:val="28"/>
          <w:szCs w:val="28"/>
          <w:u w:val="single"/>
          <w:shd w:val="clear" w:color="auto" w:fill="FFFFFF"/>
        </w:rPr>
        <w:t>4.5</w:t>
      </w:r>
      <w:r>
        <w:rPr>
          <w:rFonts w:hint="eastAsia" w:ascii="宋体" w:hAnsi="宋体" w:cs="宋体"/>
          <w:color w:val="000000"/>
          <w:sz w:val="28"/>
          <w:szCs w:val="28"/>
          <w:shd w:val="clear" w:color="auto" w:fill="FFFFFF"/>
        </w:rPr>
        <w:t>万元，经费来源：(204-520405) 发展基金。</w:t>
      </w:r>
    </w:p>
    <w:p>
      <w:pPr>
        <w:pStyle w:val="26"/>
        <w:widowControl/>
        <w:shd w:val="clear" w:color="auto" w:fill="FFFFFF"/>
        <w:spacing w:line="560" w:lineRule="atLeast"/>
        <w:ind w:firstLine="560"/>
        <w:rPr>
          <w:rFonts w:ascii="Times New Roman" w:hAnsi="Times New Roman"/>
          <w:color w:val="000000"/>
          <w:sz w:val="21"/>
          <w:szCs w:val="21"/>
        </w:rPr>
      </w:pPr>
      <w:r>
        <w:rPr>
          <w:rFonts w:hint="eastAsia" w:ascii="宋体" w:hAnsi="宋体" w:cs="宋体"/>
          <w:color w:val="000000"/>
          <w:sz w:val="28"/>
          <w:szCs w:val="28"/>
          <w:shd w:val="clear" w:color="auto" w:fill="FFFFFF"/>
        </w:rPr>
        <w:t>3.项目简介与总体要求：</w:t>
      </w:r>
    </w:p>
    <w:p>
      <w:pPr>
        <w:pStyle w:val="26"/>
        <w:widowControl/>
        <w:shd w:val="clear" w:color="auto" w:fill="FFFFFF"/>
        <w:spacing w:line="560" w:lineRule="atLeast"/>
        <w:ind w:firstLine="560"/>
        <w:rPr>
          <w:rFonts w:ascii="宋体" w:hAnsi="宋体" w:cs="宋体"/>
          <w:color w:val="000000"/>
          <w:sz w:val="28"/>
          <w:szCs w:val="28"/>
          <w:u w:val="single"/>
          <w:shd w:val="clear" w:color="auto" w:fill="FFFFFF"/>
        </w:rPr>
      </w:pPr>
      <w:r>
        <w:rPr>
          <w:rFonts w:hint="eastAsia" w:ascii="宋体" w:hAnsi="宋体" w:cs="宋体"/>
          <w:color w:val="000000"/>
          <w:sz w:val="28"/>
          <w:szCs w:val="28"/>
          <w:u w:val="single"/>
          <w:shd w:val="clear" w:color="auto" w:fill="FFFFFF"/>
        </w:rPr>
        <w:t>为深入实施《数字乡村发展战略纲要》《数字乡村发展行动计划（2022-2025 年）》，推进“百县千镇万村高质量发展工程”促进城乡区域协调发展，现招标采购服务，要求配合我校制订并发布《农民数字素养》团体标准。要求完成《农民数字素养》（标准名拟）团体标准的制订及发布等工作，并提供完整的过程性材料。</w:t>
      </w:r>
    </w:p>
    <w:p>
      <w:pPr>
        <w:pStyle w:val="26"/>
        <w:widowControl/>
        <w:shd w:val="clear" w:color="auto" w:fill="FFFFFF"/>
        <w:spacing w:line="560" w:lineRule="atLeast"/>
        <w:ind w:firstLine="560"/>
        <w:rPr>
          <w:rFonts w:ascii="Times New Roman" w:hAnsi="Times New Roman"/>
          <w:color w:val="000000"/>
          <w:sz w:val="21"/>
          <w:szCs w:val="21"/>
        </w:rPr>
      </w:pPr>
      <w:r>
        <w:rPr>
          <w:rFonts w:hint="eastAsia" w:ascii="宋体" w:hAnsi="宋体" w:cs="宋体"/>
          <w:color w:val="000000"/>
          <w:sz w:val="28"/>
          <w:szCs w:val="28"/>
          <w:shd w:val="clear" w:color="auto" w:fill="FFFFFF"/>
        </w:rPr>
        <w:t>4.具体服务的要求：</w:t>
      </w:r>
    </w:p>
    <w:p>
      <w:pPr>
        <w:pStyle w:val="26"/>
        <w:widowControl/>
        <w:shd w:val="clear" w:color="auto" w:fill="FFFFFF"/>
        <w:spacing w:line="560" w:lineRule="atLeast"/>
        <w:ind w:firstLine="560"/>
        <w:rPr>
          <w:rFonts w:ascii="Times New Roman" w:hAnsi="Times New Roman"/>
          <w:color w:val="000000"/>
          <w:sz w:val="21"/>
          <w:szCs w:val="21"/>
        </w:rPr>
      </w:pPr>
      <w:r>
        <w:rPr>
          <w:rFonts w:hint="eastAsia" w:ascii="宋体" w:hAnsi="宋体" w:cs="宋体"/>
          <w:color w:val="000000"/>
          <w:sz w:val="28"/>
          <w:szCs w:val="28"/>
          <w:u w:val="single"/>
          <w:shd w:val="clear" w:color="auto" w:fill="FFFFFF"/>
        </w:rPr>
        <w:t>在合同签订后45个工作日内完成《农民数字素养》团体标准的制订及发布等工作，并提供完整的过程性材料。</w:t>
      </w:r>
    </w:p>
    <w:p>
      <w:pPr>
        <w:spacing w:line="560" w:lineRule="exact"/>
        <w:ind w:firstLine="560" w:firstLineChars="200"/>
        <w:rPr>
          <w:rFonts w:ascii="宋体" w:hAnsi="宋体"/>
          <w:sz w:val="28"/>
          <w:szCs w:val="28"/>
        </w:rPr>
      </w:pPr>
      <w:r>
        <w:rPr>
          <w:rFonts w:hint="eastAsia" w:ascii="宋体" w:hAnsi="宋体"/>
          <w:sz w:val="28"/>
          <w:szCs w:val="28"/>
        </w:rPr>
        <w:t>①制订团体标准工作计划书，明确工作进度及分工。</w:t>
      </w:r>
    </w:p>
    <w:p>
      <w:pPr>
        <w:spacing w:line="560" w:lineRule="exact"/>
        <w:ind w:firstLine="560" w:firstLineChars="200"/>
        <w:rPr>
          <w:rFonts w:ascii="宋体" w:hAnsi="宋体"/>
          <w:sz w:val="28"/>
          <w:szCs w:val="28"/>
        </w:rPr>
      </w:pPr>
      <w:r>
        <w:rPr>
          <w:rFonts w:hint="eastAsia" w:ascii="宋体" w:hAnsi="宋体"/>
          <w:sz w:val="28"/>
          <w:szCs w:val="28"/>
        </w:rPr>
        <w:t>②组建标准编制工作组，建立工作群，对团体标准前期开展资料收集、论证、调研等工作。</w:t>
      </w:r>
    </w:p>
    <w:p>
      <w:pPr>
        <w:spacing w:line="560" w:lineRule="exact"/>
        <w:ind w:firstLine="560" w:firstLineChars="200"/>
        <w:rPr>
          <w:rFonts w:ascii="宋体" w:hAnsi="宋体"/>
          <w:sz w:val="28"/>
          <w:szCs w:val="28"/>
        </w:rPr>
      </w:pPr>
      <w:r>
        <w:rPr>
          <w:rFonts w:hint="eastAsia" w:ascii="宋体" w:hAnsi="宋体"/>
          <w:sz w:val="28"/>
          <w:szCs w:val="28"/>
        </w:rPr>
        <w:t>③组织团体标准立项事宜，协助做好团体标准立项申请书、标准编制工作组报名、跟踪立项进度等。</w:t>
      </w:r>
    </w:p>
    <w:p>
      <w:pPr>
        <w:spacing w:line="560" w:lineRule="exact"/>
        <w:ind w:firstLine="560" w:firstLineChars="200"/>
        <w:rPr>
          <w:rFonts w:ascii="宋体" w:hAnsi="宋体"/>
          <w:sz w:val="28"/>
          <w:szCs w:val="28"/>
        </w:rPr>
      </w:pPr>
      <w:r>
        <w:rPr>
          <w:rFonts w:hint="eastAsia" w:ascii="宋体" w:hAnsi="宋体"/>
          <w:sz w:val="28"/>
          <w:szCs w:val="28"/>
        </w:rPr>
        <w:t>④组织编制工作组讨论完善团体标准草案，根据甲方需求召开技术研讨会。</w:t>
      </w:r>
    </w:p>
    <w:p>
      <w:pPr>
        <w:spacing w:line="560" w:lineRule="exact"/>
        <w:ind w:firstLine="560" w:firstLineChars="200"/>
        <w:rPr>
          <w:rFonts w:ascii="宋体" w:hAnsi="宋体"/>
          <w:sz w:val="28"/>
          <w:szCs w:val="28"/>
        </w:rPr>
      </w:pPr>
      <w:r>
        <w:rPr>
          <w:rFonts w:hint="eastAsia" w:ascii="宋体" w:hAnsi="宋体"/>
          <w:sz w:val="28"/>
          <w:szCs w:val="28"/>
        </w:rPr>
        <w:t>⑤编制团体标准征求意见稿、编制说明，公开征集意见并汇总整理。</w:t>
      </w:r>
    </w:p>
    <w:p>
      <w:pPr>
        <w:spacing w:line="560" w:lineRule="exact"/>
        <w:ind w:firstLine="560" w:firstLineChars="200"/>
        <w:rPr>
          <w:rFonts w:ascii="宋体" w:hAnsi="宋体"/>
          <w:sz w:val="28"/>
          <w:szCs w:val="28"/>
        </w:rPr>
      </w:pPr>
      <w:r>
        <w:rPr>
          <w:rFonts w:hint="eastAsia" w:ascii="宋体" w:hAnsi="宋体"/>
          <w:sz w:val="28"/>
          <w:szCs w:val="28"/>
        </w:rPr>
        <w:t>⑥修改标准文本并形成标准送审稿。</w:t>
      </w:r>
    </w:p>
    <w:p>
      <w:pPr>
        <w:spacing w:line="560" w:lineRule="exact"/>
        <w:ind w:firstLine="560" w:firstLineChars="200"/>
        <w:rPr>
          <w:rFonts w:ascii="宋体" w:hAnsi="宋体"/>
          <w:sz w:val="28"/>
          <w:szCs w:val="28"/>
        </w:rPr>
      </w:pPr>
      <w:r>
        <w:rPr>
          <w:rFonts w:hint="eastAsia" w:ascii="宋体" w:hAnsi="宋体"/>
          <w:sz w:val="28"/>
          <w:szCs w:val="28"/>
        </w:rPr>
        <w:t>⑦依据《团体标准管理规定》要求，组织召开团体标准技术审查会，邀请5～7名标准化专家和行业专家，专家组负责对团体标准送审稿进行技术审查，并出具审查结论。</w:t>
      </w:r>
    </w:p>
    <w:p>
      <w:pPr>
        <w:spacing w:line="560" w:lineRule="exact"/>
        <w:ind w:firstLine="560" w:firstLineChars="200"/>
        <w:rPr>
          <w:rFonts w:ascii="宋体" w:hAnsi="宋体"/>
          <w:sz w:val="28"/>
          <w:szCs w:val="28"/>
        </w:rPr>
      </w:pPr>
      <w:r>
        <w:rPr>
          <w:rFonts w:hint="eastAsia" w:ascii="宋体" w:hAnsi="宋体"/>
          <w:sz w:val="28"/>
          <w:szCs w:val="28"/>
        </w:rPr>
        <w:t>⑧团体标准通过专家组审定后，根据GB/T 1.1《标准化工作导则第1部分：标准化文件的结构和起草规则》对团标格式进行终审并由广东省市场监督管理局下属协会上报国标委全国团体标准信息网平台发布。</w:t>
      </w:r>
    </w:p>
    <w:p>
      <w:pPr>
        <w:spacing w:line="560" w:lineRule="exact"/>
        <w:ind w:firstLine="560" w:firstLineChars="200"/>
        <w:rPr>
          <w:rFonts w:ascii="宋体" w:hAnsi="宋体"/>
          <w:sz w:val="28"/>
          <w:szCs w:val="28"/>
        </w:rPr>
      </w:pPr>
      <w:r>
        <w:rPr>
          <w:rFonts w:hint="eastAsia" w:ascii="宋体" w:hAnsi="宋体"/>
          <w:sz w:val="28"/>
          <w:szCs w:val="28"/>
        </w:rPr>
        <w:t>⑨及时处理团体标准制订发布过程出现的问题。</w:t>
      </w:r>
    </w:p>
    <w:p>
      <w:pPr>
        <w:pStyle w:val="3"/>
        <w:spacing w:line="560" w:lineRule="exact"/>
      </w:pPr>
      <w:bookmarkStart w:id="7" w:name="_Toc28829"/>
      <w:bookmarkStart w:id="8" w:name="_Toc60236699"/>
      <w:bookmarkStart w:id="9" w:name="_Toc508103352"/>
      <w:r>
        <w:rPr>
          <w:rFonts w:hint="eastAsia"/>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508103353"/>
      <w:bookmarkStart w:id="11" w:name="_Toc11839"/>
      <w:bookmarkStart w:id="12" w:name="_Toc60236700"/>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pStyle w:val="6"/>
      </w:pPr>
      <w:r>
        <w:rPr>
          <w:rFonts w:hint="eastAsia" w:ascii="宋体" w:hAnsi="宋体"/>
          <w:sz w:val="28"/>
          <w:szCs w:val="28"/>
        </w:rPr>
        <w:t>（三）参加采购活动前3年内，在经营活动中没有重大违法记录，有依法缴纳税收和社会保障资金的良好记录，具有良好的商业信誉和健全的财务会计制度，履行合同所必需的设备和专业技术能力。（提供书面声明）。</w:t>
      </w:r>
    </w:p>
    <w:p>
      <w:pPr>
        <w:pStyle w:val="3"/>
        <w:spacing w:line="560" w:lineRule="exact"/>
      </w:pPr>
      <w:bookmarkStart w:id="13" w:name="_Toc20873"/>
      <w:bookmarkStart w:id="14" w:name="_Toc60236701"/>
      <w:bookmarkStart w:id="15" w:name="_Toc508103354"/>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3"/>
        <w:spacing w:line="560" w:lineRule="exact"/>
      </w:pPr>
      <w:bookmarkStart w:id="16" w:name="_Toc18253"/>
      <w:bookmarkStart w:id="17" w:name="_Toc60236702"/>
      <w:bookmarkStart w:id="18" w:name="_Toc508103355"/>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508103356"/>
      <w:bookmarkStart w:id="20" w:name="_Toc60236703"/>
      <w:bookmarkStart w:id="21" w:name="_Toc10890"/>
      <w:r>
        <w:rPr>
          <w:rFonts w:hint="eastAsia"/>
        </w:rPr>
        <w:t>六、评审</w:t>
      </w:r>
      <w:r>
        <w:t>方法</w:t>
      </w:r>
      <w:r>
        <w:rPr>
          <w:rFonts w:hint="eastAsia"/>
        </w:rPr>
        <w:t>及原则</w:t>
      </w:r>
      <w:bookmarkEnd w:id="19"/>
      <w:bookmarkEnd w:id="20"/>
      <w:bookmarkEnd w:id="21"/>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（二）综合评审  。</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 xml:space="preserve">本项目采用方式 </w:t>
      </w:r>
      <w:r>
        <w:rPr>
          <w:rFonts w:hint="eastAsia" w:ascii="宋体" w:hAnsi="宋体"/>
          <w:sz w:val="28"/>
          <w:szCs w:val="28"/>
          <w:lang w:val="en-US" w:eastAsia="zh-CN"/>
        </w:rPr>
        <w:t xml:space="preserve">      </w:t>
      </w:r>
      <w:r>
        <w:rPr>
          <w:rFonts w:hint="eastAsia" w:ascii="宋体" w:hAnsi="宋体"/>
          <w:sz w:val="28"/>
          <w:szCs w:val="28"/>
        </w:rPr>
        <w:t>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pPr>
      <w:bookmarkStart w:id="22" w:name="_Toc18663"/>
      <w:r>
        <w:rPr>
          <w:rFonts w:hint="eastAsia"/>
        </w:rPr>
        <w:t>成交供应商确定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color w:val="auto"/>
                <w:sz w:val="28"/>
                <w:szCs w:val="28"/>
              </w:rPr>
            </w:pPr>
            <w:r>
              <w:rPr>
                <w:rFonts w:hint="eastAsia" w:ascii="宋体" w:hAnsi="宋体"/>
                <w:b/>
                <w:color w:val="auto"/>
                <w:sz w:val="28"/>
                <w:szCs w:val="28"/>
              </w:rPr>
              <w:t>3</w:t>
            </w:r>
          </w:p>
        </w:tc>
        <w:tc>
          <w:tcPr>
            <w:tcW w:w="6557" w:type="dxa"/>
            <w:noWrap/>
            <w:vAlign w:val="center"/>
          </w:tcPr>
          <w:p>
            <w:pPr>
              <w:spacing w:line="400" w:lineRule="exact"/>
              <w:rPr>
                <w:rFonts w:ascii="宋体" w:hAnsi="宋体"/>
                <w:color w:val="auto"/>
                <w:sz w:val="28"/>
                <w:szCs w:val="28"/>
              </w:rPr>
            </w:pPr>
            <w:r>
              <w:rPr>
                <w:rFonts w:hint="eastAsia" w:ascii="宋体" w:hAnsi="宋体"/>
                <w:color w:val="auto"/>
                <w:sz w:val="28"/>
                <w:szCs w:val="28"/>
              </w:rPr>
              <w:t>参加采购活动前3年内，在经营活动中没有重大违法记录，有依法缴纳税收和社会保障资金的良好记录，具有良好的商业信誉和健全的</w:t>
            </w:r>
            <w:bookmarkStart w:id="31" w:name="_GoBack"/>
            <w:bookmarkEnd w:id="31"/>
            <w:r>
              <w:rPr>
                <w:rFonts w:hint="eastAsia" w:ascii="宋体" w:hAnsi="宋体"/>
                <w:color w:val="auto"/>
                <w:sz w:val="28"/>
                <w:szCs w:val="28"/>
              </w:rPr>
              <w:t>财务会计制度，履行合同所必需的设备和专业技术能力。（提供书面声明）</w:t>
            </w:r>
          </w:p>
        </w:tc>
        <w:tc>
          <w:tcPr>
            <w:tcW w:w="1465" w:type="dxa"/>
            <w:noWrap/>
            <w:vAlign w:val="center"/>
          </w:tcPr>
          <w:p>
            <w:pPr>
              <w:spacing w:line="400" w:lineRule="exact"/>
              <w:rPr>
                <w:rFonts w:ascii="宋体" w:hAnsi="宋体"/>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rPr>
          <w:rFonts w:ascii="宋体" w:hAnsi="宋体"/>
          <w:b/>
          <w:bCs/>
          <w:sz w:val="28"/>
          <w:szCs w:val="28"/>
        </w:rPr>
      </w:pPr>
      <w:r>
        <w:rPr>
          <w:rFonts w:hint="eastAsia" w:ascii="宋体" w:hAnsi="宋体"/>
          <w:b/>
          <w:bCs/>
          <w:sz w:val="28"/>
          <w:szCs w:val="28"/>
        </w:rPr>
        <w:br w:type="page"/>
      </w:r>
    </w:p>
    <w:p>
      <w:pPr>
        <w:spacing w:line="560" w:lineRule="exact"/>
        <w:ind w:firstLine="562" w:firstLineChars="200"/>
        <w:rPr>
          <w:rFonts w:ascii="宋体" w:hAnsi="宋体"/>
          <w:b/>
          <w:sz w:val="28"/>
          <w:szCs w:val="28"/>
        </w:rPr>
      </w:pPr>
      <w:r>
        <w:rPr>
          <w:rFonts w:hint="eastAsia" w:ascii="宋体" w:hAnsi="宋体"/>
          <w:b/>
          <w:sz w:val="28"/>
          <w:szCs w:val="28"/>
        </w:rPr>
        <w:t>附表2：</w:t>
      </w:r>
    </w:p>
    <w:p>
      <w:pPr>
        <w:pStyle w:val="103"/>
        <w:spacing w:line="420" w:lineRule="atLeast"/>
        <w:ind w:firstLine="455"/>
        <w:rPr>
          <w:rFonts w:ascii="宋体" w:eastAsia="宋体"/>
          <w:b/>
          <w:color w:val="000000"/>
          <w:sz w:val="22"/>
          <w:szCs w:val="22"/>
        </w:rPr>
      </w:pPr>
      <w:bookmarkStart w:id="23" w:name="_Toc60236707"/>
      <w:r>
        <w:rPr>
          <w:rFonts w:hint="eastAsia" w:ascii="宋体" w:eastAsia="宋体"/>
          <w:b/>
          <w:color w:val="000000"/>
          <w:sz w:val="22"/>
          <w:szCs w:val="22"/>
        </w:rPr>
        <w:t>（1）各部分权重如下：</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2010"/>
        <w:gridCol w:w="2011"/>
        <w:gridCol w:w="2009"/>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43" w:type="dxa"/>
            <w:shd w:val="clear" w:color="auto" w:fill="EEECE1"/>
            <w:vAlign w:val="center"/>
          </w:tcPr>
          <w:p>
            <w:pPr>
              <w:pStyle w:val="103"/>
              <w:adjustRightInd w:val="0"/>
              <w:snapToGrid w:val="0"/>
              <w:spacing w:line="240" w:lineRule="auto"/>
              <w:ind w:firstLine="0" w:firstLineChars="0"/>
              <w:jc w:val="center"/>
              <w:rPr>
                <w:rFonts w:ascii="宋体" w:eastAsia="宋体" w:cs="宋体"/>
                <w:b/>
                <w:color w:val="000000"/>
                <w:sz w:val="22"/>
                <w:szCs w:val="22"/>
              </w:rPr>
            </w:pPr>
            <w:r>
              <w:rPr>
                <w:rFonts w:ascii="宋体" w:eastAsia="宋体" w:cs="宋体"/>
                <w:b/>
                <w:color w:val="000000"/>
                <w:sz w:val="22"/>
                <w:szCs w:val="22"/>
              </w:rPr>
              <w:t>评分项目</w:t>
            </w:r>
          </w:p>
        </w:tc>
        <w:tc>
          <w:tcPr>
            <w:tcW w:w="2010" w:type="dxa"/>
            <w:shd w:val="clear" w:color="auto" w:fill="EEECE1"/>
            <w:vAlign w:val="center"/>
          </w:tcPr>
          <w:p>
            <w:pPr>
              <w:pStyle w:val="103"/>
              <w:adjustRightInd w:val="0"/>
              <w:snapToGrid w:val="0"/>
              <w:spacing w:line="240" w:lineRule="auto"/>
              <w:ind w:firstLine="0" w:firstLineChars="0"/>
              <w:jc w:val="center"/>
              <w:rPr>
                <w:rFonts w:ascii="宋体" w:eastAsia="宋体" w:cs="宋体"/>
                <w:b/>
                <w:color w:val="000000"/>
                <w:sz w:val="22"/>
                <w:szCs w:val="22"/>
              </w:rPr>
            </w:pPr>
            <w:r>
              <w:rPr>
                <w:rFonts w:hint="eastAsia" w:ascii="宋体" w:eastAsia="宋体" w:cs="宋体"/>
                <w:b/>
                <w:color w:val="000000"/>
                <w:sz w:val="22"/>
                <w:szCs w:val="22"/>
              </w:rPr>
              <w:t>价格因数</w:t>
            </w:r>
          </w:p>
        </w:tc>
        <w:tc>
          <w:tcPr>
            <w:tcW w:w="2011" w:type="dxa"/>
            <w:shd w:val="clear" w:color="auto" w:fill="EEECE1"/>
            <w:vAlign w:val="center"/>
          </w:tcPr>
          <w:p>
            <w:pPr>
              <w:pStyle w:val="103"/>
              <w:adjustRightInd w:val="0"/>
              <w:snapToGrid w:val="0"/>
              <w:spacing w:line="240" w:lineRule="auto"/>
              <w:ind w:firstLine="0" w:firstLineChars="0"/>
              <w:jc w:val="center"/>
              <w:rPr>
                <w:rFonts w:ascii="宋体" w:eastAsia="宋体" w:cs="宋体"/>
                <w:b/>
                <w:color w:val="000000"/>
                <w:sz w:val="22"/>
                <w:szCs w:val="22"/>
              </w:rPr>
            </w:pPr>
            <w:r>
              <w:rPr>
                <w:rFonts w:ascii="宋体" w:eastAsia="宋体" w:cs="宋体"/>
                <w:b/>
                <w:color w:val="000000"/>
                <w:sz w:val="22"/>
                <w:szCs w:val="22"/>
              </w:rPr>
              <w:t>技术</w:t>
            </w:r>
            <w:r>
              <w:rPr>
                <w:rFonts w:hint="eastAsia" w:ascii="宋体" w:eastAsia="宋体" w:cs="宋体"/>
                <w:b/>
                <w:color w:val="000000"/>
                <w:sz w:val="22"/>
                <w:szCs w:val="22"/>
              </w:rPr>
              <w:t>因数</w:t>
            </w:r>
          </w:p>
        </w:tc>
        <w:tc>
          <w:tcPr>
            <w:tcW w:w="2009" w:type="dxa"/>
            <w:shd w:val="clear" w:color="auto" w:fill="EEECE1"/>
            <w:vAlign w:val="center"/>
          </w:tcPr>
          <w:p>
            <w:pPr>
              <w:pStyle w:val="103"/>
              <w:adjustRightInd w:val="0"/>
              <w:snapToGrid w:val="0"/>
              <w:spacing w:line="240" w:lineRule="auto"/>
              <w:ind w:firstLine="0" w:firstLineChars="0"/>
              <w:jc w:val="center"/>
              <w:rPr>
                <w:rFonts w:ascii="宋体" w:eastAsia="宋体" w:cs="宋体"/>
                <w:b/>
                <w:color w:val="000000"/>
                <w:sz w:val="22"/>
                <w:szCs w:val="22"/>
              </w:rPr>
            </w:pPr>
            <w:r>
              <w:rPr>
                <w:rFonts w:hint="eastAsia" w:ascii="宋体" w:eastAsia="宋体" w:cs="宋体"/>
                <w:b/>
                <w:color w:val="000000"/>
                <w:sz w:val="22"/>
                <w:szCs w:val="22"/>
              </w:rPr>
              <w:t>商务因数</w:t>
            </w:r>
          </w:p>
        </w:tc>
        <w:tc>
          <w:tcPr>
            <w:tcW w:w="1266" w:type="dxa"/>
            <w:shd w:val="clear" w:color="auto" w:fill="EEECE1"/>
            <w:vAlign w:val="center"/>
          </w:tcPr>
          <w:p>
            <w:pPr>
              <w:pStyle w:val="103"/>
              <w:adjustRightInd w:val="0"/>
              <w:snapToGrid w:val="0"/>
              <w:spacing w:line="240" w:lineRule="auto"/>
              <w:ind w:firstLine="0" w:firstLineChars="0"/>
              <w:jc w:val="center"/>
              <w:rPr>
                <w:rFonts w:ascii="宋体" w:eastAsia="宋体" w:cs="宋体"/>
                <w:b/>
                <w:color w:val="000000"/>
                <w:sz w:val="22"/>
                <w:szCs w:val="22"/>
              </w:rPr>
            </w:pPr>
            <w:r>
              <w:rPr>
                <w:rFonts w:ascii="宋体" w:eastAsia="宋体" w:cs="宋体"/>
                <w:b/>
                <w:color w:val="000000"/>
                <w:sz w:val="22"/>
                <w:szCs w:val="2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743" w:type="dxa"/>
            <w:vAlign w:val="center"/>
          </w:tcPr>
          <w:p>
            <w:pPr>
              <w:pStyle w:val="103"/>
              <w:adjustRightInd w:val="0"/>
              <w:snapToGrid w:val="0"/>
              <w:spacing w:line="240" w:lineRule="auto"/>
              <w:ind w:firstLine="0" w:firstLineChars="0"/>
              <w:jc w:val="center"/>
              <w:rPr>
                <w:rFonts w:ascii="宋体" w:eastAsia="宋体" w:cs="宋体"/>
                <w:b/>
                <w:color w:val="000000"/>
                <w:sz w:val="22"/>
                <w:szCs w:val="22"/>
              </w:rPr>
            </w:pPr>
            <w:r>
              <w:rPr>
                <w:rFonts w:ascii="宋体" w:eastAsia="宋体" w:cs="宋体"/>
                <w:b/>
                <w:color w:val="000000"/>
                <w:sz w:val="22"/>
                <w:szCs w:val="22"/>
              </w:rPr>
              <w:t>满分</w:t>
            </w:r>
          </w:p>
        </w:tc>
        <w:tc>
          <w:tcPr>
            <w:tcW w:w="2010" w:type="dxa"/>
            <w:vAlign w:val="center"/>
          </w:tcPr>
          <w:p>
            <w:pPr>
              <w:pStyle w:val="103"/>
              <w:adjustRightInd w:val="0"/>
              <w:snapToGrid w:val="0"/>
              <w:spacing w:line="240" w:lineRule="auto"/>
              <w:ind w:firstLine="0" w:firstLineChars="0"/>
              <w:jc w:val="center"/>
              <w:rPr>
                <w:rFonts w:ascii="宋体" w:eastAsia="宋体" w:cs="宋体"/>
                <w:b/>
                <w:color w:val="000000"/>
                <w:sz w:val="22"/>
                <w:szCs w:val="22"/>
              </w:rPr>
            </w:pPr>
            <w:r>
              <w:rPr>
                <w:rFonts w:hint="eastAsia" w:ascii="宋体" w:eastAsia="宋体" w:cs="宋体"/>
                <w:b/>
                <w:color w:val="000000"/>
                <w:sz w:val="22"/>
                <w:szCs w:val="22"/>
              </w:rPr>
              <w:t>2</w:t>
            </w:r>
            <w:r>
              <w:rPr>
                <w:rFonts w:ascii="宋体" w:eastAsia="宋体" w:cs="宋体"/>
                <w:b/>
                <w:color w:val="000000"/>
                <w:sz w:val="22"/>
                <w:szCs w:val="22"/>
              </w:rPr>
              <w:t>0</w:t>
            </w:r>
          </w:p>
        </w:tc>
        <w:tc>
          <w:tcPr>
            <w:tcW w:w="2011" w:type="dxa"/>
            <w:vAlign w:val="center"/>
          </w:tcPr>
          <w:p>
            <w:pPr>
              <w:pStyle w:val="103"/>
              <w:adjustRightInd w:val="0"/>
              <w:snapToGrid w:val="0"/>
              <w:spacing w:line="240" w:lineRule="auto"/>
              <w:ind w:firstLine="0" w:firstLineChars="0"/>
              <w:jc w:val="center"/>
              <w:rPr>
                <w:rFonts w:ascii="宋体" w:eastAsia="宋体" w:cs="宋体"/>
                <w:b/>
                <w:color w:val="000000"/>
                <w:sz w:val="22"/>
                <w:szCs w:val="22"/>
              </w:rPr>
            </w:pPr>
            <w:r>
              <w:rPr>
                <w:rFonts w:hint="eastAsia" w:ascii="宋体" w:eastAsia="宋体" w:cs="宋体"/>
                <w:b/>
                <w:color w:val="000000"/>
                <w:sz w:val="22"/>
                <w:szCs w:val="22"/>
              </w:rPr>
              <w:t>6</w:t>
            </w:r>
            <w:r>
              <w:rPr>
                <w:rFonts w:ascii="宋体" w:eastAsia="宋体" w:cs="宋体"/>
                <w:b/>
                <w:color w:val="000000"/>
                <w:sz w:val="22"/>
                <w:szCs w:val="22"/>
              </w:rPr>
              <w:t>0</w:t>
            </w:r>
          </w:p>
        </w:tc>
        <w:tc>
          <w:tcPr>
            <w:tcW w:w="2009" w:type="dxa"/>
            <w:vAlign w:val="center"/>
          </w:tcPr>
          <w:p>
            <w:pPr>
              <w:pStyle w:val="103"/>
              <w:adjustRightInd w:val="0"/>
              <w:snapToGrid w:val="0"/>
              <w:spacing w:line="240" w:lineRule="auto"/>
              <w:ind w:firstLine="0" w:firstLineChars="0"/>
              <w:jc w:val="center"/>
              <w:rPr>
                <w:rFonts w:ascii="宋体" w:eastAsia="宋体" w:cs="宋体"/>
                <w:b/>
                <w:color w:val="000000"/>
                <w:sz w:val="22"/>
                <w:szCs w:val="22"/>
              </w:rPr>
            </w:pPr>
            <w:r>
              <w:rPr>
                <w:rFonts w:hint="eastAsia" w:ascii="宋体" w:eastAsia="宋体" w:cs="宋体"/>
                <w:b/>
                <w:color w:val="000000"/>
                <w:sz w:val="22"/>
                <w:szCs w:val="22"/>
              </w:rPr>
              <w:t>20</w:t>
            </w:r>
          </w:p>
        </w:tc>
        <w:tc>
          <w:tcPr>
            <w:tcW w:w="1266" w:type="dxa"/>
            <w:vAlign w:val="center"/>
          </w:tcPr>
          <w:p>
            <w:pPr>
              <w:pStyle w:val="103"/>
              <w:adjustRightInd w:val="0"/>
              <w:snapToGrid w:val="0"/>
              <w:spacing w:line="240" w:lineRule="auto"/>
              <w:ind w:firstLine="0" w:firstLineChars="0"/>
              <w:jc w:val="center"/>
              <w:rPr>
                <w:rFonts w:ascii="宋体" w:eastAsia="宋体" w:cs="宋体"/>
                <w:b/>
                <w:color w:val="000000"/>
                <w:sz w:val="22"/>
                <w:szCs w:val="22"/>
              </w:rPr>
            </w:pPr>
            <w:r>
              <w:rPr>
                <w:rFonts w:ascii="宋体" w:eastAsia="宋体" w:cs="宋体"/>
                <w:b/>
                <w:color w:val="000000"/>
                <w:sz w:val="22"/>
                <w:szCs w:val="22"/>
              </w:rPr>
              <w:t>100</w:t>
            </w:r>
          </w:p>
        </w:tc>
      </w:tr>
    </w:tbl>
    <w:p>
      <w:pPr>
        <w:spacing w:line="560" w:lineRule="exact"/>
        <w:ind w:firstLine="562" w:firstLineChars="200"/>
        <w:rPr>
          <w:rFonts w:ascii="宋体" w:hAnsi="宋体"/>
          <w:b/>
          <w:sz w:val="28"/>
          <w:szCs w:val="28"/>
        </w:rPr>
      </w:pPr>
    </w:p>
    <w:p>
      <w:pPr>
        <w:pStyle w:val="103"/>
        <w:spacing w:line="420" w:lineRule="atLeast"/>
        <w:ind w:firstLine="455"/>
        <w:rPr>
          <w:rFonts w:ascii="宋体" w:eastAsia="宋体"/>
          <w:b/>
          <w:color w:val="000000"/>
          <w:sz w:val="22"/>
          <w:szCs w:val="22"/>
        </w:rPr>
      </w:pPr>
      <w:r>
        <w:rPr>
          <w:rFonts w:hint="eastAsia" w:ascii="宋体" w:eastAsia="宋体"/>
          <w:b/>
          <w:color w:val="000000"/>
          <w:sz w:val="22"/>
          <w:szCs w:val="22"/>
        </w:rPr>
        <w:t>（2）详细评审表</w:t>
      </w:r>
    </w:p>
    <w:tbl>
      <w:tblPr>
        <w:tblStyle w:val="28"/>
        <w:tblpPr w:leftFromText="180" w:rightFromText="180" w:vertAnchor="text" w:horzAnchor="margin" w:tblpXSpec="center" w:tblpY="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75"/>
        <w:gridCol w:w="783"/>
        <w:gridCol w:w="6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0" w:type="dxa"/>
            <w:gridSpan w:val="2"/>
            <w:noWrap/>
            <w:vAlign w:val="center"/>
          </w:tcPr>
          <w:p>
            <w:pPr>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评审因素</w:t>
            </w:r>
          </w:p>
        </w:tc>
        <w:tc>
          <w:tcPr>
            <w:tcW w:w="783" w:type="dxa"/>
            <w:noWrap/>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分值</w:t>
            </w:r>
          </w:p>
        </w:tc>
        <w:tc>
          <w:tcPr>
            <w:tcW w:w="6464" w:type="dxa"/>
            <w:noWrap/>
            <w:vAlign w:val="center"/>
          </w:tcPr>
          <w:p>
            <w:pPr>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pStyle w:val="11"/>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价</w:t>
            </w:r>
          </w:p>
          <w:p>
            <w:pPr>
              <w:pStyle w:val="11"/>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格</w:t>
            </w:r>
          </w:p>
          <w:p>
            <w:pPr>
              <w:pStyle w:val="11"/>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因</w:t>
            </w:r>
          </w:p>
          <w:p>
            <w:pPr>
              <w:pStyle w:val="11"/>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素</w:t>
            </w:r>
          </w:p>
        </w:tc>
        <w:tc>
          <w:tcPr>
            <w:tcW w:w="975" w:type="dxa"/>
            <w:noWrap/>
            <w:vAlign w:val="center"/>
          </w:tcPr>
          <w:p>
            <w:pPr>
              <w:pStyle w:val="11"/>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价格分析</w:t>
            </w:r>
          </w:p>
        </w:tc>
        <w:tc>
          <w:tcPr>
            <w:tcW w:w="78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20</w:t>
            </w:r>
          </w:p>
        </w:tc>
        <w:tc>
          <w:tcPr>
            <w:tcW w:w="6464" w:type="dxa"/>
            <w:noWrap/>
            <w:vAlign w:val="center"/>
          </w:tcPr>
          <w:p>
            <w:pPr>
              <w:pStyle w:val="11"/>
              <w:spacing w:line="276" w:lineRule="auto"/>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1、价格评审满分为20分，为客观计算得分。</w:t>
            </w:r>
          </w:p>
          <w:p>
            <w:pPr>
              <w:pStyle w:val="11"/>
              <w:spacing w:line="276" w:lineRule="auto"/>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2、以所有通过资格性与符合性审查的投标人的投标总价作为评审的依据，投标人价格得分评分方法如下：</w:t>
            </w:r>
          </w:p>
          <w:p>
            <w:pPr>
              <w:pStyle w:val="11"/>
              <w:spacing w:line="276" w:lineRule="auto"/>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评标基准价＝实质性满足招标文件要求且投标价格最低的投标总价；</w:t>
            </w:r>
          </w:p>
          <w:p>
            <w:pPr>
              <w:pStyle w:val="11"/>
              <w:spacing w:line="276" w:lineRule="auto"/>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投标人价格得分＝</w:t>
            </w:r>
            <w:r>
              <w:rPr>
                <w:rFonts w:hint="eastAsia" w:asciiTheme="minorEastAsia" w:hAnsiTheme="minorEastAsia" w:eastAsiaTheme="minorEastAsia"/>
                <w:kern w:val="2"/>
                <w:position w:val="-26"/>
                <w:sz w:val="21"/>
                <w:szCs w:val="21"/>
              </w:rPr>
              <w:object>
                <v:shape id="_x0000_i1025" o:spt="75" type="#_x0000_t75" style="height:31.5pt;width:69pt;" o:ole="t" filled="f" o:preferrelative="t" stroked="f" coordsize="21600,21600">
                  <v:path/>
                  <v:fill on="f" focussize="0,0"/>
                  <v:stroke on="f" joinstyle="miter"/>
                  <v:imagedata r:id="rId11" o:title=""/>
                  <o:lock v:ext="edit" aspectratio="t"/>
                  <w10:wrap type="none"/>
                  <w10:anchorlock/>
                </v:shape>
                <o:OLEObject Type="Embed" ProgID="Equations" ShapeID="_x0000_i1025" DrawAspect="Content" ObjectID="_1468075725" r:id="rId10">
                  <o:LockedField>false</o:LockedField>
                </o:OLEObject>
              </w:object>
            </w:r>
            <w:r>
              <w:rPr>
                <w:rFonts w:hint="eastAsia" w:asciiTheme="minorEastAsia" w:hAnsiTheme="minorEastAsia" w:eastAsiaTheme="minorEastAsia"/>
                <w:kern w:val="2"/>
                <w:sz w:val="21"/>
                <w:szCs w:val="21"/>
              </w:rPr>
              <w:t>×20。</w:t>
            </w:r>
          </w:p>
          <w:p>
            <w:pPr>
              <w:pStyle w:val="11"/>
              <w:spacing w:line="276" w:lineRule="auto"/>
              <w:ind w:firstLine="0"/>
              <w:rPr>
                <w:rFonts w:asciiTheme="minorEastAsia" w:hAnsiTheme="minorEastAsia" w:eastAsiaTheme="minorEastAsia"/>
                <w:kern w:val="2"/>
                <w:sz w:val="21"/>
                <w:szCs w:val="21"/>
              </w:rPr>
            </w:pPr>
            <w:r>
              <w:rPr>
                <w:rFonts w:hint="eastAsia" w:cs="宋体"/>
                <w:b/>
                <w:bCs/>
                <w:color w:val="000000"/>
                <w:sz w:val="21"/>
                <w:szCs w:val="21"/>
              </w:rPr>
              <w:t>注：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75" w:type="dxa"/>
            <w:vMerge w:val="restart"/>
            <w:noWrap/>
            <w:vAlign w:val="center"/>
          </w:tcPr>
          <w:p>
            <w:pPr>
              <w:pStyle w:val="11"/>
              <w:spacing w:line="300" w:lineRule="auto"/>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技</w:t>
            </w:r>
          </w:p>
          <w:p>
            <w:pPr>
              <w:pStyle w:val="11"/>
              <w:spacing w:line="300" w:lineRule="auto"/>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术</w:t>
            </w:r>
          </w:p>
          <w:p>
            <w:pPr>
              <w:pStyle w:val="11"/>
              <w:spacing w:line="300" w:lineRule="auto"/>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因</w:t>
            </w:r>
          </w:p>
          <w:p>
            <w:pPr>
              <w:pStyle w:val="11"/>
              <w:spacing w:line="300" w:lineRule="auto"/>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素</w:t>
            </w:r>
          </w:p>
        </w:tc>
        <w:tc>
          <w:tcPr>
            <w:tcW w:w="975" w:type="dxa"/>
            <w:noWrap/>
            <w:vAlign w:val="center"/>
          </w:tcPr>
          <w:p>
            <w:pPr>
              <w:pStyle w:val="11"/>
              <w:spacing w:line="300" w:lineRule="auto"/>
              <w:ind w:firstLine="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对本服务项目的目标、任务标准的理解、分析</w:t>
            </w:r>
          </w:p>
        </w:tc>
        <w:tc>
          <w:tcPr>
            <w:tcW w:w="783" w:type="dxa"/>
            <w:noWrap/>
            <w:vAlign w:val="center"/>
          </w:tcPr>
          <w:p>
            <w:pPr>
              <w:jc w:val="center"/>
              <w:rPr>
                <w:rFonts w:asciiTheme="minorEastAsia" w:hAnsiTheme="minorEastAsia" w:eastAsiaTheme="minorEastAsia"/>
                <w:szCs w:val="21"/>
              </w:rPr>
            </w:pPr>
            <w:r>
              <w:rPr>
                <w:rFonts w:asciiTheme="minorEastAsia" w:hAnsiTheme="minorEastAsia" w:eastAsiaTheme="minorEastAsia"/>
                <w:szCs w:val="21"/>
              </w:rPr>
              <w:t>20</w:t>
            </w:r>
          </w:p>
        </w:tc>
        <w:tc>
          <w:tcPr>
            <w:tcW w:w="6464" w:type="dxa"/>
            <w:noWrap/>
          </w:tcPr>
          <w:p>
            <w:pPr>
              <w:jc w:val="left"/>
              <w:rPr>
                <w:rFonts w:asciiTheme="minorEastAsia" w:hAnsiTheme="minorEastAsia" w:eastAsiaTheme="minorEastAsia"/>
                <w:bCs/>
                <w:szCs w:val="21"/>
              </w:rPr>
            </w:pPr>
            <w:r>
              <w:t>根据各投标人针对本项目技术标准与要求各包组的项目目标、任务标准的理解、分析方案进行评审： 方案内容描述清晰、完整，分析内容详尽深入，所提供的方案满足且优于采购需求的，得</w:t>
            </w:r>
            <w:r>
              <w:rPr>
                <w:rFonts w:hint="eastAsia"/>
              </w:rPr>
              <w:t>20</w:t>
            </w:r>
            <w:r>
              <w:t>分； 方案内容描述清晰、完整，有进行内容分析，所提供的方案满足采购需求的，得</w:t>
            </w:r>
            <w:r>
              <w:rPr>
                <w:rFonts w:hint="eastAsia"/>
              </w:rPr>
              <w:t>15</w:t>
            </w:r>
            <w:r>
              <w:t>分； 方案内容描述清晰、但内容</w:t>
            </w:r>
            <w:r>
              <w:rPr>
                <w:rFonts w:hint="eastAsia"/>
              </w:rPr>
              <w:t>部分</w:t>
            </w:r>
            <w:r>
              <w:t>不完整，未进行分析，所提供的方案基本满足采购需求的，得</w:t>
            </w:r>
            <w:r>
              <w:rPr>
                <w:rFonts w:hint="eastAsia"/>
              </w:rPr>
              <w:t>10</w:t>
            </w:r>
            <w:r>
              <w:t>分；方案内容描述</w:t>
            </w:r>
            <w:r>
              <w:rPr>
                <w:rFonts w:hint="eastAsia"/>
              </w:rPr>
              <w:t>不</w:t>
            </w:r>
            <w:r>
              <w:t>清晰、内容不完整，未进行分析，所提供的方案基本满足采购需求的，得</w:t>
            </w:r>
            <w:r>
              <w:rPr>
                <w:rFonts w:hint="eastAsia"/>
              </w:rPr>
              <w:t>5</w:t>
            </w:r>
            <w:r>
              <w:t>分；方案内容描述不清晰、内容不完整，未进行分析，所提供的方案不满足采购需求的不得分； 无提供或其他均不得分。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75" w:type="dxa"/>
            <w:vMerge w:val="continue"/>
            <w:noWrap/>
            <w:textDirection w:val="tbRlV"/>
            <w:vAlign w:val="center"/>
          </w:tcPr>
          <w:p>
            <w:pPr>
              <w:pStyle w:val="11"/>
              <w:spacing w:line="300" w:lineRule="auto"/>
              <w:ind w:firstLine="0"/>
              <w:rPr>
                <w:rFonts w:asciiTheme="minorEastAsia" w:hAnsiTheme="minorEastAsia" w:eastAsiaTheme="minorEastAsia"/>
                <w:kern w:val="2"/>
                <w:sz w:val="21"/>
                <w:szCs w:val="21"/>
              </w:rPr>
            </w:pPr>
          </w:p>
        </w:tc>
        <w:tc>
          <w:tcPr>
            <w:tcW w:w="975" w:type="dxa"/>
            <w:noWrap/>
            <w:vAlign w:val="center"/>
          </w:tcPr>
          <w:p>
            <w:pPr>
              <w:spacing w:line="400" w:lineRule="exact"/>
              <w:rPr>
                <w:rFonts w:asciiTheme="minorEastAsia" w:hAnsiTheme="minorEastAsia" w:eastAsiaTheme="minorEastAsia"/>
                <w:szCs w:val="21"/>
              </w:rPr>
            </w:pPr>
            <w:r>
              <w:rPr>
                <w:rFonts w:asciiTheme="minorEastAsia" w:hAnsiTheme="minorEastAsia" w:eastAsiaTheme="minorEastAsia"/>
                <w:szCs w:val="21"/>
              </w:rPr>
              <w:t>项目实施方案</w:t>
            </w:r>
          </w:p>
        </w:tc>
        <w:tc>
          <w:tcPr>
            <w:tcW w:w="783" w:type="dxa"/>
            <w:noWrap/>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20</w:t>
            </w:r>
          </w:p>
        </w:tc>
        <w:tc>
          <w:tcPr>
            <w:tcW w:w="6464" w:type="dxa"/>
            <w:noWrap/>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投标人服务方案</w:t>
            </w:r>
            <w:r>
              <w:rPr>
                <w:rFonts w:hint="eastAsia" w:asciiTheme="minorEastAsia" w:hAnsiTheme="minorEastAsia" w:eastAsiaTheme="minorEastAsia"/>
                <w:szCs w:val="21"/>
              </w:rPr>
              <w:t>中</w:t>
            </w:r>
            <w:r>
              <w:rPr>
                <w:rFonts w:asciiTheme="minorEastAsia" w:hAnsiTheme="minorEastAsia" w:eastAsiaTheme="minorEastAsia"/>
                <w:szCs w:val="21"/>
              </w:rPr>
              <w:t>项目实施技术方案： 1.方案贴合实际，针对性和可实施性很强，完全满足且优于用户需求的，得</w:t>
            </w:r>
            <w:r>
              <w:rPr>
                <w:rFonts w:hint="eastAsia" w:asciiTheme="minorEastAsia" w:hAnsiTheme="minorEastAsia" w:eastAsiaTheme="minorEastAsia"/>
                <w:szCs w:val="21"/>
              </w:rPr>
              <w:t>10</w:t>
            </w:r>
            <w:r>
              <w:rPr>
                <w:rFonts w:asciiTheme="minorEastAsia" w:hAnsiTheme="minorEastAsia" w:eastAsiaTheme="minorEastAsia"/>
                <w:szCs w:val="21"/>
              </w:rPr>
              <w:t>分。 2.方案比较贴合实际，针对性和可实施性比较强，完全满足用户需求的，得5分。 3.方案不符合实际，针对性和可实施性较弱，不完全满足用户需求的，得1分。 4.未提供方案，得0分。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75" w:type="dxa"/>
            <w:vMerge w:val="continue"/>
            <w:noWrap/>
            <w:textDirection w:val="tbRlV"/>
            <w:vAlign w:val="center"/>
          </w:tcPr>
          <w:p>
            <w:pPr>
              <w:ind w:left="113" w:right="113"/>
              <w:jc w:val="center"/>
              <w:rPr>
                <w:rFonts w:asciiTheme="minorEastAsia" w:hAnsiTheme="minorEastAsia" w:eastAsiaTheme="minorEastAsia"/>
                <w:szCs w:val="21"/>
              </w:rPr>
            </w:pPr>
          </w:p>
        </w:tc>
        <w:tc>
          <w:tcPr>
            <w:tcW w:w="975" w:type="dxa"/>
            <w:noWrap/>
            <w:vAlign w:val="center"/>
          </w:tcPr>
          <w:p>
            <w:pPr>
              <w:spacing w:line="400" w:lineRule="exact"/>
              <w:rPr>
                <w:rFonts w:asciiTheme="minorEastAsia" w:hAnsiTheme="minorEastAsia" w:eastAsiaTheme="minorEastAsia"/>
                <w:szCs w:val="21"/>
              </w:rPr>
            </w:pPr>
            <w:r>
              <w:rPr>
                <w:rFonts w:asciiTheme="minorEastAsia" w:hAnsiTheme="minorEastAsia" w:eastAsiaTheme="minorEastAsia"/>
                <w:szCs w:val="21"/>
              </w:rPr>
              <w:t xml:space="preserve">项目质量与验收方案 </w:t>
            </w:r>
          </w:p>
        </w:tc>
        <w:tc>
          <w:tcPr>
            <w:tcW w:w="783" w:type="dxa"/>
            <w:noWrap/>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20</w:t>
            </w:r>
          </w:p>
        </w:tc>
        <w:tc>
          <w:tcPr>
            <w:tcW w:w="6464" w:type="dxa"/>
            <w:noWrap/>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投标人</w:t>
            </w:r>
            <w:r>
              <w:rPr>
                <w:rFonts w:hint="eastAsia" w:asciiTheme="minorEastAsia" w:hAnsiTheme="minorEastAsia" w:eastAsiaTheme="minorEastAsia"/>
                <w:szCs w:val="21"/>
              </w:rPr>
              <w:t>服务方案中</w:t>
            </w:r>
            <w:r>
              <w:rPr>
                <w:rFonts w:asciiTheme="minorEastAsia" w:hAnsiTheme="minorEastAsia" w:eastAsiaTheme="minorEastAsia"/>
                <w:szCs w:val="21"/>
              </w:rPr>
              <w:t>项目质量与验收方案： 1.服务方案贴合实际，针对性和可实施性很强，完全满足且优于用户需求的，得</w:t>
            </w:r>
            <w:r>
              <w:rPr>
                <w:rFonts w:hint="eastAsia" w:asciiTheme="minorEastAsia" w:hAnsiTheme="minorEastAsia" w:eastAsiaTheme="minorEastAsia"/>
                <w:szCs w:val="21"/>
              </w:rPr>
              <w:t>15</w:t>
            </w:r>
            <w:r>
              <w:rPr>
                <w:rFonts w:asciiTheme="minorEastAsia" w:hAnsiTheme="minorEastAsia" w:eastAsiaTheme="minorEastAsia"/>
                <w:szCs w:val="21"/>
              </w:rPr>
              <w:t>分。 2.服务方案比较贴合实际，针对性和可实施性比较强，完全满足用户需求的，得</w:t>
            </w:r>
            <w:r>
              <w:rPr>
                <w:rFonts w:hint="eastAsia" w:asciiTheme="minorEastAsia" w:hAnsiTheme="minorEastAsia" w:eastAsiaTheme="minorEastAsia"/>
                <w:szCs w:val="21"/>
              </w:rPr>
              <w:t>10</w:t>
            </w:r>
            <w:r>
              <w:rPr>
                <w:rFonts w:asciiTheme="minorEastAsia" w:hAnsiTheme="minorEastAsia" w:eastAsiaTheme="minorEastAsia"/>
                <w:szCs w:val="21"/>
              </w:rPr>
              <w:t>分。 3.服务方案不符合实际，针对性和可实施性较弱，不完全满足用户需求的，得</w:t>
            </w:r>
            <w:r>
              <w:rPr>
                <w:rFonts w:hint="eastAsia" w:asciiTheme="minorEastAsia" w:hAnsiTheme="minorEastAsia" w:eastAsiaTheme="minorEastAsia"/>
                <w:szCs w:val="21"/>
              </w:rPr>
              <w:t>5</w:t>
            </w:r>
            <w:r>
              <w:rPr>
                <w:rFonts w:asciiTheme="minorEastAsia" w:hAnsiTheme="minorEastAsia" w:eastAsiaTheme="minorEastAsia"/>
                <w:szCs w:val="21"/>
              </w:rPr>
              <w:t>分。 4.未提供方案，得0分。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75" w:type="dxa"/>
            <w:vMerge w:val="restart"/>
            <w:noWrap/>
            <w:vAlign w:val="center"/>
          </w:tcPr>
          <w:p>
            <w:pPr>
              <w:ind w:left="113" w:leftChars="54" w:firstLine="525" w:firstLineChars="250"/>
              <w:rPr>
                <w:rFonts w:asciiTheme="minorEastAsia" w:hAnsiTheme="minorEastAsia" w:eastAsiaTheme="minorEastAsia"/>
                <w:szCs w:val="21"/>
              </w:rPr>
            </w:pPr>
            <w:r>
              <w:rPr>
                <w:rFonts w:hint="eastAsia" w:asciiTheme="minorEastAsia" w:hAnsiTheme="minorEastAsia" w:eastAsiaTheme="minorEastAsia"/>
                <w:szCs w:val="21"/>
              </w:rPr>
              <w:t>商商务因素</w:t>
            </w:r>
          </w:p>
        </w:tc>
        <w:tc>
          <w:tcPr>
            <w:tcW w:w="975" w:type="dxa"/>
            <w:noWrap/>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同类项目业绩</w:t>
            </w:r>
          </w:p>
        </w:tc>
        <w:tc>
          <w:tcPr>
            <w:tcW w:w="78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6464" w:type="dxa"/>
            <w:noWrap/>
          </w:tcPr>
          <w:p>
            <w:pPr>
              <w:jc w:val="left"/>
              <w:rPr>
                <w:rFonts w:asciiTheme="minorEastAsia" w:hAnsiTheme="minorEastAsia" w:eastAsiaTheme="minorEastAsia"/>
                <w:szCs w:val="21"/>
              </w:rPr>
            </w:pPr>
            <w:r>
              <w:t>投标人提供自2020年1月1日（以合同签订时间为准）至今承担过同类标准化服务项目业绩，每提供一个项目业绩得5分。 本项最高得</w:t>
            </w:r>
            <w:r>
              <w:rPr>
                <w:rFonts w:hint="eastAsia"/>
              </w:rPr>
              <w:t>1</w:t>
            </w:r>
            <w:r>
              <w:t>0分；无不得分。 注：需提供完整的主要成果证明材料（成果证明材料须清晰体现投标人单位、工作内容等），并加盖公章。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75" w:type="dxa"/>
            <w:vMerge w:val="continue"/>
            <w:noWrap/>
            <w:textDirection w:val="tbRlV"/>
            <w:vAlign w:val="center"/>
          </w:tcPr>
          <w:p>
            <w:pPr>
              <w:ind w:left="113" w:right="113"/>
              <w:jc w:val="center"/>
              <w:rPr>
                <w:rFonts w:asciiTheme="minorEastAsia" w:hAnsiTheme="minorEastAsia" w:eastAsiaTheme="minorEastAsia"/>
                <w:color w:val="000000"/>
                <w:szCs w:val="21"/>
              </w:rPr>
            </w:pPr>
          </w:p>
        </w:tc>
        <w:tc>
          <w:tcPr>
            <w:tcW w:w="975" w:type="dxa"/>
            <w:noWrap/>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服务响应时间</w:t>
            </w:r>
          </w:p>
        </w:tc>
        <w:tc>
          <w:tcPr>
            <w:tcW w:w="783" w:type="dxa"/>
            <w:noWrap/>
            <w:vAlign w:val="center"/>
          </w:tcPr>
          <w:p>
            <w:pPr>
              <w:jc w:val="center"/>
              <w:rPr>
                <w:rFonts w:asciiTheme="minorEastAsia" w:hAnsiTheme="minorEastAsia" w:eastAsiaTheme="minorEastAsia"/>
                <w:szCs w:val="21"/>
              </w:rPr>
            </w:pPr>
            <w:r>
              <w:rPr>
                <w:rFonts w:asciiTheme="minorEastAsia" w:hAnsiTheme="minorEastAsia" w:eastAsiaTheme="minorEastAsia"/>
                <w:szCs w:val="21"/>
              </w:rPr>
              <w:t>10</w:t>
            </w:r>
          </w:p>
        </w:tc>
        <w:tc>
          <w:tcPr>
            <w:tcW w:w="6464" w:type="dxa"/>
            <w:noWrap/>
          </w:tcPr>
          <w:p>
            <w:pPr>
              <w:jc w:val="left"/>
              <w:rPr>
                <w:rFonts w:asciiTheme="minorEastAsia" w:hAnsiTheme="minorEastAsia" w:eastAsiaTheme="minorEastAsia"/>
                <w:szCs w:val="21"/>
              </w:rPr>
            </w:pPr>
            <w:r>
              <w:t>投标人服务响应时间，到达采购人所在单位时间： 到达现场时间≤3小时，得5分； 3小时＜到达现场时间≤6小时，得3分； 6小时＜到达现场时间≤8小时，得1分； 其他到达时间，得0分。 备注：提供服务响应到达现场时间承诺函并加盖供应商公章，不提供不得分。</w:t>
            </w:r>
          </w:p>
        </w:tc>
      </w:tr>
    </w:tbl>
    <w:p>
      <w:pPr>
        <w:spacing w:line="400" w:lineRule="exact"/>
        <w:ind w:firstLine="480" w:firstLineChars="200"/>
        <w:rPr>
          <w:rFonts w:ascii="宋体" w:hAnsi="宋体"/>
          <w:sz w:val="28"/>
          <w:szCs w:val="28"/>
        </w:rPr>
      </w:pPr>
      <w:r>
        <w:rPr>
          <w:rFonts w:hint="eastAsia" w:asciiTheme="minorEastAsia" w:hAnsiTheme="minorEastAsia" w:eastAsiaTheme="minorEastAsia"/>
          <w:color w:val="000000"/>
          <w:sz w:val="24"/>
        </w:rPr>
        <w:t>注：各评委按规定的范围内进行量化打分，并统计总分。</w:t>
      </w:r>
    </w:p>
    <w:p>
      <w:pPr>
        <w:pStyle w:val="2"/>
      </w:pPr>
      <w:r>
        <w:rPr>
          <w:rFonts w:hint="eastAsia"/>
        </w:rPr>
        <w:br w:type="page"/>
      </w:r>
      <w:bookmarkStart w:id="24" w:name="_Toc5254"/>
      <w:r>
        <w:rPr>
          <w:rFonts w:hint="eastAsia"/>
        </w:rPr>
        <w:t>第二部分</w:t>
      </w:r>
      <w:bookmarkEnd w:id="23"/>
      <w:r>
        <w:rPr>
          <w:rFonts w:hint="eastAsia"/>
        </w:rPr>
        <w:t xml:space="preserve">  采购需求书</w:t>
      </w:r>
      <w:bookmarkEnd w:id="24"/>
    </w:p>
    <w:p>
      <w:pPr>
        <w:pStyle w:val="3"/>
        <w:spacing w:line="560" w:lineRule="exact"/>
      </w:pPr>
      <w:bookmarkStart w:id="25" w:name="_Toc179"/>
      <w:r>
        <w:rPr>
          <w:rFonts w:hint="eastAsia"/>
        </w:rPr>
        <w:t>一、技术（服务）要求</w:t>
      </w:r>
      <w:bookmarkEnd w:id="25"/>
    </w:p>
    <w:p>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8"/>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8"/>
        <w:gridCol w:w="4946"/>
        <w:gridCol w:w="2378"/>
        <w:gridCol w:w="10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1"/>
                <w:rFonts w:hint="eastAsia" w:ascii="宋体" w:hAnsi="宋体" w:cs="宋体"/>
                <w:color w:val="333333"/>
                <w:kern w:val="0"/>
                <w:sz w:val="24"/>
              </w:rPr>
              <w:t>序号</w:t>
            </w:r>
          </w:p>
        </w:tc>
        <w:tc>
          <w:tcPr>
            <w:tcW w:w="270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1"/>
                <w:rFonts w:hint="eastAsia" w:ascii="宋体" w:hAnsi="宋体" w:cs="宋体"/>
                <w:color w:val="333333"/>
                <w:kern w:val="0"/>
                <w:sz w:val="24"/>
              </w:rPr>
              <w:t>物资名称</w:t>
            </w:r>
          </w:p>
        </w:tc>
        <w:tc>
          <w:tcPr>
            <w:tcW w:w="129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1"/>
                <w:rFonts w:hint="eastAsia" w:ascii="宋体" w:hAnsi="宋体" w:cs="宋体"/>
                <w:color w:val="333333"/>
                <w:kern w:val="0"/>
                <w:sz w:val="24"/>
              </w:rPr>
              <w:t>单位</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1"/>
                <w:rFonts w:hint="eastAsia" w:ascii="宋体" w:hAnsi="宋体" w:cs="宋体"/>
                <w:color w:val="333333"/>
                <w:kern w:val="0"/>
                <w:sz w:val="24"/>
              </w:rPr>
              <w:t>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4"/>
              </w:rPr>
            </w:pPr>
            <w:r>
              <w:rPr>
                <w:rFonts w:hint="eastAsia" w:ascii="宋体" w:hAnsi="宋体" w:cs="宋体"/>
                <w:color w:val="333333"/>
                <w:kern w:val="0"/>
                <w:sz w:val="24"/>
              </w:rPr>
              <w:t>1</w:t>
            </w:r>
          </w:p>
        </w:tc>
        <w:tc>
          <w:tcPr>
            <w:tcW w:w="2700"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left"/>
              <w:rPr>
                <w:rFonts w:ascii="宋体" w:hAnsi="宋体" w:cs="宋体"/>
                <w:sz w:val="24"/>
              </w:rPr>
            </w:pPr>
            <w:r>
              <w:rPr>
                <w:rFonts w:ascii="宋体" w:hAnsi="宋体" w:cs="宋体"/>
                <w:sz w:val="24"/>
              </w:rPr>
              <w:t>《农民数字素养》团体标准制定及发布</w:t>
            </w: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Fonts w:hint="eastAsia" w:ascii="宋体" w:hAnsi="宋体" w:cs="宋体"/>
                <w:sz w:val="24"/>
              </w:rPr>
              <w:t>项</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Fonts w:hint="eastAsia" w:ascii="宋体" w:hAnsi="宋体" w:cs="宋体"/>
                <w:sz w:val="24"/>
              </w:rPr>
              <w:t>1</w:t>
            </w:r>
          </w:p>
        </w:tc>
      </w:tr>
    </w:tbl>
    <w:p>
      <w:pPr>
        <w:numPr>
          <w:ilvl w:val="0"/>
          <w:numId w:val="4"/>
        </w:numPr>
        <w:spacing w:line="560" w:lineRule="exact"/>
        <w:ind w:firstLine="562" w:firstLineChars="200"/>
        <w:rPr>
          <w:rFonts w:ascii="宋体" w:hAnsi="宋体"/>
          <w:b/>
          <w:bCs/>
          <w:kern w:val="0"/>
          <w:sz w:val="28"/>
          <w:szCs w:val="28"/>
        </w:rPr>
      </w:pPr>
      <w:r>
        <w:rPr>
          <w:rFonts w:hint="eastAsia" w:ascii="宋体" w:hAnsi="宋体"/>
          <w:b/>
          <w:bCs/>
          <w:kern w:val="0"/>
          <w:sz w:val="28"/>
          <w:szCs w:val="28"/>
        </w:rPr>
        <w:t>具体技术指标及性能要求：</w:t>
      </w:r>
    </w:p>
    <w:p>
      <w:pPr>
        <w:pStyle w:val="6"/>
        <w:ind w:firstLine="0"/>
      </w:pPr>
    </w:p>
    <w:p>
      <w:pPr>
        <w:spacing w:line="560" w:lineRule="exact"/>
        <w:ind w:firstLine="560" w:firstLineChars="200"/>
        <w:rPr>
          <w:rFonts w:ascii="宋体" w:hAnsi="宋体"/>
          <w:sz w:val="28"/>
          <w:szCs w:val="28"/>
        </w:rPr>
      </w:pPr>
      <w:r>
        <w:rPr>
          <w:rFonts w:hint="eastAsia" w:ascii="宋体" w:hAnsi="宋体"/>
          <w:sz w:val="28"/>
          <w:szCs w:val="28"/>
        </w:rPr>
        <w:t>①制订团体标准工作计划书，明确工作进度及分工。</w:t>
      </w:r>
    </w:p>
    <w:p>
      <w:pPr>
        <w:spacing w:line="560" w:lineRule="exact"/>
        <w:ind w:firstLine="560" w:firstLineChars="200"/>
        <w:rPr>
          <w:rFonts w:ascii="宋体" w:hAnsi="宋体"/>
          <w:sz w:val="28"/>
          <w:szCs w:val="28"/>
        </w:rPr>
      </w:pPr>
      <w:r>
        <w:rPr>
          <w:rFonts w:hint="eastAsia" w:ascii="宋体" w:hAnsi="宋体"/>
          <w:sz w:val="28"/>
          <w:szCs w:val="28"/>
        </w:rPr>
        <w:t>②组建标准编制工作组，建立工作群，对团体标准前期开展资料收集、论证、调研等工作。</w:t>
      </w:r>
    </w:p>
    <w:p>
      <w:pPr>
        <w:spacing w:line="560" w:lineRule="exact"/>
        <w:ind w:firstLine="560" w:firstLineChars="200"/>
        <w:rPr>
          <w:rFonts w:ascii="宋体" w:hAnsi="宋体"/>
          <w:sz w:val="28"/>
          <w:szCs w:val="28"/>
        </w:rPr>
      </w:pPr>
      <w:r>
        <w:rPr>
          <w:rFonts w:hint="eastAsia" w:ascii="宋体" w:hAnsi="宋体"/>
          <w:sz w:val="28"/>
          <w:szCs w:val="28"/>
        </w:rPr>
        <w:t>③组织团体标准立项事宜，协助做好团体标准立项申请书、标准编制工作组报名、跟踪立项进度等。</w:t>
      </w:r>
    </w:p>
    <w:p>
      <w:pPr>
        <w:spacing w:line="560" w:lineRule="exact"/>
        <w:ind w:firstLine="560" w:firstLineChars="200"/>
        <w:rPr>
          <w:rFonts w:ascii="宋体" w:hAnsi="宋体"/>
          <w:sz w:val="28"/>
          <w:szCs w:val="28"/>
        </w:rPr>
      </w:pPr>
      <w:r>
        <w:rPr>
          <w:rFonts w:hint="eastAsia" w:ascii="宋体" w:hAnsi="宋体"/>
          <w:sz w:val="28"/>
          <w:szCs w:val="28"/>
        </w:rPr>
        <w:t>④组织编制工作组讨论完善团体标准草案，根据甲方需求召开技术研讨会。</w:t>
      </w:r>
    </w:p>
    <w:p>
      <w:pPr>
        <w:spacing w:line="560" w:lineRule="exact"/>
        <w:ind w:firstLine="560" w:firstLineChars="200"/>
        <w:rPr>
          <w:rFonts w:ascii="宋体" w:hAnsi="宋体"/>
          <w:sz w:val="28"/>
          <w:szCs w:val="28"/>
        </w:rPr>
      </w:pPr>
      <w:r>
        <w:rPr>
          <w:rFonts w:hint="eastAsia" w:ascii="宋体" w:hAnsi="宋体"/>
          <w:sz w:val="28"/>
          <w:szCs w:val="28"/>
        </w:rPr>
        <w:t>⑤编制团体标准征求意见稿、编制说明，公开征集意见并汇总整理。</w:t>
      </w:r>
    </w:p>
    <w:p>
      <w:pPr>
        <w:spacing w:line="560" w:lineRule="exact"/>
        <w:ind w:firstLine="560" w:firstLineChars="200"/>
        <w:rPr>
          <w:rFonts w:ascii="宋体" w:hAnsi="宋体"/>
          <w:sz w:val="28"/>
          <w:szCs w:val="28"/>
        </w:rPr>
      </w:pPr>
      <w:r>
        <w:rPr>
          <w:rFonts w:hint="eastAsia" w:ascii="宋体" w:hAnsi="宋体"/>
          <w:sz w:val="28"/>
          <w:szCs w:val="28"/>
        </w:rPr>
        <w:t>⑥修改标准文本并形成标准送审稿。</w:t>
      </w:r>
    </w:p>
    <w:p>
      <w:pPr>
        <w:spacing w:line="560" w:lineRule="exact"/>
        <w:ind w:firstLine="560" w:firstLineChars="200"/>
        <w:rPr>
          <w:rFonts w:ascii="宋体" w:hAnsi="宋体"/>
          <w:sz w:val="28"/>
          <w:szCs w:val="28"/>
        </w:rPr>
      </w:pPr>
      <w:r>
        <w:rPr>
          <w:rFonts w:hint="eastAsia" w:ascii="宋体" w:hAnsi="宋体"/>
          <w:sz w:val="28"/>
          <w:szCs w:val="28"/>
        </w:rPr>
        <w:t>⑦依据《团体标准管理规定》要求，组织召开团体标准技术审查会，邀请5～7名标准化专家和行业专家，专家组负责对团体标准送审稿进行技术审查，并出具审查结论。</w:t>
      </w:r>
    </w:p>
    <w:p>
      <w:pPr>
        <w:spacing w:line="560" w:lineRule="exact"/>
        <w:ind w:firstLine="560" w:firstLineChars="200"/>
        <w:rPr>
          <w:rFonts w:ascii="宋体" w:hAnsi="宋体"/>
          <w:sz w:val="28"/>
          <w:szCs w:val="28"/>
        </w:rPr>
      </w:pPr>
      <w:r>
        <w:rPr>
          <w:rFonts w:hint="eastAsia" w:ascii="宋体" w:hAnsi="宋体"/>
          <w:sz w:val="28"/>
          <w:szCs w:val="28"/>
        </w:rPr>
        <w:t>⑧团体标准通过专家组审定后，根据GB/T 1.1《标准化工作导则第1部分：标准化文件的结构和起草规则》对团标格式进行终审并由广东省市场监督管理局下属协会上报国标委全国团体标准信息网平台发布。</w:t>
      </w:r>
    </w:p>
    <w:p>
      <w:pPr>
        <w:spacing w:line="560" w:lineRule="exact"/>
        <w:ind w:firstLine="560" w:firstLineChars="200"/>
        <w:rPr>
          <w:rFonts w:ascii="宋体" w:hAnsi="宋体"/>
          <w:sz w:val="28"/>
          <w:szCs w:val="28"/>
        </w:rPr>
      </w:pPr>
      <w:r>
        <w:rPr>
          <w:rFonts w:hint="eastAsia" w:ascii="宋体" w:hAnsi="宋体"/>
          <w:sz w:val="28"/>
          <w:szCs w:val="28"/>
        </w:rPr>
        <w:t>⑨及时处理团体标准制订发布过程出现的问题。</w:t>
      </w:r>
    </w:p>
    <w:p>
      <w:pPr>
        <w:spacing w:line="560" w:lineRule="exact"/>
        <w:ind w:firstLine="560" w:firstLineChars="200"/>
        <w:rPr>
          <w:rFonts w:ascii="宋体" w:hAnsi="宋体"/>
          <w:kern w:val="0"/>
          <w:sz w:val="28"/>
          <w:szCs w:val="28"/>
        </w:rPr>
      </w:pPr>
    </w:p>
    <w:p>
      <w:pPr>
        <w:spacing w:line="560" w:lineRule="exact"/>
        <w:ind w:firstLine="560" w:firstLineChars="200"/>
        <w:rPr>
          <w:rFonts w:ascii="宋体" w:hAnsi="宋体"/>
          <w:sz w:val="32"/>
          <w:szCs w:val="32"/>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”的为“实质性响应指标”。“实质性响应指标”不允许“负偏离”，否则报价无效；“非实质性响应指标”允许“负偏离”，但不能超出偏离范围，否则报价无效</w:t>
      </w:r>
    </w:p>
    <w:p>
      <w:pPr>
        <w:pStyle w:val="3"/>
        <w:spacing w:line="560" w:lineRule="exact"/>
        <w:rPr>
          <w:rFonts w:ascii="宋体" w:hAnsi="宋体" w:cs="宋体"/>
          <w:sz w:val="24"/>
        </w:rPr>
      </w:pPr>
      <w:bookmarkStart w:id="26" w:name="_Toc17787"/>
      <w:bookmarkStart w:id="27" w:name="_Toc60236709"/>
      <w:r>
        <w:rPr>
          <w:rFonts w:hint="eastAsia"/>
        </w:rPr>
        <w:t>二、商务要求</w:t>
      </w:r>
      <w:bookmarkEnd w:id="26"/>
      <w:bookmarkEnd w:id="27"/>
    </w:p>
    <w:p>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自合同签订之日起45个工作日内完成交货，确保正常发布可用。</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交付地点：广东财经大学广州校区。</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(二)研讨与</w:t>
      </w:r>
      <w:r>
        <w:rPr>
          <w:rFonts w:hint="eastAsia" w:ascii="宋体" w:hAnsi="宋体" w:cs="宋体"/>
          <w:b/>
          <w:sz w:val="28"/>
          <w:szCs w:val="28"/>
        </w:rPr>
        <w:t>培训</w:t>
      </w:r>
      <w:r>
        <w:rPr>
          <w:rFonts w:hint="eastAsia" w:ascii="宋体" w:hAnsi="宋体"/>
          <w:b/>
          <w:sz w:val="28"/>
          <w:szCs w:val="28"/>
        </w:rPr>
        <w:t>要求</w:t>
      </w:r>
    </w:p>
    <w:p>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本项目采购内容包括《农民数字素养》团体标准</w:t>
      </w:r>
      <w:r>
        <w:rPr>
          <w:rFonts w:hint="eastAsia" w:ascii="宋体" w:hAnsi="宋体"/>
          <w:sz w:val="28"/>
          <w:szCs w:val="28"/>
          <w:lang w:val="en-US" w:eastAsia="zh-CN"/>
        </w:rPr>
        <w:t>的</w:t>
      </w:r>
      <w:r>
        <w:rPr>
          <w:rFonts w:hint="eastAsia" w:ascii="宋体" w:hAnsi="宋体"/>
          <w:sz w:val="28"/>
          <w:szCs w:val="28"/>
        </w:rPr>
        <w:t>研讨</w:t>
      </w:r>
      <w:r>
        <w:rPr>
          <w:rFonts w:hint="eastAsia" w:ascii="宋体" w:hAnsi="宋体"/>
          <w:sz w:val="28"/>
          <w:szCs w:val="28"/>
          <w:lang w:eastAsia="zh-CN"/>
        </w:rPr>
        <w:t>、</w:t>
      </w:r>
      <w:r>
        <w:rPr>
          <w:rFonts w:hint="eastAsia" w:ascii="宋体" w:hAnsi="宋体"/>
          <w:sz w:val="28"/>
          <w:szCs w:val="28"/>
        </w:rPr>
        <w:t>培训</w:t>
      </w:r>
      <w:r>
        <w:rPr>
          <w:rFonts w:hint="eastAsia" w:ascii="宋体" w:hAnsi="宋体"/>
          <w:sz w:val="28"/>
          <w:szCs w:val="28"/>
          <w:lang w:val="en-US" w:eastAsia="zh-CN"/>
        </w:rPr>
        <w:t>和发布</w:t>
      </w:r>
      <w:r>
        <w:rPr>
          <w:rFonts w:hint="eastAsia" w:ascii="宋体" w:hAnsi="宋体" w:cs="宋体"/>
          <w:sz w:val="28"/>
          <w:szCs w:val="28"/>
        </w:rPr>
        <w:t>。</w:t>
      </w:r>
    </w:p>
    <w:p>
      <w:pPr>
        <w:numPr>
          <w:ilvl w:val="0"/>
          <w:numId w:val="5"/>
        </w:num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项目质量与验收标准</w:t>
      </w:r>
    </w:p>
    <w:p>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四</w:t>
      </w:r>
      <w:r>
        <w:rPr>
          <w:rFonts w:hint="eastAsia" w:ascii="宋体" w:hAnsi="宋体"/>
          <w:b/>
          <w:sz w:val="28"/>
          <w:szCs w:val="28"/>
        </w:rPr>
        <w:t>）服务要求</w:t>
      </w:r>
    </w:p>
    <w:p>
      <w:pPr>
        <w:adjustRightInd w:val="0"/>
        <w:snapToGrid w:val="0"/>
        <w:spacing w:line="560" w:lineRule="exact"/>
        <w:ind w:firstLine="638" w:firstLineChars="228"/>
        <w:rPr>
          <w:rFonts w:ascii="宋体" w:hAnsi="宋体"/>
          <w:b/>
          <w:bCs/>
          <w:kern w:val="0"/>
          <w:sz w:val="28"/>
          <w:szCs w:val="28"/>
        </w:rPr>
      </w:pPr>
      <w:r>
        <w:rPr>
          <w:rFonts w:hint="eastAsia" w:ascii="宋体" w:hAnsi="宋体"/>
          <w:sz w:val="28"/>
          <w:szCs w:val="28"/>
        </w:rPr>
        <w:t>服务响应速度在1小时之内,并在24小时内解决故障。</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五</w:t>
      </w:r>
      <w:r>
        <w:rPr>
          <w:rFonts w:hint="eastAsia" w:ascii="宋体" w:hAnsi="宋体"/>
          <w:b/>
          <w:sz w:val="28"/>
          <w:szCs w:val="28"/>
        </w:rPr>
        <w:t>）结算与付款方式</w:t>
      </w:r>
    </w:p>
    <w:p>
      <w:pPr>
        <w:spacing w:line="560" w:lineRule="exact"/>
        <w:ind w:firstLine="638" w:firstLineChars="228"/>
        <w:rPr>
          <w:rFonts w:ascii="宋体" w:hAnsi="宋体"/>
          <w:sz w:val="28"/>
          <w:szCs w:val="28"/>
        </w:rPr>
      </w:pPr>
      <w:r>
        <w:rPr>
          <w:rFonts w:hint="eastAsia" w:ascii="宋体" w:hAnsi="宋体"/>
          <w:sz w:val="28"/>
          <w:szCs w:val="28"/>
        </w:rPr>
        <w:t>合同生效日内，采购人凭中标人提供的正式发票，支付合同金额的50%；完成编制团体标准制订并发布，验收通过后，采购人凭中标人提供的正式发票，支付合同剩余金额的50%。如遇寒暑假，自动顺延。</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六</w:t>
      </w:r>
      <w:r>
        <w:rPr>
          <w:rFonts w:hint="eastAsia" w:ascii="宋体" w:hAnsi="宋体"/>
          <w:b/>
          <w:sz w:val="28"/>
          <w:szCs w:val="28"/>
        </w:rPr>
        <w:t>）违约处罚</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(1)签订本协议后，不得在合同期内单方面终止协议，否则须赔偿采购单位壹万元违约金；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(1)采购单位违反合同规定拒绝接受服务的，应当承担由此对成交人造成的损失；</w:t>
      </w:r>
    </w:p>
    <w:p>
      <w:pPr>
        <w:adjustRightInd w:val="0"/>
        <w:snapToGrid w:val="0"/>
        <w:spacing w:line="560" w:lineRule="exact"/>
        <w:ind w:firstLine="638" w:firstLineChars="228"/>
      </w:pPr>
      <w:r>
        <w:rPr>
          <w:rFonts w:hint="eastAsia" w:ascii="宋体" w:hAnsi="宋体"/>
          <w:sz w:val="28"/>
          <w:szCs w:val="28"/>
        </w:rPr>
        <w:t>(2)其它违约责任按《中华人民共和国民法典》处理。</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七</w:t>
      </w:r>
      <w:r>
        <w:rPr>
          <w:rFonts w:hint="eastAsia" w:ascii="宋体" w:hAnsi="宋体"/>
          <w:b/>
          <w:sz w:val="28"/>
          <w:szCs w:val="28"/>
        </w:rPr>
        <w:t>）其他要求</w:t>
      </w:r>
    </w:p>
    <w:p>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pPr>
        <w:spacing w:line="560" w:lineRule="exact"/>
        <w:ind w:firstLine="638" w:firstLineChars="228"/>
        <w:rPr>
          <w:rFonts w:ascii="宋体" w:hAnsi="宋体"/>
          <w:sz w:val="28"/>
          <w:szCs w:val="28"/>
        </w:rPr>
      </w:pPr>
      <w:r>
        <w:rPr>
          <w:rFonts w:hint="eastAsia" w:ascii="宋体" w:hAnsi="宋体"/>
          <w:sz w:val="28"/>
          <w:szCs w:val="28"/>
        </w:rPr>
        <w:t>1、采购方在履行合同过程中提供给成交人使用保管的全部图纸、文件和其他含有数据和信息的资料，其知识产权属于采购方。</w:t>
      </w:r>
    </w:p>
    <w:p>
      <w:pPr>
        <w:spacing w:line="560" w:lineRule="exact"/>
        <w:ind w:firstLine="638" w:firstLineChars="228"/>
        <w:rPr>
          <w:rFonts w:ascii="宋体" w:hAnsi="宋体"/>
          <w:sz w:val="28"/>
          <w:szCs w:val="28"/>
        </w:rPr>
      </w:pPr>
      <w:r>
        <w:rPr>
          <w:rFonts w:hint="eastAsia" w:ascii="宋体" w:hAnsi="宋体"/>
          <w:sz w:val="28"/>
          <w:szCs w:val="28"/>
        </w:rPr>
        <w:t>2、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spacing w:line="560" w:lineRule="exact"/>
        <w:ind w:firstLine="638" w:firstLineChars="228"/>
        <w:rPr>
          <w:rFonts w:ascii="宋体" w:hAnsi="宋体"/>
          <w:sz w:val="28"/>
          <w:szCs w:val="28"/>
        </w:rPr>
      </w:pPr>
      <w:r>
        <w:rPr>
          <w:rFonts w:hint="eastAsia" w:ascii="宋体" w:hAnsi="宋体"/>
          <w:sz w:val="28"/>
          <w:szCs w:val="28"/>
        </w:rPr>
        <w:t>3、如果采购方收到任何第三方有关知识产权、专利权、软件著作权等的主张、索赔或诉讼，成交人在收到采购方通知后，应当自负费用处理与第三方的索赔或诉讼，并赔偿采购方因此发生的费用和遭受的损失。</w:t>
      </w:r>
    </w:p>
    <w:p>
      <w:pPr>
        <w:spacing w:line="560" w:lineRule="exact"/>
        <w:ind w:firstLine="641" w:firstLineChars="228"/>
        <w:rPr>
          <w:rFonts w:ascii="宋体" w:hAnsi="宋体"/>
          <w:sz w:val="28"/>
          <w:szCs w:val="28"/>
        </w:rPr>
      </w:pPr>
      <w:r>
        <w:rPr>
          <w:rFonts w:hint="eastAsia" w:ascii="宋体" w:hAnsi="宋体"/>
          <w:b/>
          <w:bCs/>
          <w:sz w:val="28"/>
          <w:szCs w:val="28"/>
        </w:rPr>
        <w:t>（</w:t>
      </w:r>
      <w:r>
        <w:rPr>
          <w:rFonts w:hint="eastAsia" w:ascii="宋体" w:hAnsi="宋体"/>
          <w:b/>
          <w:bCs/>
          <w:sz w:val="28"/>
          <w:szCs w:val="28"/>
          <w:lang w:val="en-US" w:eastAsia="zh-CN"/>
        </w:rPr>
        <w:t>八</w:t>
      </w:r>
      <w:r>
        <w:rPr>
          <w:rFonts w:hint="eastAsia" w:ascii="宋体" w:hAnsi="宋体"/>
          <w:b/>
          <w:bCs/>
          <w:sz w:val="28"/>
          <w:szCs w:val="28"/>
        </w:rPr>
        <w:t>）争议解决</w:t>
      </w:r>
      <w:r>
        <w:rPr>
          <w:rFonts w:hint="eastAsia" w:ascii="宋体" w:hAnsi="宋体"/>
          <w:sz w:val="28"/>
          <w:szCs w:val="28"/>
        </w:rPr>
        <w:t>：双方因合同发生争议，应在采购方的主持下进行调解，协商不成，可按合同约定向人民法院起诉。</w:t>
      </w:r>
    </w:p>
    <w:p>
      <w:pPr>
        <w:spacing w:line="400" w:lineRule="exact"/>
        <w:ind w:firstLine="640" w:firstLineChars="200"/>
        <w:rPr>
          <w:rFonts w:ascii="宋体" w:hAnsi="宋体"/>
          <w:sz w:val="32"/>
          <w:szCs w:val="32"/>
        </w:rPr>
      </w:pPr>
    </w:p>
    <w:p>
      <w:pPr>
        <w:spacing w:line="400" w:lineRule="exact"/>
        <w:ind w:firstLine="420" w:firstLineChars="200"/>
        <w:rPr>
          <w:rFonts w:ascii="宋体" w:hAnsi="宋体"/>
          <w:sz w:val="28"/>
          <w:szCs w:val="28"/>
        </w:rPr>
      </w:pPr>
      <w:bookmarkStart w:id="28" w:name="_Toc60236710"/>
      <w:bookmarkStart w:id="29" w:name="_Toc13543213"/>
      <w:r>
        <w:rPr>
          <w:rFonts w:hint="eastAsia"/>
        </w:rPr>
        <w:br w:type="page"/>
      </w:r>
      <w:bookmarkEnd w:id="28"/>
      <w:bookmarkEnd w:id="29"/>
    </w:p>
    <w:p>
      <w:pPr>
        <w:pStyle w:val="2"/>
      </w:pPr>
      <w:bookmarkStart w:id="30" w:name="_Toc14310"/>
      <w:r>
        <w:rPr>
          <w:rFonts w:hint="eastAsia"/>
        </w:rPr>
        <w:t>第三部分  报价文件格式</w:t>
      </w:r>
      <w:bookmarkEnd w:id="30"/>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4"/>
        <w:rPr>
          <w:rFonts w:ascii="Calibri" w:hAnsi="Calibri"/>
          <w:b/>
          <w:sz w:val="32"/>
          <w:szCs w:val="32"/>
        </w:rPr>
      </w:pPr>
    </w:p>
    <w:p>
      <w:pPr>
        <w:pStyle w:val="14"/>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4"/>
        <w:jc w:val="left"/>
        <w:rPr>
          <w:rFonts w:hAnsi="宋体" w:cs="宋体"/>
          <w:bCs/>
          <w:color w:val="000000"/>
          <w:sz w:val="30"/>
          <w:szCs w:val="30"/>
        </w:rPr>
      </w:pPr>
    </w:p>
    <w:p>
      <w:pPr>
        <w:pStyle w:val="14"/>
        <w:jc w:val="left"/>
        <w:rPr>
          <w:rFonts w:hAnsi="宋体" w:cs="宋体"/>
          <w:bCs/>
          <w:color w:val="000000"/>
          <w:sz w:val="30"/>
          <w:szCs w:val="30"/>
        </w:rPr>
      </w:pPr>
    </w:p>
    <w:p>
      <w:pPr>
        <w:pStyle w:val="14"/>
        <w:jc w:val="left"/>
        <w:rPr>
          <w:rFonts w:hAnsi="宋体" w:cs="宋体"/>
          <w:bCs/>
          <w:color w:val="000000"/>
          <w:sz w:val="30"/>
          <w:szCs w:val="30"/>
        </w:rPr>
      </w:pPr>
    </w:p>
    <w:p>
      <w:pPr>
        <w:pStyle w:val="14"/>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8"/>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4"/>
        <w:spacing w:line="480" w:lineRule="exact"/>
        <w:rPr>
          <w:rFonts w:hAnsi="宋体"/>
          <w:sz w:val="28"/>
          <w:szCs w:val="28"/>
        </w:rPr>
      </w:pPr>
      <w:r>
        <w:rPr>
          <w:rFonts w:hint="eastAsia" w:hAnsi="宋体"/>
          <w:sz w:val="28"/>
          <w:szCs w:val="28"/>
        </w:rPr>
        <w:t>注：</w:t>
      </w:r>
    </w:p>
    <w:p>
      <w:pPr>
        <w:pStyle w:val="14"/>
        <w:numPr>
          <w:ilvl w:val="0"/>
          <w:numId w:val="8"/>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4"/>
        <w:numPr>
          <w:ilvl w:val="0"/>
          <w:numId w:val="8"/>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4"/>
        <w:numPr>
          <w:ilvl w:val="0"/>
          <w:numId w:val="8"/>
        </w:numPr>
        <w:spacing w:line="0" w:lineRule="atLeast"/>
        <w:rPr>
          <w:rFonts w:hAnsi="宋体"/>
          <w:sz w:val="28"/>
          <w:szCs w:val="28"/>
        </w:rPr>
      </w:pPr>
      <w:r>
        <w:rPr>
          <w:rFonts w:hint="eastAsia"/>
          <w:sz w:val="28"/>
          <w:szCs w:val="28"/>
        </w:rPr>
        <w:t>填写此表时不得改变表格的形式。</w:t>
      </w:r>
    </w:p>
    <w:p>
      <w:pPr>
        <w:pStyle w:val="14"/>
        <w:numPr>
          <w:ilvl w:val="0"/>
          <w:numId w:val="8"/>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4"/>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4"/>
        <w:jc w:val="left"/>
        <w:rPr>
          <w:rFonts w:ascii="Times New Roman" w:hAnsi="Times New Roman"/>
          <w:szCs w:val="21"/>
        </w:rPr>
      </w:pPr>
    </w:p>
    <w:tbl>
      <w:tblPr>
        <w:tblStyle w:val="28"/>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4"/>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4"/>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4"/>
              <w:ind w:firstLine="241" w:firstLineChars="100"/>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 xml:space="preserve"> 人民币：</w:t>
            </w:r>
          </w:p>
        </w:tc>
      </w:tr>
    </w:tbl>
    <w:p>
      <w:pPr>
        <w:pStyle w:val="14"/>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4"/>
        <w:spacing w:line="0" w:lineRule="atLeast"/>
        <w:ind w:left="336"/>
        <w:rPr>
          <w:rFonts w:hAnsi="宋体"/>
          <w:sz w:val="28"/>
          <w:szCs w:val="28"/>
        </w:rPr>
      </w:pPr>
      <w:r>
        <w:rPr>
          <w:rFonts w:hint="eastAsia" w:hAnsi="宋体"/>
          <w:sz w:val="28"/>
          <w:szCs w:val="28"/>
        </w:rPr>
        <w:t>2、本表“报价总价”必须与《报价一览表》中的“报价总价”一致。</w:t>
      </w:r>
    </w:p>
    <w:p>
      <w:pPr>
        <w:pStyle w:val="14"/>
        <w:spacing w:line="0" w:lineRule="atLeast"/>
        <w:ind w:left="336"/>
        <w:rPr>
          <w:rFonts w:hAnsi="宋体"/>
          <w:sz w:val="28"/>
          <w:szCs w:val="28"/>
        </w:rPr>
      </w:pPr>
      <w:r>
        <w:rPr>
          <w:rFonts w:hint="eastAsia" w:hAnsi="宋体"/>
          <w:sz w:val="28"/>
          <w:szCs w:val="28"/>
        </w:rPr>
        <w:t>3、对于报价免费的项目必须标明“免费”。</w:t>
      </w:r>
    </w:p>
    <w:p>
      <w:pPr>
        <w:pStyle w:val="14"/>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4"/>
        <w:jc w:val="left"/>
        <w:rPr>
          <w:rFonts w:ascii="Times New Roman" w:hAnsi="Times New Roman"/>
          <w:szCs w:val="21"/>
        </w:rPr>
      </w:pPr>
    </w:p>
    <w:p>
      <w:pPr>
        <w:pStyle w:val="14"/>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cs="宋体"/>
          <w:bCs/>
          <w:color w:val="000000"/>
          <w:szCs w:val="21"/>
        </w:rPr>
      </w:pPr>
      <w:r>
        <w:rPr>
          <w:rFonts w:hint="eastAsia" w:ascii="宋体" w:hAnsi="宋体"/>
          <w:sz w:val="32"/>
          <w:szCs w:val="32"/>
        </w:rPr>
        <w:t>报价人单位（盖章）：</w:t>
      </w:r>
    </w:p>
    <w:p>
      <w:pPr>
        <w:rPr>
          <w:rFonts w:ascii="宋体" w:hAnsi="宋体" w:cs="宋体"/>
          <w:bCs/>
          <w:color w:val="000000"/>
          <w:szCs w:val="21"/>
        </w:rPr>
      </w:pPr>
      <w:r>
        <w:rPr>
          <w:rFonts w:hint="eastAsia" w:ascii="宋体" w:hAnsi="宋体" w:cs="宋体"/>
          <w:bCs/>
          <w:color w:val="000000"/>
          <w:szCs w:val="21"/>
        </w:rPr>
        <w:br w:type="page"/>
      </w:r>
    </w:p>
    <w:p>
      <w:pPr>
        <w:numPr>
          <w:ilvl w:val="0"/>
          <w:numId w:val="7"/>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8"/>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9"/>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9"/>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9"/>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9"/>
        </w:numPr>
        <w:spacing w:line="400" w:lineRule="exact"/>
        <w:rPr>
          <w:rFonts w:ascii="宋体" w:hAnsi="宋体"/>
          <w:sz w:val="24"/>
        </w:rPr>
      </w:pPr>
      <w:r>
        <w:rPr>
          <w:rFonts w:hint="eastAsia" w:ascii="宋体" w:hAnsi="宋体"/>
          <w:sz w:val="24"/>
        </w:rPr>
        <w:t>我方理解贵方不一定接受最低报价。</w:t>
      </w:r>
    </w:p>
    <w:p>
      <w:pPr>
        <w:numPr>
          <w:ilvl w:val="0"/>
          <w:numId w:val="9"/>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9"/>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9"/>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10"/>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9"/>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9"/>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7"/>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342344-FC8D-4626-B77C-DFA817A71F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B774547-1E9A-400D-A2B1-209BC20225BA}"/>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7D327D73-84A3-444B-BBF0-0AB9BBFEFAFB}"/>
  </w:font>
  <w:font w:name="楷体_GB2312">
    <w:panose1 w:val="02010609030101010101"/>
    <w:charset w:val="86"/>
    <w:family w:val="modern"/>
    <w:pitch w:val="default"/>
    <w:sig w:usb0="00000001" w:usb1="080E0000" w:usb2="00000000" w:usb3="00000000" w:csb0="00040000" w:csb1="00000000"/>
    <w:embedRegular r:id="rId4" w:fontKey="{C663E1E9-D1ED-4293-9C5D-BA1C6BCA6CDF}"/>
  </w:font>
  <w:font w:name="楷体">
    <w:panose1 w:val="02010609060101010101"/>
    <w:charset w:val="86"/>
    <w:family w:val="modern"/>
    <w:pitch w:val="default"/>
    <w:sig w:usb0="800002BF" w:usb1="38CF7CFA" w:usb2="00000016" w:usb3="00000000" w:csb0="00040001" w:csb1="00000000"/>
    <w:embedRegular r:id="rId5" w:fontKey="{84BD8DB2-8016-448E-ACDF-0674C29B6E0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rPr>
        <w:u w:val="single"/>
      </w:rPr>
    </w:pPr>
  </w:p>
  <w:p>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B103DA9E"/>
    <w:multiLevelType w:val="singleLevel"/>
    <w:tmpl w:val="B103DA9E"/>
    <w:lvl w:ilvl="0" w:tentative="0">
      <w:start w:val="3"/>
      <w:numFmt w:val="chineseCounting"/>
      <w:suff w:val="nothing"/>
      <w:lvlText w:val="（%1）"/>
      <w:lvlJc w:val="left"/>
      <w:rPr>
        <w:rFonts w:hint="eastAsia"/>
      </w:rPr>
    </w:lvl>
  </w:abstractNum>
  <w:abstractNum w:abstractNumId="2">
    <w:nsid w:val="DF5818B8"/>
    <w:multiLevelType w:val="singleLevel"/>
    <w:tmpl w:val="DF5818B8"/>
    <w:lvl w:ilvl="0" w:tentative="0">
      <w:start w:val="2"/>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3C74AC"/>
    <w:multiLevelType w:val="singleLevel"/>
    <w:tmpl w:val="5C3C74AC"/>
    <w:lvl w:ilvl="0" w:tentative="0">
      <w:start w:val="1"/>
      <w:numFmt w:val="chineseCounting"/>
      <w:suff w:val="nothing"/>
      <w:lvlText w:val="%1、"/>
      <w:lvlJc w:val="left"/>
      <w:rPr>
        <w:rFonts w:hint="eastAsia"/>
      </w:rPr>
    </w:lvl>
  </w:abstractNum>
  <w:abstractNum w:abstractNumId="8">
    <w:nsid w:val="5D1ACA94"/>
    <w:multiLevelType w:val="singleLevel"/>
    <w:tmpl w:val="5D1ACA94"/>
    <w:lvl w:ilvl="0" w:tentative="0">
      <w:start w:val="3"/>
      <w:numFmt w:val="decimal"/>
      <w:suff w:val="nothing"/>
      <w:lvlText w:val="%1、"/>
      <w:lvlJc w:val="left"/>
    </w:lvl>
  </w:abstractNum>
  <w:num w:numId="1">
    <w:abstractNumId w:val="5"/>
  </w:num>
  <w:num w:numId="2">
    <w:abstractNumId w:val="8"/>
  </w:num>
  <w:num w:numId="3">
    <w:abstractNumId w:val="3"/>
  </w:num>
  <w:num w:numId="4">
    <w:abstractNumId w:val="2"/>
  </w:num>
  <w:num w:numId="5">
    <w:abstractNumId w:val="1"/>
  </w:num>
  <w:num w:numId="6">
    <w:abstractNumId w:val="7"/>
  </w:num>
  <w:num w:numId="7">
    <w:abstractNumId w:val="0"/>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NotDisplayPageBoundaries w:val="1"/>
  <w:embedTrueTypeFonts/>
  <w:saveSubset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1MGJmNTQ2YjM2ZjEzODljNjgwYmVjZTVkNTkyMWM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151B"/>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1F20"/>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21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3B"/>
    <w:rsid w:val="00B92192"/>
    <w:rsid w:val="00B92317"/>
    <w:rsid w:val="00B93755"/>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5C93"/>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9033675"/>
    <w:rsid w:val="0A2F4D76"/>
    <w:rsid w:val="0A414FB6"/>
    <w:rsid w:val="0B567D09"/>
    <w:rsid w:val="0B6C5CE7"/>
    <w:rsid w:val="0BEE41F8"/>
    <w:rsid w:val="0D0015C5"/>
    <w:rsid w:val="0D5B0159"/>
    <w:rsid w:val="0E6949B3"/>
    <w:rsid w:val="0F666038"/>
    <w:rsid w:val="0FB03EC1"/>
    <w:rsid w:val="0FEF4AD0"/>
    <w:rsid w:val="1079676E"/>
    <w:rsid w:val="11FA2096"/>
    <w:rsid w:val="12254861"/>
    <w:rsid w:val="12B4052F"/>
    <w:rsid w:val="12EC524A"/>
    <w:rsid w:val="13071F04"/>
    <w:rsid w:val="13C52591"/>
    <w:rsid w:val="14A66120"/>
    <w:rsid w:val="14E23522"/>
    <w:rsid w:val="168532DC"/>
    <w:rsid w:val="173373DC"/>
    <w:rsid w:val="1753107A"/>
    <w:rsid w:val="18DC1D83"/>
    <w:rsid w:val="18DD33E1"/>
    <w:rsid w:val="18EE0C00"/>
    <w:rsid w:val="18F65DD9"/>
    <w:rsid w:val="1AE42B15"/>
    <w:rsid w:val="20BC39CA"/>
    <w:rsid w:val="213E5304"/>
    <w:rsid w:val="21E00F42"/>
    <w:rsid w:val="23C3307B"/>
    <w:rsid w:val="23E0270B"/>
    <w:rsid w:val="245F6E0F"/>
    <w:rsid w:val="24905418"/>
    <w:rsid w:val="263B5217"/>
    <w:rsid w:val="27192484"/>
    <w:rsid w:val="27C423D8"/>
    <w:rsid w:val="28E13EA5"/>
    <w:rsid w:val="291150CE"/>
    <w:rsid w:val="2AB8467E"/>
    <w:rsid w:val="2BF10217"/>
    <w:rsid w:val="2E2429AD"/>
    <w:rsid w:val="2E7F096C"/>
    <w:rsid w:val="2E950643"/>
    <w:rsid w:val="2EE571B2"/>
    <w:rsid w:val="2FDE227D"/>
    <w:rsid w:val="300E29BD"/>
    <w:rsid w:val="305B2BFC"/>
    <w:rsid w:val="311763F2"/>
    <w:rsid w:val="3237724D"/>
    <w:rsid w:val="32C61B83"/>
    <w:rsid w:val="344B05CF"/>
    <w:rsid w:val="34683033"/>
    <w:rsid w:val="350F27C8"/>
    <w:rsid w:val="35B77661"/>
    <w:rsid w:val="36583023"/>
    <w:rsid w:val="3713274F"/>
    <w:rsid w:val="376027F7"/>
    <w:rsid w:val="38CB5299"/>
    <w:rsid w:val="39A6093D"/>
    <w:rsid w:val="3AD13AD5"/>
    <w:rsid w:val="3BF75747"/>
    <w:rsid w:val="3C2852CC"/>
    <w:rsid w:val="3D832EB5"/>
    <w:rsid w:val="3E5A3093"/>
    <w:rsid w:val="3EB43B95"/>
    <w:rsid w:val="3F0535D6"/>
    <w:rsid w:val="401A05CF"/>
    <w:rsid w:val="40652603"/>
    <w:rsid w:val="40D13D95"/>
    <w:rsid w:val="42532A81"/>
    <w:rsid w:val="42966345"/>
    <w:rsid w:val="442F0A64"/>
    <w:rsid w:val="44FE771E"/>
    <w:rsid w:val="453D2E2E"/>
    <w:rsid w:val="455B5F6E"/>
    <w:rsid w:val="459A78CD"/>
    <w:rsid w:val="4678338B"/>
    <w:rsid w:val="476B2D91"/>
    <w:rsid w:val="47AE6D07"/>
    <w:rsid w:val="48833F13"/>
    <w:rsid w:val="488364F8"/>
    <w:rsid w:val="4ADD6003"/>
    <w:rsid w:val="4BEB2A35"/>
    <w:rsid w:val="4C9204F0"/>
    <w:rsid w:val="4DBA5FA6"/>
    <w:rsid w:val="4DD5065C"/>
    <w:rsid w:val="4E323FA5"/>
    <w:rsid w:val="507A5425"/>
    <w:rsid w:val="50C30629"/>
    <w:rsid w:val="51577DD1"/>
    <w:rsid w:val="51AB09AF"/>
    <w:rsid w:val="520732F2"/>
    <w:rsid w:val="531269D1"/>
    <w:rsid w:val="54B4589B"/>
    <w:rsid w:val="559612BE"/>
    <w:rsid w:val="55B90436"/>
    <w:rsid w:val="57231595"/>
    <w:rsid w:val="57434CFA"/>
    <w:rsid w:val="591402E2"/>
    <w:rsid w:val="5A165665"/>
    <w:rsid w:val="5A965CB3"/>
    <w:rsid w:val="5C097FBF"/>
    <w:rsid w:val="5C837B0E"/>
    <w:rsid w:val="5CFE645C"/>
    <w:rsid w:val="5D901B4E"/>
    <w:rsid w:val="5DCB7EB6"/>
    <w:rsid w:val="5EAA01B7"/>
    <w:rsid w:val="5EB743B6"/>
    <w:rsid w:val="5F924601"/>
    <w:rsid w:val="6194517C"/>
    <w:rsid w:val="62437726"/>
    <w:rsid w:val="628F0A4F"/>
    <w:rsid w:val="6296560A"/>
    <w:rsid w:val="62D60C04"/>
    <w:rsid w:val="62DB6DB3"/>
    <w:rsid w:val="63065FF8"/>
    <w:rsid w:val="63550335"/>
    <w:rsid w:val="64A51813"/>
    <w:rsid w:val="64D23D3E"/>
    <w:rsid w:val="661E385B"/>
    <w:rsid w:val="671B3414"/>
    <w:rsid w:val="679A6EE7"/>
    <w:rsid w:val="68742FE5"/>
    <w:rsid w:val="697C1D6F"/>
    <w:rsid w:val="6A80153E"/>
    <w:rsid w:val="6AC90DF4"/>
    <w:rsid w:val="6F002D66"/>
    <w:rsid w:val="6F3815B3"/>
    <w:rsid w:val="6F544E68"/>
    <w:rsid w:val="70543F68"/>
    <w:rsid w:val="705D6272"/>
    <w:rsid w:val="719242C5"/>
    <w:rsid w:val="72B62304"/>
    <w:rsid w:val="72B92213"/>
    <w:rsid w:val="742D0AEA"/>
    <w:rsid w:val="744C6447"/>
    <w:rsid w:val="750157C1"/>
    <w:rsid w:val="766B6439"/>
    <w:rsid w:val="77D90508"/>
    <w:rsid w:val="77F228DE"/>
    <w:rsid w:val="786C17B3"/>
    <w:rsid w:val="78851ED1"/>
    <w:rsid w:val="794C4906"/>
    <w:rsid w:val="79C61CFF"/>
    <w:rsid w:val="7A247C3B"/>
    <w:rsid w:val="7B9B538D"/>
    <w:rsid w:val="7BB55845"/>
    <w:rsid w:val="7C7D1A8F"/>
    <w:rsid w:val="7D4F3F92"/>
    <w:rsid w:val="7DBD7DE5"/>
    <w:rsid w:val="7E5F2466"/>
    <w:rsid w:val="7E740121"/>
    <w:rsid w:val="7F955E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qFormat/>
    <w:uiPriority w:val="0"/>
    <w:pPr>
      <w:keepNext/>
      <w:keepLines/>
      <w:spacing w:line="720" w:lineRule="exact"/>
      <w:jc w:val="center"/>
      <w:outlineLvl w:val="0"/>
    </w:pPr>
    <w:rPr>
      <w:b/>
      <w:bCs/>
      <w:kern w:val="44"/>
      <w:sz w:val="44"/>
      <w:szCs w:val="44"/>
    </w:rPr>
  </w:style>
  <w:style w:type="paragraph" w:styleId="3">
    <w:name w:val="heading 2"/>
    <w:basedOn w:val="1"/>
    <w:next w:val="1"/>
    <w:link w:val="48"/>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2"/>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7"/>
    <w:qFormat/>
    <w:uiPriority w:val="9"/>
    <w:pPr>
      <w:keepNext/>
      <w:keepLines/>
      <w:spacing w:before="280" w:after="290" w:line="376" w:lineRule="auto"/>
      <w:outlineLvl w:val="3"/>
    </w:pPr>
    <w:rPr>
      <w:rFonts w:ascii="Cambria" w:hAnsi="Cambria"/>
      <w:b/>
      <w:bCs/>
      <w:kern w:val="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7"/>
    <w:qFormat/>
    <w:uiPriority w:val="0"/>
    <w:pPr>
      <w:ind w:firstLine="420"/>
    </w:pPr>
    <w:rPr>
      <w:rFonts w:ascii="Calibri" w:hAnsi="Calibri"/>
      <w:kern w:val="0"/>
      <w:sz w:val="20"/>
      <w:szCs w:val="20"/>
    </w:rPr>
  </w:style>
  <w:style w:type="paragraph" w:styleId="7">
    <w:name w:val="Document Map"/>
    <w:basedOn w:val="1"/>
    <w:link w:val="62"/>
    <w:semiHidden/>
    <w:qFormat/>
    <w:uiPriority w:val="0"/>
    <w:pPr>
      <w:shd w:val="clear" w:color="auto" w:fill="000080"/>
    </w:pPr>
    <w:rPr>
      <w:kern w:val="0"/>
      <w:sz w:val="20"/>
    </w:rPr>
  </w:style>
  <w:style w:type="paragraph" w:styleId="8">
    <w:name w:val="annotation text"/>
    <w:basedOn w:val="1"/>
    <w:next w:val="9"/>
    <w:link w:val="65"/>
    <w:qFormat/>
    <w:uiPriority w:val="0"/>
    <w:pPr>
      <w:spacing w:line="280" w:lineRule="exact"/>
      <w:jc w:val="left"/>
    </w:pPr>
    <w:rPr>
      <w:sz w:val="24"/>
    </w:rPr>
  </w:style>
  <w:style w:type="paragraph" w:styleId="9">
    <w:name w:val="Balloon Text"/>
    <w:basedOn w:val="1"/>
    <w:link w:val="41"/>
    <w:semiHidden/>
    <w:qFormat/>
    <w:uiPriority w:val="0"/>
    <w:pPr>
      <w:adjustRightInd w:val="0"/>
      <w:snapToGrid w:val="0"/>
    </w:pPr>
    <w:rPr>
      <w:sz w:val="28"/>
      <w:szCs w:val="18"/>
    </w:rPr>
  </w:style>
  <w:style w:type="paragraph" w:styleId="10">
    <w:name w:val="Body Text"/>
    <w:basedOn w:val="1"/>
    <w:next w:val="1"/>
    <w:qFormat/>
    <w:uiPriority w:val="0"/>
    <w:pPr>
      <w:spacing w:after="120"/>
    </w:pPr>
  </w:style>
  <w:style w:type="paragraph" w:styleId="11">
    <w:name w:val="Body Text Indent"/>
    <w:basedOn w:val="1"/>
    <w:link w:val="55"/>
    <w:qFormat/>
    <w:uiPriority w:val="0"/>
    <w:pPr>
      <w:ind w:firstLine="570"/>
    </w:pPr>
    <w:rPr>
      <w:rFonts w:ascii="宋体" w:hAnsi="宋体"/>
      <w:kern w:val="0"/>
      <w:sz w:val="24"/>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3">
    <w:name w:val="toc 3"/>
    <w:basedOn w:val="1"/>
    <w:next w:val="1"/>
    <w:qFormat/>
    <w:uiPriority w:val="39"/>
    <w:pPr>
      <w:ind w:left="840" w:leftChars="400"/>
    </w:pPr>
  </w:style>
  <w:style w:type="paragraph" w:styleId="14">
    <w:name w:val="Plain Text"/>
    <w:basedOn w:val="1"/>
    <w:link w:val="42"/>
    <w:qFormat/>
    <w:uiPriority w:val="0"/>
    <w:rPr>
      <w:rFonts w:ascii="宋体" w:hAnsi="Courier New"/>
      <w:kern w:val="0"/>
      <w:sz w:val="20"/>
    </w:rPr>
  </w:style>
  <w:style w:type="paragraph" w:styleId="15">
    <w:name w:val="Date"/>
    <w:basedOn w:val="1"/>
    <w:next w:val="1"/>
    <w:link w:val="39"/>
    <w:qFormat/>
    <w:uiPriority w:val="0"/>
    <w:pPr>
      <w:ind w:left="100" w:leftChars="2500"/>
    </w:pPr>
    <w:rPr>
      <w:kern w:val="0"/>
      <w:sz w:val="28"/>
    </w:rPr>
  </w:style>
  <w:style w:type="paragraph" w:styleId="16">
    <w:name w:val="Body Text Indent 2"/>
    <w:basedOn w:val="1"/>
    <w:link w:val="60"/>
    <w:qFormat/>
    <w:uiPriority w:val="0"/>
    <w:pPr>
      <w:spacing w:line="300" w:lineRule="auto"/>
      <w:ind w:firstLine="540" w:firstLineChars="225"/>
    </w:pPr>
    <w:rPr>
      <w:rFonts w:ascii="宋体" w:hAnsi="宋体"/>
      <w:color w:val="000000"/>
      <w:kern w:val="0"/>
      <w:sz w:val="24"/>
    </w:rPr>
  </w:style>
  <w:style w:type="paragraph" w:styleId="17">
    <w:name w:val="footer"/>
    <w:basedOn w:val="1"/>
    <w:link w:val="56"/>
    <w:qFormat/>
    <w:uiPriority w:val="0"/>
    <w:pPr>
      <w:tabs>
        <w:tab w:val="center" w:pos="4153"/>
        <w:tab w:val="right" w:pos="8306"/>
      </w:tabs>
      <w:snapToGrid w:val="0"/>
      <w:jc w:val="left"/>
    </w:pPr>
    <w:rPr>
      <w:kern w:val="0"/>
      <w:sz w:val="18"/>
      <w:szCs w:val="18"/>
    </w:rPr>
  </w:style>
  <w:style w:type="paragraph" w:styleId="18">
    <w:name w:val="header"/>
    <w:basedOn w:val="1"/>
    <w:link w:val="5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9">
    <w:name w:val="toc 1"/>
    <w:basedOn w:val="1"/>
    <w:next w:val="1"/>
    <w:qFormat/>
    <w:uiPriority w:val="39"/>
  </w:style>
  <w:style w:type="paragraph" w:styleId="20">
    <w:name w:val="index heading"/>
    <w:basedOn w:val="1"/>
    <w:next w:val="21"/>
    <w:semiHidden/>
    <w:qFormat/>
    <w:uiPriority w:val="0"/>
    <w:rPr>
      <w:szCs w:val="20"/>
    </w:rPr>
  </w:style>
  <w:style w:type="paragraph" w:styleId="21">
    <w:name w:val="index 1"/>
    <w:basedOn w:val="1"/>
    <w:next w:val="1"/>
    <w:semiHidden/>
    <w:qFormat/>
    <w:uiPriority w:val="0"/>
  </w:style>
  <w:style w:type="paragraph" w:styleId="22">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23">
    <w:name w:val="footnote text"/>
    <w:basedOn w:val="1"/>
    <w:link w:val="40"/>
    <w:qFormat/>
    <w:uiPriority w:val="0"/>
    <w:pPr>
      <w:snapToGrid w:val="0"/>
      <w:jc w:val="left"/>
    </w:pPr>
    <w:rPr>
      <w:kern w:val="0"/>
      <w:sz w:val="18"/>
      <w:szCs w:val="18"/>
    </w:rPr>
  </w:style>
  <w:style w:type="paragraph" w:styleId="24">
    <w:name w:val="Body Text Indent 3"/>
    <w:basedOn w:val="1"/>
    <w:link w:val="46"/>
    <w:qFormat/>
    <w:uiPriority w:val="0"/>
    <w:pPr>
      <w:snapToGrid w:val="0"/>
      <w:spacing w:after="120" w:line="360" w:lineRule="auto"/>
      <w:ind w:firstLine="1365"/>
    </w:pPr>
    <w:rPr>
      <w:rFonts w:ascii="宋体"/>
      <w:kern w:val="0"/>
      <w:sz w:val="28"/>
      <w:szCs w:val="20"/>
    </w:rPr>
  </w:style>
  <w:style w:type="paragraph" w:styleId="25">
    <w:name w:val="toc 2"/>
    <w:basedOn w:val="1"/>
    <w:next w:val="1"/>
    <w:qFormat/>
    <w:uiPriority w:val="39"/>
    <w:pPr>
      <w:ind w:left="420" w:leftChars="200"/>
    </w:pPr>
  </w:style>
  <w:style w:type="paragraph" w:styleId="26">
    <w:name w:val="Normal (Web)"/>
    <w:basedOn w:val="1"/>
    <w:qFormat/>
    <w:uiPriority w:val="0"/>
    <w:rPr>
      <w:rFonts w:ascii="Calibri" w:hAnsi="Calibri"/>
      <w:sz w:val="24"/>
      <w:szCs w:val="22"/>
    </w:rPr>
  </w:style>
  <w:style w:type="paragraph" w:styleId="27">
    <w:name w:val="annotation subject"/>
    <w:basedOn w:val="8"/>
    <w:next w:val="8"/>
    <w:link w:val="63"/>
    <w:semiHidden/>
    <w:qFormat/>
    <w:uiPriority w:val="0"/>
    <w:rPr>
      <w:b/>
      <w:bCs/>
      <w:kern w:val="0"/>
      <w:sz w:val="20"/>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Emphasis"/>
    <w:basedOn w:val="30"/>
    <w:qFormat/>
    <w:uiPriority w:val="20"/>
    <w:rPr>
      <w:color w:val="CC0000"/>
    </w:rPr>
  </w:style>
  <w:style w:type="character" w:styleId="35">
    <w:name w:val="Hyperlink"/>
    <w:qFormat/>
    <w:uiPriority w:val="99"/>
    <w:rPr>
      <w:color w:val="0000FF"/>
      <w:u w:val="single"/>
    </w:rPr>
  </w:style>
  <w:style w:type="character" w:styleId="36">
    <w:name w:val="annotation reference"/>
    <w:semiHidden/>
    <w:qFormat/>
    <w:uiPriority w:val="0"/>
    <w:rPr>
      <w:sz w:val="21"/>
      <w:szCs w:val="21"/>
    </w:rPr>
  </w:style>
  <w:style w:type="character" w:styleId="37">
    <w:name w:val="footnote reference"/>
    <w:qFormat/>
    <w:uiPriority w:val="0"/>
    <w:rPr>
      <w:vertAlign w:val="superscript"/>
    </w:rPr>
  </w:style>
  <w:style w:type="character" w:customStyle="1" w:styleId="38">
    <w:name w:val="副标题 字符"/>
    <w:link w:val="22"/>
    <w:qFormat/>
    <w:uiPriority w:val="0"/>
    <w:rPr>
      <w:rFonts w:ascii="Cambria" w:hAnsi="Cambria" w:eastAsia="宋体" w:cs="Times New Roman"/>
      <w:b/>
      <w:bCs/>
      <w:kern w:val="28"/>
      <w:sz w:val="32"/>
      <w:szCs w:val="32"/>
    </w:rPr>
  </w:style>
  <w:style w:type="character" w:customStyle="1" w:styleId="39">
    <w:name w:val="日期 字符"/>
    <w:link w:val="15"/>
    <w:qFormat/>
    <w:uiPriority w:val="0"/>
    <w:rPr>
      <w:rFonts w:ascii="Times New Roman" w:hAnsi="Times New Roman" w:eastAsia="宋体" w:cs="Times New Roman"/>
      <w:sz w:val="28"/>
      <w:szCs w:val="24"/>
    </w:rPr>
  </w:style>
  <w:style w:type="character" w:customStyle="1" w:styleId="40">
    <w:name w:val="脚注文本 字符"/>
    <w:link w:val="23"/>
    <w:qFormat/>
    <w:uiPriority w:val="0"/>
    <w:rPr>
      <w:rFonts w:ascii="Times New Roman" w:hAnsi="Times New Roman" w:eastAsia="宋体" w:cs="Times New Roman"/>
      <w:sz w:val="18"/>
      <w:szCs w:val="18"/>
    </w:rPr>
  </w:style>
  <w:style w:type="character" w:customStyle="1" w:styleId="41">
    <w:name w:val="批注框文本 字符"/>
    <w:link w:val="9"/>
    <w:semiHidden/>
    <w:qFormat/>
    <w:uiPriority w:val="0"/>
    <w:rPr>
      <w:rFonts w:ascii="Times New Roman" w:hAnsi="Times New Roman"/>
      <w:kern w:val="2"/>
      <w:sz w:val="28"/>
      <w:szCs w:val="18"/>
    </w:rPr>
  </w:style>
  <w:style w:type="character" w:customStyle="1" w:styleId="42">
    <w:name w:val="纯文本 字符"/>
    <w:link w:val="14"/>
    <w:qFormat/>
    <w:uiPriority w:val="0"/>
    <w:rPr>
      <w:rFonts w:ascii="宋体" w:hAnsi="Courier New" w:eastAsia="宋体"/>
      <w:szCs w:val="24"/>
    </w:rPr>
  </w:style>
  <w:style w:type="character" w:customStyle="1" w:styleId="43">
    <w:name w:val="列出段落 Char"/>
    <w:link w:val="44"/>
    <w:qFormat/>
    <w:locked/>
    <w:uiPriority w:val="99"/>
    <w:rPr>
      <w:rFonts w:ascii="Times New Roman" w:hAnsi="Times New Roman"/>
      <w:kern w:val="2"/>
      <w:sz w:val="21"/>
      <w:szCs w:val="24"/>
    </w:rPr>
  </w:style>
  <w:style w:type="paragraph" w:customStyle="1" w:styleId="44">
    <w:name w:val="列出段落2"/>
    <w:basedOn w:val="1"/>
    <w:link w:val="43"/>
    <w:qFormat/>
    <w:uiPriority w:val="99"/>
    <w:pPr>
      <w:ind w:firstLine="420" w:firstLineChars="200"/>
    </w:pPr>
  </w:style>
  <w:style w:type="character" w:customStyle="1" w:styleId="45">
    <w:name w:val="纯文本 Char1"/>
    <w:semiHidden/>
    <w:qFormat/>
    <w:uiPriority w:val="99"/>
    <w:rPr>
      <w:rFonts w:ascii="宋体" w:hAnsi="Courier New" w:eastAsia="宋体" w:cs="Courier New"/>
      <w:szCs w:val="21"/>
    </w:rPr>
  </w:style>
  <w:style w:type="character" w:customStyle="1" w:styleId="46">
    <w:name w:val="正文文本缩进 3 字符"/>
    <w:link w:val="24"/>
    <w:qFormat/>
    <w:uiPriority w:val="0"/>
    <w:rPr>
      <w:rFonts w:ascii="宋体" w:hAnsi="Times New Roman" w:eastAsia="宋体" w:cs="Times New Roman"/>
      <w:sz w:val="28"/>
      <w:szCs w:val="20"/>
    </w:rPr>
  </w:style>
  <w:style w:type="character" w:customStyle="1" w:styleId="47">
    <w:name w:val="正文缩进 字符"/>
    <w:link w:val="6"/>
    <w:qFormat/>
    <w:uiPriority w:val="0"/>
    <w:rPr>
      <w:rFonts w:eastAsia="宋体"/>
    </w:rPr>
  </w:style>
  <w:style w:type="character" w:customStyle="1" w:styleId="48">
    <w:name w:val="标题 2 字符"/>
    <w:link w:val="3"/>
    <w:qFormat/>
    <w:uiPriority w:val="0"/>
    <w:rPr>
      <w:rFonts w:ascii="Arial" w:hAnsi="Arial" w:eastAsia="宋体" w:cs="Times New Roman"/>
      <w:b/>
      <w:bCs/>
      <w:sz w:val="28"/>
      <w:szCs w:val="32"/>
    </w:rPr>
  </w:style>
  <w:style w:type="character" w:customStyle="1" w:styleId="49">
    <w:name w:val="页眉1 Char"/>
    <w:link w:val="50"/>
    <w:qFormat/>
    <w:uiPriority w:val="0"/>
    <w:rPr>
      <w:sz w:val="18"/>
      <w:szCs w:val="18"/>
    </w:rPr>
  </w:style>
  <w:style w:type="paragraph" w:customStyle="1" w:styleId="50">
    <w:name w:val="页眉1"/>
    <w:basedOn w:val="18"/>
    <w:link w:val="49"/>
    <w:qFormat/>
    <w:uiPriority w:val="0"/>
    <w:pPr>
      <w:pBdr>
        <w:bottom w:val="none" w:color="auto" w:sz="0" w:space="0"/>
      </w:pBdr>
      <w:jc w:val="both"/>
    </w:pPr>
  </w:style>
  <w:style w:type="character" w:customStyle="1" w:styleId="51">
    <w:name w:val="页眉 字符"/>
    <w:link w:val="18"/>
    <w:qFormat/>
    <w:uiPriority w:val="0"/>
    <w:rPr>
      <w:sz w:val="18"/>
      <w:szCs w:val="18"/>
    </w:rPr>
  </w:style>
  <w:style w:type="character" w:customStyle="1" w:styleId="52">
    <w:name w:val="标题 3 字符"/>
    <w:link w:val="4"/>
    <w:qFormat/>
    <w:uiPriority w:val="0"/>
    <w:rPr>
      <w:rFonts w:ascii="Times New Roman" w:hAnsi="Times New Roman" w:eastAsia="宋体" w:cs="Times New Roman"/>
      <w:b/>
      <w:bCs/>
      <w:sz w:val="24"/>
      <w:szCs w:val="32"/>
    </w:rPr>
  </w:style>
  <w:style w:type="character" w:customStyle="1" w:styleId="53">
    <w:name w:val="h2"/>
    <w:qFormat/>
    <w:uiPriority w:val="0"/>
    <w:rPr>
      <w:color w:val="000000"/>
      <w:sz w:val="24"/>
      <w:szCs w:val="24"/>
    </w:rPr>
  </w:style>
  <w:style w:type="character" w:customStyle="1" w:styleId="54">
    <w:name w:val="unnamed1"/>
    <w:basedOn w:val="30"/>
    <w:qFormat/>
    <w:uiPriority w:val="0"/>
  </w:style>
  <w:style w:type="character" w:customStyle="1" w:styleId="55">
    <w:name w:val="正文文本缩进 字符"/>
    <w:link w:val="11"/>
    <w:qFormat/>
    <w:uiPriority w:val="0"/>
    <w:rPr>
      <w:rFonts w:ascii="宋体" w:hAnsi="宋体" w:eastAsia="宋体" w:cs="Times New Roman"/>
      <w:sz w:val="24"/>
      <w:szCs w:val="24"/>
    </w:rPr>
  </w:style>
  <w:style w:type="character" w:customStyle="1" w:styleId="56">
    <w:name w:val="页脚 字符"/>
    <w:link w:val="17"/>
    <w:qFormat/>
    <w:uiPriority w:val="0"/>
    <w:rPr>
      <w:rFonts w:ascii="Times New Roman" w:hAnsi="Times New Roman" w:eastAsia="宋体" w:cs="Times New Roman"/>
      <w:sz w:val="18"/>
      <w:szCs w:val="18"/>
    </w:rPr>
  </w:style>
  <w:style w:type="character" w:customStyle="1" w:styleId="57">
    <w:name w:val="标题 4 字符"/>
    <w:link w:val="5"/>
    <w:semiHidden/>
    <w:qFormat/>
    <w:uiPriority w:val="9"/>
    <w:rPr>
      <w:rFonts w:ascii="Cambria" w:hAnsi="Cambria" w:eastAsia="宋体" w:cs="Times New Roman"/>
      <w:b/>
      <w:bCs/>
      <w:sz w:val="28"/>
      <w:szCs w:val="28"/>
    </w:rPr>
  </w:style>
  <w:style w:type="character" w:customStyle="1" w:styleId="58">
    <w:name w:val="font101"/>
    <w:qFormat/>
    <w:uiPriority w:val="0"/>
    <w:rPr>
      <w:rFonts w:hint="eastAsia" w:ascii="黑体" w:hAnsi="宋体" w:eastAsia="黑体" w:cs="黑体"/>
      <w:color w:val="000000"/>
      <w:sz w:val="20"/>
      <w:szCs w:val="20"/>
      <w:u w:val="none"/>
    </w:rPr>
  </w:style>
  <w:style w:type="character" w:customStyle="1" w:styleId="59">
    <w:name w:val="标题 1 字符"/>
    <w:link w:val="2"/>
    <w:qFormat/>
    <w:uiPriority w:val="0"/>
    <w:rPr>
      <w:rFonts w:ascii="Times New Roman" w:hAnsi="Times New Roman" w:eastAsia="宋体" w:cs="Times New Roman"/>
      <w:b/>
      <w:bCs/>
      <w:kern w:val="44"/>
      <w:sz w:val="44"/>
      <w:szCs w:val="44"/>
    </w:rPr>
  </w:style>
  <w:style w:type="character" w:customStyle="1" w:styleId="60">
    <w:name w:val="正文文本缩进 2 字符"/>
    <w:link w:val="16"/>
    <w:qFormat/>
    <w:uiPriority w:val="0"/>
    <w:rPr>
      <w:rFonts w:ascii="宋体" w:hAnsi="宋体" w:eastAsia="宋体" w:cs="Times New Roman"/>
      <w:color w:val="000000"/>
      <w:sz w:val="24"/>
      <w:szCs w:val="24"/>
    </w:rPr>
  </w:style>
  <w:style w:type="character" w:customStyle="1" w:styleId="61">
    <w:name w:val="font61"/>
    <w:qFormat/>
    <w:uiPriority w:val="0"/>
    <w:rPr>
      <w:rFonts w:hint="eastAsia" w:ascii="宋体" w:hAnsi="宋体" w:eastAsia="宋体" w:cs="宋体"/>
      <w:color w:val="000000"/>
      <w:sz w:val="20"/>
      <w:szCs w:val="20"/>
      <w:u w:val="none"/>
    </w:rPr>
  </w:style>
  <w:style w:type="character" w:customStyle="1" w:styleId="62">
    <w:name w:val="文档结构图 字符"/>
    <w:link w:val="7"/>
    <w:semiHidden/>
    <w:qFormat/>
    <w:uiPriority w:val="0"/>
    <w:rPr>
      <w:rFonts w:ascii="Times New Roman" w:hAnsi="Times New Roman" w:eastAsia="宋体" w:cs="Times New Roman"/>
      <w:szCs w:val="24"/>
      <w:shd w:val="clear" w:color="auto" w:fill="000080"/>
    </w:rPr>
  </w:style>
  <w:style w:type="character" w:customStyle="1" w:styleId="63">
    <w:name w:val="批注主题 字符"/>
    <w:link w:val="27"/>
    <w:semiHidden/>
    <w:qFormat/>
    <w:uiPriority w:val="0"/>
    <w:rPr>
      <w:rFonts w:ascii="Times New Roman" w:hAnsi="Times New Roman" w:eastAsia="宋体" w:cs="Times New Roman"/>
      <w:b/>
      <w:bCs/>
      <w:szCs w:val="24"/>
    </w:rPr>
  </w:style>
  <w:style w:type="character" w:customStyle="1" w:styleId="64">
    <w:name w:val="页眉 Char1"/>
    <w:semiHidden/>
    <w:qFormat/>
    <w:uiPriority w:val="99"/>
    <w:rPr>
      <w:rFonts w:ascii="Times New Roman" w:hAnsi="Times New Roman" w:eastAsia="宋体" w:cs="Times New Roman"/>
      <w:sz w:val="18"/>
      <w:szCs w:val="18"/>
    </w:rPr>
  </w:style>
  <w:style w:type="character" w:customStyle="1" w:styleId="65">
    <w:name w:val="批注文字 字符"/>
    <w:link w:val="8"/>
    <w:qFormat/>
    <w:uiPriority w:val="0"/>
    <w:rPr>
      <w:rFonts w:ascii="Times New Roman" w:hAnsi="Times New Roman"/>
      <w:kern w:val="2"/>
      <w:sz w:val="24"/>
      <w:szCs w:val="24"/>
    </w:rPr>
  </w:style>
  <w:style w:type="character" w:customStyle="1" w:styleId="66">
    <w:name w:val="apple-converted-space"/>
    <w:qFormat/>
    <w:uiPriority w:val="99"/>
    <w:rPr>
      <w:rFonts w:cs="Times New Roman"/>
    </w:rPr>
  </w:style>
  <w:style w:type="paragraph" w:customStyle="1" w:styleId="67">
    <w:name w:val="1"/>
    <w:basedOn w:val="1"/>
    <w:qFormat/>
    <w:uiPriority w:val="0"/>
    <w:pPr>
      <w:widowControl/>
      <w:spacing w:after="160" w:line="240" w:lineRule="exact"/>
      <w:jc w:val="left"/>
    </w:pPr>
    <w:rPr>
      <w:rFonts w:ascii="Verdana" w:hAnsi="Verdana"/>
      <w:kern w:val="0"/>
      <w:szCs w:val="20"/>
      <w:lang w:eastAsia="en-US"/>
    </w:rPr>
  </w:style>
  <w:style w:type="paragraph" w:customStyle="1" w:styleId="68">
    <w:name w:val="Char Char Char"/>
    <w:basedOn w:val="1"/>
    <w:qFormat/>
    <w:uiPriority w:val="0"/>
    <w:rPr>
      <w:rFonts w:ascii="宋体" w:hAnsi="宋体"/>
      <w:b/>
      <w:sz w:val="28"/>
      <w:szCs w:val="28"/>
    </w:rPr>
  </w:style>
  <w:style w:type="paragraph" w:customStyle="1" w:styleId="69">
    <w:name w:val="Char Char Char Char"/>
    <w:basedOn w:val="1"/>
    <w:qFormat/>
    <w:uiPriority w:val="0"/>
    <w:rPr>
      <w:szCs w:val="20"/>
    </w:rPr>
  </w:style>
  <w:style w:type="paragraph" w:customStyle="1" w:styleId="70">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1">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2">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5">
    <w:name w:val="列出段落1"/>
    <w:basedOn w:val="1"/>
    <w:qFormat/>
    <w:uiPriority w:val="0"/>
    <w:pPr>
      <w:ind w:firstLine="420" w:firstLineChars="200"/>
    </w:pPr>
    <w:rPr>
      <w:rFonts w:ascii="Calibri" w:hAnsi="Calibri"/>
      <w:szCs w:val="21"/>
    </w:rPr>
  </w:style>
  <w:style w:type="paragraph" w:customStyle="1" w:styleId="76">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7">
    <w:name w:val="Char1 Char Char Char"/>
    <w:basedOn w:val="1"/>
    <w:qFormat/>
    <w:uiPriority w:val="0"/>
    <w:pPr>
      <w:ind w:left="420" w:hanging="420"/>
    </w:pPr>
    <w:rPr>
      <w:sz w:val="24"/>
    </w:rPr>
  </w:style>
  <w:style w:type="paragraph" w:customStyle="1" w:styleId="78">
    <w:name w:val="_Style 1"/>
    <w:basedOn w:val="1"/>
    <w:qFormat/>
    <w:uiPriority w:val="99"/>
    <w:pPr>
      <w:ind w:firstLine="420" w:firstLineChars="200"/>
    </w:pPr>
  </w:style>
  <w:style w:type="paragraph" w:customStyle="1" w:styleId="79">
    <w:name w:val="样式2"/>
    <w:basedOn w:val="1"/>
    <w:qFormat/>
    <w:uiPriority w:val="0"/>
    <w:rPr>
      <w:b/>
      <w:sz w:val="24"/>
    </w:rPr>
  </w:style>
  <w:style w:type="paragraph" w:customStyle="1" w:styleId="80">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1">
    <w:name w:val="图"/>
    <w:basedOn w:val="1"/>
    <w:link w:val="93"/>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2">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3">
    <w:name w:val="Char"/>
    <w:basedOn w:val="1"/>
    <w:qFormat/>
    <w:uiPriority w:val="0"/>
    <w:pPr>
      <w:tabs>
        <w:tab w:val="left" w:pos="0"/>
      </w:tabs>
      <w:ind w:left="964" w:hanging="964"/>
    </w:pPr>
    <w:rPr>
      <w:sz w:val="24"/>
    </w:rPr>
  </w:style>
  <w:style w:type="paragraph" w:styleId="84">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5">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6">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8">
    <w:name w:val="hwyang"/>
    <w:basedOn w:val="1"/>
    <w:qFormat/>
    <w:uiPriority w:val="0"/>
    <w:pPr>
      <w:widowControl/>
      <w:spacing w:line="360" w:lineRule="auto"/>
      <w:ind w:firstLine="480" w:firstLineChars="200"/>
      <w:jc w:val="left"/>
    </w:pPr>
    <w:rPr>
      <w:kern w:val="0"/>
      <w:sz w:val="24"/>
      <w:szCs w:val="20"/>
    </w:rPr>
  </w:style>
  <w:style w:type="paragraph" w:customStyle="1" w:styleId="89">
    <w:name w:val="列表段落1"/>
    <w:basedOn w:val="1"/>
    <w:qFormat/>
    <w:uiPriority w:val="0"/>
    <w:pPr>
      <w:ind w:firstLine="420" w:firstLineChars="200"/>
    </w:pPr>
    <w:rPr>
      <w:rFonts w:ascii="Calibri" w:hAnsi="Calibri"/>
      <w:szCs w:val="21"/>
    </w:rPr>
  </w:style>
  <w:style w:type="paragraph" w:customStyle="1" w:styleId="90">
    <w:name w:val="正文_0_1"/>
    <w:basedOn w:val="1"/>
    <w:qFormat/>
    <w:uiPriority w:val="0"/>
    <w:pPr>
      <w:spacing w:line="360" w:lineRule="auto"/>
    </w:pPr>
    <w:rPr>
      <w:rFonts w:ascii="Calibri" w:hAnsi="Calibri" w:eastAsia="仿宋" w:cs="宋体"/>
      <w:sz w:val="28"/>
      <w:szCs w:val="28"/>
    </w:rPr>
  </w:style>
  <w:style w:type="paragraph" w:customStyle="1" w:styleId="91">
    <w:name w:val="￥正文"/>
    <w:basedOn w:val="1"/>
    <w:qFormat/>
    <w:uiPriority w:val="0"/>
    <w:pPr>
      <w:spacing w:line="360" w:lineRule="auto"/>
    </w:pPr>
    <w:rPr>
      <w:rFonts w:ascii="Calibri" w:hAnsi="Calibri"/>
      <w:kern w:val="0"/>
      <w:sz w:val="24"/>
      <w:szCs w:val="20"/>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3">
    <w:name w:val="图 Char Char"/>
    <w:link w:val="81"/>
    <w:qFormat/>
    <w:locked/>
    <w:uiPriority w:val="0"/>
    <w:rPr>
      <w:rFonts w:ascii="Times New Roman" w:hAnsi="Times New Roman"/>
      <w:snapToGrid w:val="0"/>
      <w:spacing w:val="20"/>
      <w:sz w:val="24"/>
    </w:rPr>
  </w:style>
  <w:style w:type="paragraph" w:customStyle="1" w:styleId="94">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5">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7">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8">
    <w:name w:val="List Paragraph Char"/>
    <w:qFormat/>
    <w:locked/>
    <w:uiPriority w:val="99"/>
    <w:rPr>
      <w:kern w:val="0"/>
      <w:sz w:val="20"/>
      <w:szCs w:val="20"/>
    </w:rPr>
  </w:style>
  <w:style w:type="paragraph" w:customStyle="1" w:styleId="99">
    <w:name w:val="_正文段落"/>
    <w:basedOn w:val="1"/>
    <w:link w:val="100"/>
    <w:qFormat/>
    <w:uiPriority w:val="0"/>
    <w:pPr>
      <w:spacing w:beforeLines="15" w:afterLines="15" w:line="360" w:lineRule="auto"/>
      <w:ind w:firstLine="200" w:firstLineChars="200"/>
    </w:pPr>
    <w:rPr>
      <w:sz w:val="24"/>
    </w:rPr>
  </w:style>
  <w:style w:type="character" w:customStyle="1" w:styleId="100">
    <w:name w:val="_正文段落 Char"/>
    <w:link w:val="99"/>
    <w:qFormat/>
    <w:uiPriority w:val="0"/>
    <w:rPr>
      <w:rFonts w:ascii="Times New Roman" w:hAnsi="Times New Roman"/>
      <w:kern w:val="2"/>
      <w:sz w:val="24"/>
      <w:szCs w:val="24"/>
    </w:rPr>
  </w:style>
  <w:style w:type="paragraph" w:customStyle="1" w:styleId="101">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0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10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35</Pages>
  <Words>1884</Words>
  <Characters>10744</Characters>
  <Lines>89</Lines>
  <Paragraphs>25</Paragraphs>
  <TotalTime>13</TotalTime>
  <ScaleCrop>false</ScaleCrop>
  <LinksUpToDate>false</LinksUpToDate>
  <CharactersWithSpaces>12603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2024-01-17T04:11:00Z</dcterms:created>
  <dc:creator>招投标中心</dc:creator>
  <cp:lastModifiedBy>李智勇</cp:lastModifiedBy>
  <cp:lastPrinted>2022-01-21T10:35:00Z</cp:lastPrinted>
  <dcterms:modified xsi:type="dcterms:W3CDTF">2024-01-18T00:57:20Z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B30F6D455A294E46ABA8C28F6783366E_13</vt:lpwstr>
  </property>
</Properties>
</file>