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left="2857" w:leftChars="500" w:hanging="1807" w:hangingChars="500"/>
        <w:rPr>
          <w:rFonts w:ascii="宋体" w:hAnsi="宋体"/>
          <w:b/>
          <w:sz w:val="32"/>
          <w:szCs w:val="32"/>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cs="宋体"/>
          <w:b/>
          <w:sz w:val="32"/>
          <w:szCs w:val="32"/>
          <w:u w:val="single"/>
        </w:rPr>
        <w:t>跨境电子商务实训系统软件（亚马逊平台）</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cs="宋体"/>
          <w:b/>
          <w:sz w:val="36"/>
          <w:szCs w:val="36"/>
          <w:u w:val="single"/>
        </w:rPr>
        <w:t xml:space="preserve">  </w:t>
      </w:r>
      <w:r>
        <w:rPr>
          <w:rFonts w:hint="eastAsia" w:ascii="宋体" w:hAnsi="宋体"/>
          <w:b/>
          <w:sz w:val="36"/>
          <w:u w:val="single"/>
        </w:rPr>
        <w:t xml:space="preserve">广东财经大学经济学院   </w:t>
      </w:r>
    </w:p>
    <w:p>
      <w:pPr>
        <w:spacing w:line="760" w:lineRule="exact"/>
        <w:ind w:firstLine="1084" w:firstLineChars="300"/>
        <w:rPr>
          <w:rFonts w:ascii="宋体" w:hAnsi="宋体"/>
          <w:b/>
          <w:sz w:val="36"/>
          <w:szCs w:val="36"/>
          <w:u w:val="single"/>
        </w:rPr>
      </w:pPr>
      <w:r>
        <w:rPr>
          <w:rFonts w:hint="eastAsia"/>
          <w:b/>
          <w:sz w:val="36"/>
          <w:szCs w:val="36"/>
        </w:rPr>
        <w:t>发布时间：</w:t>
      </w:r>
      <w:r>
        <w:rPr>
          <w:rFonts w:hint="eastAsia" w:ascii="宋体" w:hAnsi="宋体" w:cs="宋体"/>
          <w:b/>
          <w:sz w:val="36"/>
          <w:szCs w:val="36"/>
          <w:u w:val="single"/>
        </w:rPr>
        <w:t xml:space="preserve">    </w:t>
      </w:r>
      <w:r>
        <w:rPr>
          <w:rFonts w:hint="eastAsia" w:ascii="宋体" w:hAnsi="宋体"/>
          <w:b/>
          <w:sz w:val="36"/>
          <w:u w:val="single"/>
        </w:rPr>
        <w:t>2023年1</w:t>
      </w:r>
      <w:r>
        <w:rPr>
          <w:rFonts w:ascii="宋体" w:hAnsi="宋体"/>
          <w:b/>
          <w:sz w:val="36"/>
          <w:u w:val="single"/>
        </w:rPr>
        <w:t>2</w:t>
      </w:r>
      <w:r>
        <w:rPr>
          <w:rFonts w:hint="eastAsia" w:ascii="宋体" w:hAnsi="宋体"/>
          <w:b/>
          <w:sz w:val="36"/>
          <w:u w:val="single"/>
        </w:rPr>
        <w:t>月</w:t>
      </w:r>
      <w:r>
        <w:rPr>
          <w:rFonts w:hint="eastAsia" w:ascii="宋体" w:hAnsi="宋体"/>
          <w:b/>
          <w:sz w:val="36"/>
          <w:u w:val="single"/>
          <w:lang w:val="en-US" w:eastAsia="zh-CN"/>
        </w:rPr>
        <w:t>4</w:t>
      </w:r>
      <w:r>
        <w:rPr>
          <w:rFonts w:hint="eastAsia" w:ascii="宋体" w:hAnsi="宋体"/>
          <w:b/>
          <w:sz w:val="36"/>
          <w:u w:val="single"/>
        </w:rPr>
        <w:t xml:space="preserve">日    </w:t>
      </w:r>
    </w:p>
    <w:p>
      <w:pPr>
        <w:spacing w:line="1000" w:lineRule="exact"/>
        <w:jc w:val="center"/>
        <w:rPr>
          <w:rFonts w:ascii="黑体" w:eastAsia="黑体"/>
          <w:b/>
          <w:sz w:val="72"/>
          <w:szCs w:val="72"/>
        </w:rPr>
      </w:pP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6</w:t>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一、采购内容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6</w:t>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二、技术要求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6</w:t>
      </w:r>
    </w:p>
    <w:p>
      <w:pPr>
        <w:rPr>
          <w:rFonts w:eastAsiaTheme="minorEastAsia"/>
        </w:rPr>
      </w:pPr>
      <w:r>
        <w:rPr>
          <w:rFonts w:hint="eastAsia" w:asciiTheme="minorEastAsia" w:hAnsiTheme="minorEastAsia" w:eastAsiaTheme="minorEastAsia" w:cstheme="minorEastAsia"/>
          <w:sz w:val="28"/>
          <w:szCs w:val="28"/>
        </w:rPr>
        <w:t xml:space="preserve">   三、商务要求..............................................34</w:t>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6</w:t>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60236697"/>
      <w:bookmarkStart w:id="1" w:name="_Toc508103135"/>
      <w:bookmarkStart w:id="2" w:name="_Toc508103350"/>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480" w:firstLineChars="200"/>
        <w:rPr>
          <w:rFonts w:ascii="宋体" w:hAnsi="宋体" w:cs="宋体"/>
          <w:bCs/>
          <w:sz w:val="24"/>
          <w:u w:val="none"/>
        </w:rPr>
      </w:pPr>
      <w:bookmarkStart w:id="7" w:name="_Toc28829"/>
      <w:bookmarkStart w:id="8" w:name="_Toc508103352"/>
      <w:bookmarkStart w:id="9" w:name="_Toc60236699"/>
      <w:r>
        <w:rPr>
          <w:rFonts w:hint="eastAsia" w:ascii="宋体" w:hAnsi="宋体" w:cs="宋体"/>
          <w:bCs/>
          <w:sz w:val="24"/>
        </w:rPr>
        <w:t>1.项目名称：</w:t>
      </w:r>
      <w:r>
        <w:rPr>
          <w:rFonts w:hint="eastAsia" w:ascii="宋体" w:hAnsi="宋体" w:cs="宋体"/>
          <w:bCs/>
          <w:sz w:val="24"/>
          <w:u w:val="none"/>
        </w:rPr>
        <w:t>跨境电子商务实训系统软件（亚马逊平台）。</w:t>
      </w:r>
    </w:p>
    <w:p>
      <w:pPr>
        <w:spacing w:line="360" w:lineRule="auto"/>
        <w:ind w:firstLine="480" w:firstLineChars="200"/>
        <w:rPr>
          <w:rFonts w:hint="eastAsia" w:ascii="宋体" w:hAnsi="宋体" w:eastAsia="宋体" w:cs="宋体"/>
          <w:bCs/>
          <w:sz w:val="24"/>
          <w:u w:val="none"/>
          <w:lang w:eastAsia="zh-CN"/>
        </w:rPr>
      </w:pPr>
      <w:r>
        <w:rPr>
          <w:rFonts w:hint="eastAsia" w:ascii="宋体" w:hAnsi="宋体" w:cs="宋体"/>
          <w:bCs/>
          <w:sz w:val="24"/>
          <w:u w:val="none"/>
        </w:rPr>
        <w:t>2.经费预算：人民币 9.95万元</w:t>
      </w:r>
      <w:r>
        <w:rPr>
          <w:rFonts w:hint="eastAsia" w:ascii="宋体" w:hAnsi="宋体" w:cs="宋体"/>
          <w:bCs/>
          <w:sz w:val="24"/>
          <w:u w:val="none"/>
          <w:lang w:eastAsia="zh-CN"/>
        </w:rPr>
        <w:t>。</w:t>
      </w:r>
    </w:p>
    <w:p>
      <w:pPr>
        <w:spacing w:line="360" w:lineRule="auto"/>
        <w:ind w:firstLine="283" w:firstLineChars="118"/>
        <w:rPr>
          <w:rFonts w:ascii="宋体" w:hAnsi="宋体" w:cs="宋体"/>
          <w:bCs/>
          <w:sz w:val="24"/>
          <w:u w:val="none"/>
        </w:rPr>
      </w:pPr>
      <w:r>
        <w:rPr>
          <w:rFonts w:ascii="宋体" w:hAnsi="宋体" w:cs="宋体"/>
          <w:bCs/>
          <w:sz w:val="24"/>
          <w:u w:val="none"/>
        </w:rPr>
        <w:t xml:space="preserve"> </w:t>
      </w:r>
      <w:r>
        <w:rPr>
          <w:rFonts w:hint="eastAsia" w:ascii="宋体" w:hAnsi="宋体" w:cs="宋体"/>
          <w:bCs/>
          <w:sz w:val="24"/>
          <w:u w:val="none"/>
        </w:rPr>
        <w:t>3.预算及报价费用包括：跨境电子商务实训系统软件（亚马逊平台）一套。</w:t>
      </w:r>
    </w:p>
    <w:p>
      <w:pPr>
        <w:spacing w:line="560" w:lineRule="exact"/>
        <w:ind w:firstLine="560" w:firstLineChars="200"/>
        <w:rPr>
          <w:rFonts w:ascii="宋体" w:hAnsi="宋体" w:cs="宋体"/>
          <w:bCs/>
          <w:sz w:val="28"/>
          <w:szCs w:val="28"/>
        </w:rPr>
      </w:pPr>
      <w:r>
        <w:rPr>
          <w:rFonts w:hint="eastAsia" w:ascii="宋体" w:hAnsi="宋体" w:cs="宋体"/>
          <w:bCs/>
          <w:sz w:val="28"/>
          <w:szCs w:val="28"/>
        </w:rPr>
        <w:t>4.项目简介与总体要求：</w:t>
      </w:r>
    </w:p>
    <w:p>
      <w:pPr>
        <w:spacing w:line="360" w:lineRule="auto"/>
        <w:ind w:firstLine="420"/>
        <w:rPr>
          <w:rFonts w:asciiTheme="minorEastAsia" w:hAnsiTheme="minorEastAsia"/>
          <w:sz w:val="24"/>
        </w:rPr>
      </w:pPr>
      <w:r>
        <w:rPr>
          <w:rFonts w:hint="eastAsia" w:asciiTheme="minorEastAsia" w:hAnsiTheme="minorEastAsia"/>
          <w:sz w:val="24"/>
        </w:rPr>
        <w:t>跨境电子商务实训系统软件（亚马逊平台）是以企业运营为主要驱动模式，按照真实的亚马逊平台1:1模拟打造，学生可以从“卖家”与“买家”两个角度来交互体验亚马逊平台的操作全过程。平台模拟真实业务流程来体现亚马逊跨境平台的应用场景，让学生从注册公司开始，到进货选择、模拟亚马逊卖家开店、产品发布、库存管理、营销推广、订单处理等，完成完整的业务流程操作。与此同时，运营者还需要根据系统内置的动态市场变化来调整经营策略，形成完整的商业闭环。设计者们通过研究真实亚马逊平台的最新算法排名规则，根据此规则在跨境电子商务亚马逊仿真平台中内置了AI智能买家机器人，这些买家机器人在对卖家发布的产品进行综合分析后智能下单，并能够进行后期的收货、付款处理。此外，系统也支持学生自行注册买家用户进行模拟购买操作，让学生们能够真实体验亚马逊平台交易的全流程。系统可依据教师设置的评分比例对学生的整个实训过程进行综合性的自动评分，是兼具教师教学和学生实训双重功能的综合性实训平台。</w:t>
      </w:r>
    </w:p>
    <w:p>
      <w:pPr>
        <w:pStyle w:val="3"/>
        <w:spacing w:line="560" w:lineRule="exact"/>
      </w:pPr>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11839"/>
      <w:bookmarkStart w:id="11" w:name="_Toc508103353"/>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20873"/>
      <w:bookmarkStart w:id="14" w:name="_Toc508103354"/>
      <w:bookmarkStart w:id="15" w:name="_Toc60236701"/>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18253"/>
      <w:bookmarkStart w:id="17" w:name="_Toc60236702"/>
      <w:bookmarkStart w:id="18" w:name="_Toc508103355"/>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10890"/>
      <w:bookmarkStart w:id="21" w:name="_Toc60236703"/>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b/>
          <w:bCs/>
          <w:sz w:val="28"/>
          <w:szCs w:val="28"/>
          <w:u w:val="single"/>
        </w:rPr>
        <w:t>（二）</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bookmarkStart w:id="26" w:name="_GoBack"/>
            <w:bookmarkEnd w:id="26"/>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826" w:type="dxa"/>
            <w:gridSpan w:val="2"/>
            <w:noWrap/>
            <w:vAlign w:val="center"/>
          </w:tcPr>
          <w:p>
            <w:pPr>
              <w:jc w:val="center"/>
              <w:rPr>
                <w:b/>
                <w:sz w:val="24"/>
              </w:rPr>
            </w:pPr>
            <w:r>
              <w:rPr>
                <w:b/>
                <w:sz w:val="24"/>
              </w:rPr>
              <w:t>评审因素</w:t>
            </w:r>
          </w:p>
        </w:tc>
        <w:tc>
          <w:tcPr>
            <w:tcW w:w="1080" w:type="dxa"/>
            <w:noWrap/>
            <w:vAlign w:val="center"/>
          </w:tcPr>
          <w:p>
            <w:pPr>
              <w:jc w:val="center"/>
              <w:rPr>
                <w:b/>
                <w:sz w:val="24"/>
              </w:rPr>
            </w:pPr>
            <w:r>
              <w:rPr>
                <w:rFonts w:hint="eastAsia"/>
                <w:b/>
                <w:sz w:val="24"/>
              </w:rPr>
              <w:t>权重</w:t>
            </w:r>
          </w:p>
        </w:tc>
        <w:tc>
          <w:tcPr>
            <w:tcW w:w="5400" w:type="dxa"/>
            <w:noWrap/>
            <w:vAlign w:val="center"/>
          </w:tcPr>
          <w:p>
            <w:pPr>
              <w:jc w:val="center"/>
              <w:rPr>
                <w:b/>
                <w:sz w:val="24"/>
              </w:rPr>
            </w:pPr>
            <w:r>
              <w:rPr>
                <w:b/>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826" w:type="dxa"/>
            <w:gridSpan w:val="2"/>
            <w:noWrap/>
            <w:vAlign w:val="center"/>
          </w:tcPr>
          <w:p>
            <w:pPr>
              <w:jc w:val="center"/>
              <w:rPr>
                <w:sz w:val="24"/>
              </w:rPr>
            </w:pPr>
            <w:r>
              <w:rPr>
                <w:rFonts w:hint="eastAsia"/>
                <w:sz w:val="24"/>
              </w:rPr>
              <w:t>报价</w:t>
            </w:r>
          </w:p>
          <w:p>
            <w:pPr>
              <w:rPr>
                <w:sz w:val="24"/>
              </w:rPr>
            </w:pPr>
          </w:p>
        </w:tc>
        <w:tc>
          <w:tcPr>
            <w:tcW w:w="1080" w:type="dxa"/>
            <w:noWrap/>
            <w:vAlign w:val="center"/>
          </w:tcPr>
          <w:p>
            <w:pPr>
              <w:jc w:val="center"/>
              <w:rPr>
                <w:sz w:val="24"/>
              </w:rPr>
            </w:pPr>
            <w:r>
              <w:rPr>
                <w:sz w:val="24"/>
              </w:rPr>
              <w:t>10</w:t>
            </w:r>
          </w:p>
        </w:tc>
        <w:tc>
          <w:tcPr>
            <w:tcW w:w="5400" w:type="dxa"/>
            <w:noWrap/>
            <w:vAlign w:val="center"/>
          </w:tcPr>
          <w:p>
            <w:pPr>
              <w:ind w:left="-2" w:leftChars="-1"/>
              <w:rPr>
                <w:sz w:val="24"/>
              </w:rPr>
            </w:pPr>
            <w:r>
              <w:rPr>
                <w:rFonts w:hint="eastAsia"/>
                <w:sz w:val="24"/>
              </w:rPr>
              <w:t>1、价格评审满分为10分，为客观计算得分。</w:t>
            </w:r>
          </w:p>
          <w:p>
            <w:pPr>
              <w:ind w:left="-2" w:leftChars="-1"/>
              <w:rPr>
                <w:sz w:val="24"/>
              </w:rPr>
            </w:pPr>
            <w:r>
              <w:rPr>
                <w:rFonts w:hint="eastAsia"/>
                <w:sz w:val="24"/>
              </w:rPr>
              <w:t>2、以所有通过资格性与符合性审查的投标人的投标报价作为评审的依据，投标人价格得分评分方法如下：</w:t>
            </w:r>
          </w:p>
          <w:p>
            <w:pPr>
              <w:ind w:left="-2" w:leftChars="-1"/>
              <w:rPr>
                <w:sz w:val="24"/>
              </w:rPr>
            </w:pPr>
            <w:r>
              <w:rPr>
                <w:rFonts w:hint="eastAsia"/>
                <w:sz w:val="24"/>
              </w:rPr>
              <w:t>评标基准价＝实质性满足招标文件要求且投标价格最低的投标报价；</w:t>
            </w:r>
          </w:p>
          <w:p>
            <w:pPr>
              <w:ind w:left="-2" w:leftChars="-1"/>
              <w:rPr>
                <w:sz w:val="24"/>
              </w:rPr>
            </w:pPr>
            <w:r>
              <w:rPr>
                <w:rFonts w:hint="eastAsia"/>
                <w:sz w:val="24"/>
              </w:rPr>
              <w:t>价格得分＝（基准价÷评审价）×10。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46" w:type="dxa"/>
            <w:vMerge w:val="restart"/>
            <w:noWrap/>
            <w:textDirection w:val="tbRlV"/>
            <w:vAlign w:val="center"/>
          </w:tcPr>
          <w:p>
            <w:pPr>
              <w:ind w:left="113" w:right="113"/>
              <w:jc w:val="center"/>
              <w:rPr>
                <w:sz w:val="24"/>
              </w:rPr>
            </w:pPr>
            <w:r>
              <w:rPr>
                <w:sz w:val="24"/>
              </w:rPr>
              <w:t>技术</w:t>
            </w:r>
            <w:r>
              <w:rPr>
                <w:rFonts w:hint="eastAsia"/>
                <w:sz w:val="24"/>
              </w:rPr>
              <w:t>因素</w:t>
            </w:r>
          </w:p>
        </w:tc>
        <w:tc>
          <w:tcPr>
            <w:tcW w:w="1980" w:type="dxa"/>
            <w:noWrap/>
            <w:vAlign w:val="center"/>
          </w:tcPr>
          <w:p>
            <w:pPr>
              <w:jc w:val="center"/>
              <w:rPr>
                <w:sz w:val="24"/>
              </w:rPr>
            </w:pPr>
            <w:r>
              <w:rPr>
                <w:rFonts w:hint="eastAsia" w:cs="宋体" w:asciiTheme="minorEastAsia" w:hAnsiTheme="minorEastAsia"/>
                <w:sz w:val="24"/>
              </w:rPr>
              <w:t>技术响应程度</w:t>
            </w:r>
          </w:p>
        </w:tc>
        <w:tc>
          <w:tcPr>
            <w:tcW w:w="1080" w:type="dxa"/>
            <w:noWrap/>
            <w:vAlign w:val="center"/>
          </w:tcPr>
          <w:p>
            <w:pPr>
              <w:jc w:val="center"/>
              <w:rPr>
                <w:sz w:val="24"/>
              </w:rPr>
            </w:pPr>
            <w:r>
              <w:rPr>
                <w:sz w:val="24"/>
              </w:rPr>
              <w:t>35</w:t>
            </w:r>
          </w:p>
        </w:tc>
        <w:tc>
          <w:tcPr>
            <w:tcW w:w="5400" w:type="dxa"/>
            <w:noWrap/>
            <w:vAlign w:val="center"/>
          </w:tcPr>
          <w:p>
            <w:pPr>
              <w:rPr>
                <w:sz w:val="24"/>
              </w:rPr>
            </w:pPr>
            <w:r>
              <w:rPr>
                <w:rFonts w:hint="eastAsia"/>
                <w:sz w:val="24"/>
              </w:rPr>
              <w:t>考查有效投标人投标产品的技术参数响应程度，完全满足得</w:t>
            </w:r>
            <w:r>
              <w:rPr>
                <w:sz w:val="24"/>
              </w:rPr>
              <w:t>3</w:t>
            </w:r>
            <w:r>
              <w:rPr>
                <w:rFonts w:hint="eastAsia"/>
                <w:sz w:val="24"/>
              </w:rPr>
              <w:t>5分；投标人技术响应程度存在负偏离的，在</w:t>
            </w:r>
            <w:r>
              <w:rPr>
                <w:sz w:val="24"/>
              </w:rPr>
              <w:t>3</w:t>
            </w:r>
            <w:r>
              <w:rPr>
                <w:rFonts w:hint="eastAsia"/>
                <w:sz w:val="24"/>
              </w:rPr>
              <w:t>5分的基础上扣除相应分数，每项带“▲”号技术参数不满足扣</w:t>
            </w:r>
            <w:r>
              <w:rPr>
                <w:sz w:val="24"/>
              </w:rPr>
              <w:t>3</w:t>
            </w:r>
            <w:r>
              <w:rPr>
                <w:rFonts w:hint="eastAsia"/>
                <w:sz w:val="24"/>
              </w:rPr>
              <w:t>分，非“★”、非“▲”项每负偏离一项扣</w:t>
            </w:r>
            <w:r>
              <w:rPr>
                <w:sz w:val="24"/>
              </w:rPr>
              <w:t>1</w:t>
            </w:r>
            <w:r>
              <w:rPr>
                <w:rFonts w:hint="eastAsia"/>
                <w:sz w:val="24"/>
              </w:rPr>
              <w:t>分，直到扣完为止。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46" w:type="dxa"/>
            <w:vMerge w:val="continue"/>
            <w:noWrap/>
            <w:textDirection w:val="tbRlV"/>
            <w:vAlign w:val="center"/>
          </w:tcPr>
          <w:p>
            <w:pPr>
              <w:ind w:left="113" w:right="113"/>
              <w:jc w:val="center"/>
              <w:rPr>
                <w:sz w:val="24"/>
              </w:rPr>
            </w:pPr>
          </w:p>
        </w:tc>
        <w:tc>
          <w:tcPr>
            <w:tcW w:w="1980" w:type="dxa"/>
            <w:noWrap/>
            <w:vAlign w:val="center"/>
          </w:tcPr>
          <w:p>
            <w:pPr>
              <w:jc w:val="center"/>
              <w:rPr>
                <w:sz w:val="24"/>
              </w:rPr>
            </w:pPr>
            <w:r>
              <w:rPr>
                <w:rFonts w:hint="eastAsia" w:cs="宋体" w:asciiTheme="minorEastAsia" w:hAnsiTheme="minorEastAsia"/>
                <w:sz w:val="24"/>
              </w:rPr>
              <w:t>项目执行整体方案</w:t>
            </w:r>
          </w:p>
        </w:tc>
        <w:tc>
          <w:tcPr>
            <w:tcW w:w="1080" w:type="dxa"/>
            <w:noWrap/>
            <w:vAlign w:val="center"/>
          </w:tcPr>
          <w:p>
            <w:pPr>
              <w:jc w:val="center"/>
              <w:rPr>
                <w:sz w:val="24"/>
              </w:rPr>
            </w:pPr>
            <w:r>
              <w:rPr>
                <w:sz w:val="24"/>
              </w:rPr>
              <w:t>10</w:t>
            </w:r>
          </w:p>
        </w:tc>
        <w:tc>
          <w:tcPr>
            <w:tcW w:w="5400" w:type="dxa"/>
            <w:noWrap/>
            <w:vAlign w:val="center"/>
          </w:tcPr>
          <w:p>
            <w:pPr>
              <w:rPr>
                <w:sz w:val="24"/>
              </w:rPr>
            </w:pPr>
            <w:r>
              <w:rPr>
                <w:rFonts w:hint="eastAsia"/>
                <w:sz w:val="24"/>
              </w:rPr>
              <w:t>投标人针对本项目需求制定的项目执行整体方案，包括但不限于项目重点难点的理解和分析、根据项目执行总体计划等。</w:t>
            </w:r>
          </w:p>
          <w:p>
            <w:pPr>
              <w:rPr>
                <w:sz w:val="24"/>
              </w:rPr>
            </w:pPr>
            <w:r>
              <w:rPr>
                <w:rFonts w:hint="eastAsia"/>
                <w:sz w:val="24"/>
              </w:rPr>
              <w:t>项目实施方案全面、可行、合理、具体得</w:t>
            </w:r>
            <w:r>
              <w:rPr>
                <w:sz w:val="24"/>
              </w:rPr>
              <w:t>10</w:t>
            </w:r>
            <w:r>
              <w:rPr>
                <w:rFonts w:hint="eastAsia"/>
                <w:sz w:val="24"/>
              </w:rPr>
              <w:t>分；</w:t>
            </w:r>
          </w:p>
          <w:p>
            <w:pPr>
              <w:rPr>
                <w:sz w:val="24"/>
              </w:rPr>
            </w:pPr>
            <w:r>
              <w:rPr>
                <w:rFonts w:hint="eastAsia"/>
                <w:sz w:val="24"/>
              </w:rPr>
              <w:t>项目实施方案较为全面、可行、合理、具体得5分；</w:t>
            </w:r>
          </w:p>
          <w:p>
            <w:pPr>
              <w:rPr>
                <w:sz w:val="24"/>
              </w:rPr>
            </w:pPr>
            <w:r>
              <w:rPr>
                <w:rFonts w:hint="eastAsia"/>
                <w:sz w:val="24"/>
              </w:rPr>
              <w:t>项目实施方案一般全面、可行、合理、具体得3分；</w:t>
            </w:r>
          </w:p>
          <w:p>
            <w:pPr>
              <w:rPr>
                <w:sz w:val="24"/>
              </w:rPr>
            </w:pPr>
            <w:r>
              <w:rPr>
                <w:rFonts w:hint="eastAsia"/>
                <w:sz w:val="24"/>
              </w:rPr>
              <w:t>项目实施方案较差、缺乏可行性、合理性不足、不够具体得1分。</w:t>
            </w:r>
          </w:p>
          <w:p>
            <w:pPr>
              <w:rPr>
                <w:sz w:val="24"/>
              </w:rPr>
            </w:pPr>
            <w:r>
              <w:rPr>
                <w:rFonts w:hint="eastAsia"/>
                <w:sz w:val="24"/>
              </w:rPr>
              <w:t>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46" w:type="dxa"/>
            <w:vMerge w:val="continue"/>
            <w:noWrap/>
            <w:textDirection w:val="tbRlV"/>
            <w:vAlign w:val="center"/>
          </w:tcPr>
          <w:p>
            <w:pPr>
              <w:ind w:left="113" w:right="113"/>
              <w:jc w:val="center"/>
              <w:rPr>
                <w:sz w:val="24"/>
              </w:rPr>
            </w:pPr>
          </w:p>
        </w:tc>
        <w:tc>
          <w:tcPr>
            <w:tcW w:w="1980" w:type="dxa"/>
            <w:noWrap/>
            <w:vAlign w:val="center"/>
          </w:tcPr>
          <w:p>
            <w:pPr>
              <w:jc w:val="center"/>
              <w:rPr>
                <w:rFonts w:cs="宋体" w:asciiTheme="minorEastAsia" w:hAnsiTheme="minorEastAsia"/>
                <w:sz w:val="24"/>
              </w:rPr>
            </w:pPr>
            <w:r>
              <w:rPr>
                <w:rFonts w:hint="eastAsia" w:cs="宋体" w:asciiTheme="minorEastAsia" w:hAnsiTheme="minorEastAsia"/>
                <w:sz w:val="24"/>
              </w:rPr>
              <w:t>售后方案</w:t>
            </w:r>
          </w:p>
        </w:tc>
        <w:tc>
          <w:tcPr>
            <w:tcW w:w="1080" w:type="dxa"/>
            <w:noWrap/>
            <w:vAlign w:val="center"/>
          </w:tcPr>
          <w:p>
            <w:pPr>
              <w:jc w:val="center"/>
              <w:rPr>
                <w:sz w:val="24"/>
              </w:rPr>
            </w:pPr>
            <w:r>
              <w:rPr>
                <w:rFonts w:cs="宋体" w:asciiTheme="minorEastAsia" w:hAnsiTheme="minorEastAsia"/>
                <w:sz w:val="24"/>
              </w:rPr>
              <w:t>10</w:t>
            </w:r>
          </w:p>
        </w:tc>
        <w:tc>
          <w:tcPr>
            <w:tcW w:w="5400" w:type="dxa"/>
            <w:noWrap/>
            <w:vAlign w:val="center"/>
          </w:tcPr>
          <w:p>
            <w:pPr>
              <w:pStyle w:val="102"/>
              <w:spacing w:before="0" w:after="0" w:line="360" w:lineRule="exact"/>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对比项目售后质量保证措施的完善性，售后服务的可行性，培训计划的可靠性（包括但不限于培训方案、质量保证措施、验收方案、质保期限、服务响应速度等的的服务承诺）：</w:t>
            </w:r>
          </w:p>
          <w:p>
            <w:pPr>
              <w:pStyle w:val="102"/>
              <w:spacing w:before="0" w:after="0" w:line="360" w:lineRule="exact"/>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项目售后质量保证措施的完善性好，售后服务的可行性好，培训计划好，得</w:t>
            </w:r>
            <w:r>
              <w:rPr>
                <w:rFonts w:cs="宋体" w:asciiTheme="minorEastAsia" w:hAnsiTheme="minorEastAsia" w:eastAsiaTheme="minorEastAsia"/>
                <w:szCs w:val="24"/>
                <w:lang w:val="zh-CN"/>
              </w:rPr>
              <w:t>10</w:t>
            </w:r>
            <w:r>
              <w:rPr>
                <w:rFonts w:hint="eastAsia" w:cs="宋体" w:asciiTheme="minorEastAsia" w:hAnsiTheme="minorEastAsia" w:eastAsiaTheme="minorEastAsia"/>
                <w:szCs w:val="24"/>
                <w:lang w:val="zh-CN"/>
              </w:rPr>
              <w:t>分；</w:t>
            </w:r>
          </w:p>
          <w:p>
            <w:pPr>
              <w:pStyle w:val="102"/>
              <w:spacing w:before="0" w:after="0" w:line="360" w:lineRule="exact"/>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项目售后质量保证措施的完善性较好，售后服务的可行性较好，培训计划较好，得</w:t>
            </w:r>
            <w:r>
              <w:rPr>
                <w:rFonts w:cs="宋体" w:asciiTheme="minorEastAsia" w:hAnsiTheme="minorEastAsia" w:eastAsiaTheme="minorEastAsia"/>
                <w:szCs w:val="24"/>
                <w:lang w:val="zh-CN"/>
              </w:rPr>
              <w:t>5</w:t>
            </w:r>
            <w:r>
              <w:rPr>
                <w:rFonts w:hint="eastAsia" w:cs="宋体" w:asciiTheme="minorEastAsia" w:hAnsiTheme="minorEastAsia" w:eastAsiaTheme="minorEastAsia"/>
                <w:szCs w:val="24"/>
                <w:lang w:val="zh-CN"/>
              </w:rPr>
              <w:t>分；</w:t>
            </w:r>
          </w:p>
          <w:p>
            <w:pPr>
              <w:pStyle w:val="102"/>
              <w:spacing w:before="0" w:after="0" w:line="360" w:lineRule="exact"/>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项目售后质量保证措施的完善性一般，售后服务的可行性一般，培训计划一般，得2分；</w:t>
            </w:r>
          </w:p>
          <w:p>
            <w:pPr>
              <w:pStyle w:val="102"/>
              <w:spacing w:before="0" w:after="0" w:line="360" w:lineRule="exact"/>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项目售后质量保证措施的完善性差，售后服务的可行性差，培训计划差得1分；</w:t>
            </w:r>
          </w:p>
          <w:p>
            <w:pPr>
              <w:pStyle w:val="102"/>
              <w:spacing w:before="0" w:after="0" w:line="360" w:lineRule="exact"/>
              <w:rPr>
                <w:rFonts w:cs="宋体" w:asciiTheme="minorEastAsia" w:hAnsiTheme="minorEastAsia" w:eastAsiaTheme="minorEastAsia"/>
                <w:szCs w:val="24"/>
                <w:lang w:val="zh-CN"/>
              </w:rPr>
            </w:pPr>
            <w:r>
              <w:rPr>
                <w:rFonts w:hint="eastAsia" w:cs="宋体" w:asciiTheme="minorEastAsia" w:hAnsiTheme="minorEastAsia" w:eastAsiaTheme="minorEastAsia"/>
                <w:szCs w:val="24"/>
                <w:lang w:val="zh-CN"/>
              </w:rPr>
              <w:t>不提供得0分。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46" w:type="dxa"/>
            <w:vMerge w:val="restart"/>
            <w:noWrap/>
            <w:textDirection w:val="tbRlV"/>
            <w:vAlign w:val="center"/>
          </w:tcPr>
          <w:p>
            <w:pPr>
              <w:ind w:left="113" w:leftChars="54" w:right="113" w:firstLine="600" w:firstLineChars="250"/>
              <w:jc w:val="center"/>
              <w:rPr>
                <w:sz w:val="24"/>
              </w:rPr>
            </w:pPr>
            <w:r>
              <w:rPr>
                <w:rFonts w:hint="eastAsia"/>
                <w:sz w:val="24"/>
              </w:rPr>
              <w:t>商务因素</w:t>
            </w:r>
          </w:p>
        </w:tc>
        <w:tc>
          <w:tcPr>
            <w:tcW w:w="1980" w:type="dxa"/>
            <w:noWrap/>
            <w:vAlign w:val="center"/>
          </w:tcPr>
          <w:p>
            <w:pPr>
              <w:jc w:val="center"/>
              <w:rPr>
                <w:sz w:val="24"/>
              </w:rPr>
            </w:pPr>
            <w:r>
              <w:rPr>
                <w:rFonts w:hint="eastAsia"/>
                <w:sz w:val="24"/>
              </w:rPr>
              <w:t>商务响应</w:t>
            </w:r>
          </w:p>
        </w:tc>
        <w:tc>
          <w:tcPr>
            <w:tcW w:w="1080" w:type="dxa"/>
            <w:noWrap/>
            <w:vAlign w:val="center"/>
          </w:tcPr>
          <w:p>
            <w:pPr>
              <w:jc w:val="center"/>
              <w:rPr>
                <w:sz w:val="24"/>
              </w:rPr>
            </w:pPr>
            <w:r>
              <w:rPr>
                <w:sz w:val="24"/>
              </w:rPr>
              <w:t>5</w:t>
            </w:r>
          </w:p>
        </w:tc>
        <w:tc>
          <w:tcPr>
            <w:tcW w:w="5400" w:type="dxa"/>
            <w:noWrap/>
            <w:vAlign w:val="center"/>
          </w:tcPr>
          <w:p>
            <w:pPr>
              <w:rPr>
                <w:sz w:val="24"/>
              </w:rPr>
            </w:pPr>
            <w:r>
              <w:rPr>
                <w:rFonts w:hint="eastAsia"/>
                <w:sz w:val="24"/>
              </w:rPr>
              <w:t>完全响应招标文件“商务要求”条款的，得</w:t>
            </w:r>
            <w:r>
              <w:rPr>
                <w:sz w:val="24"/>
              </w:rPr>
              <w:t>5</w:t>
            </w:r>
            <w:r>
              <w:rPr>
                <w:rFonts w:hint="eastAsia"/>
                <w:sz w:val="24"/>
              </w:rPr>
              <w:t>分；每负偏离一项扣</w:t>
            </w:r>
            <w:r>
              <w:rPr>
                <w:sz w:val="24"/>
              </w:rPr>
              <w:t>1</w:t>
            </w:r>
            <w:r>
              <w:rPr>
                <w:rFonts w:hint="eastAsia"/>
                <w:sz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46" w:type="dxa"/>
            <w:vMerge w:val="continue"/>
            <w:noWrap/>
            <w:textDirection w:val="tbRlV"/>
            <w:vAlign w:val="center"/>
          </w:tcPr>
          <w:p>
            <w:pPr>
              <w:ind w:left="113" w:right="113"/>
              <w:jc w:val="center"/>
              <w:rPr>
                <w:sz w:val="24"/>
              </w:rPr>
            </w:pPr>
          </w:p>
        </w:tc>
        <w:tc>
          <w:tcPr>
            <w:tcW w:w="1980" w:type="dxa"/>
            <w:noWrap/>
            <w:vAlign w:val="center"/>
          </w:tcPr>
          <w:p>
            <w:pPr>
              <w:jc w:val="center"/>
              <w:rPr>
                <w:sz w:val="24"/>
              </w:rPr>
            </w:pPr>
            <w:r>
              <w:rPr>
                <w:rFonts w:hint="eastAsia"/>
                <w:sz w:val="24"/>
              </w:rPr>
              <w:t>服务保障力</w:t>
            </w:r>
          </w:p>
        </w:tc>
        <w:tc>
          <w:tcPr>
            <w:tcW w:w="1080" w:type="dxa"/>
            <w:noWrap/>
            <w:vAlign w:val="center"/>
          </w:tcPr>
          <w:p>
            <w:pPr>
              <w:jc w:val="center"/>
              <w:rPr>
                <w:sz w:val="24"/>
              </w:rPr>
            </w:pPr>
            <w:r>
              <w:rPr>
                <w:rFonts w:hint="eastAsia"/>
                <w:sz w:val="24"/>
              </w:rPr>
              <w:t>10</w:t>
            </w:r>
          </w:p>
        </w:tc>
        <w:tc>
          <w:tcPr>
            <w:tcW w:w="5400" w:type="dxa"/>
            <w:noWrap/>
            <w:vAlign w:val="center"/>
          </w:tcPr>
          <w:p>
            <w:pPr>
              <w:rPr>
                <w:sz w:val="24"/>
              </w:rPr>
            </w:pPr>
            <w:r>
              <w:rPr>
                <w:rFonts w:hint="eastAsia"/>
                <w:sz w:val="24"/>
              </w:rPr>
              <w:t xml:space="preserve">投标人具有以下资质： </w:t>
            </w:r>
          </w:p>
          <w:p>
            <w:r>
              <w:t xml:space="preserve">1、投标人具有高新企业证书，得2分； </w:t>
            </w:r>
          </w:p>
          <w:p>
            <w:r>
              <w:t xml:space="preserve">2、投标人具有ISO14001环境管理体系认证证书，得2分； 3、投标人具有ISO9001质量管理系统证书，得2分； </w:t>
            </w:r>
          </w:p>
          <w:p>
            <w:r>
              <w:t xml:space="preserve">4、投标人具有ISO45001职业健康安全管理体系认证证书，得2分； </w:t>
            </w:r>
          </w:p>
          <w:p>
            <w:pPr>
              <w:rPr>
                <w:sz w:val="24"/>
              </w:rPr>
            </w:pPr>
            <w:r>
              <w:t>5、投标人具有守合同重信用（重合同守信用）证书，得2分； 提供相关证明文件复印件并加盖公章。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46" w:type="dxa"/>
            <w:vMerge w:val="continue"/>
            <w:noWrap/>
            <w:textDirection w:val="tbRlV"/>
            <w:vAlign w:val="center"/>
          </w:tcPr>
          <w:p>
            <w:pPr>
              <w:ind w:left="113" w:right="113"/>
              <w:jc w:val="center"/>
              <w:rPr>
                <w:sz w:val="24"/>
              </w:rPr>
            </w:pPr>
          </w:p>
        </w:tc>
        <w:tc>
          <w:tcPr>
            <w:tcW w:w="1980" w:type="dxa"/>
            <w:noWrap/>
            <w:vAlign w:val="center"/>
          </w:tcPr>
          <w:p>
            <w:pPr>
              <w:jc w:val="center"/>
              <w:rPr>
                <w:sz w:val="24"/>
              </w:rPr>
            </w:pPr>
            <w:r>
              <w:rPr>
                <w:rFonts w:hint="eastAsia"/>
                <w:sz w:val="24"/>
              </w:rPr>
              <w:t>业绩证明</w:t>
            </w:r>
          </w:p>
        </w:tc>
        <w:tc>
          <w:tcPr>
            <w:tcW w:w="1080" w:type="dxa"/>
            <w:noWrap/>
            <w:vAlign w:val="center"/>
          </w:tcPr>
          <w:p>
            <w:pPr>
              <w:jc w:val="center"/>
              <w:rPr>
                <w:sz w:val="24"/>
              </w:rPr>
            </w:pPr>
            <w:r>
              <w:rPr>
                <w:sz w:val="24"/>
              </w:rPr>
              <w:t>5</w:t>
            </w:r>
          </w:p>
        </w:tc>
        <w:tc>
          <w:tcPr>
            <w:tcW w:w="5400" w:type="dxa"/>
            <w:noWrap/>
            <w:vAlign w:val="center"/>
          </w:tcPr>
          <w:p>
            <w:pPr>
              <w:rPr>
                <w:rFonts w:ascii="宋体" w:hAnsi="宋体"/>
              </w:rPr>
            </w:pPr>
            <w:r>
              <w:rPr>
                <w:rFonts w:ascii="宋体" w:hAnsi="宋体"/>
              </w:rPr>
              <w:t>投标人2019年至今（以合同签订时间为准）的同类型项目业绩</w:t>
            </w:r>
            <w:r>
              <w:rPr>
                <w:rFonts w:hint="eastAsia" w:ascii="宋体" w:hAnsi="宋体"/>
              </w:rPr>
              <w:t>情况</w:t>
            </w:r>
            <w:r>
              <w:rPr>
                <w:rFonts w:ascii="宋体" w:hAnsi="宋体"/>
              </w:rPr>
              <w:t>，每提供一个</w:t>
            </w:r>
            <w:r>
              <w:rPr>
                <w:rFonts w:hint="eastAsia" w:ascii="宋体" w:hAnsi="宋体"/>
              </w:rPr>
              <w:t>业绩项目</w:t>
            </w:r>
            <w:r>
              <w:rPr>
                <w:rFonts w:ascii="宋体" w:hAnsi="宋体"/>
              </w:rPr>
              <w:t>得1分，满分5分</w:t>
            </w:r>
            <w:r>
              <w:rPr>
                <w:rFonts w:hint="eastAsia" w:ascii="宋体" w:hAnsi="宋体"/>
              </w:rPr>
              <w:t>。</w:t>
            </w:r>
          </w:p>
          <w:p>
            <w:pPr>
              <w:rPr>
                <w:sz w:val="24"/>
              </w:rPr>
            </w:pPr>
            <w:r>
              <w:rPr>
                <w:rFonts w:hint="eastAsia" w:ascii="宋体" w:hAnsi="宋体"/>
              </w:rPr>
              <w:t>注：需</w:t>
            </w:r>
            <w:r>
              <w:rPr>
                <w:rFonts w:ascii="宋体" w:hAnsi="宋体"/>
              </w:rPr>
              <w:t>提供合同</w:t>
            </w:r>
            <w:r>
              <w:rPr>
                <w:rFonts w:hint="eastAsia" w:ascii="宋体" w:hAnsi="宋体"/>
              </w:rPr>
              <w:t>关键页</w:t>
            </w:r>
            <w:r>
              <w:rPr>
                <w:rFonts w:hint="eastAsia" w:ascii="宋体" w:hAnsi="宋体" w:cs="宋体"/>
                <w:szCs w:val="21"/>
              </w:rPr>
              <w:t>（含签订合同双方的单位名称、合同或项目名称、签订合同双方的落款盖章、合同签订日期的关键页）</w:t>
            </w:r>
            <w:r>
              <w:rPr>
                <w:rFonts w:ascii="宋体" w:hAnsi="宋体"/>
              </w:rPr>
              <w:t>复印件，否则不得分</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46" w:type="dxa"/>
            <w:vMerge w:val="continue"/>
            <w:noWrap/>
            <w:textDirection w:val="tbRlV"/>
            <w:vAlign w:val="center"/>
          </w:tcPr>
          <w:p>
            <w:pPr>
              <w:ind w:left="113" w:right="113"/>
              <w:jc w:val="center"/>
              <w:rPr>
                <w:sz w:val="24"/>
              </w:rPr>
            </w:pPr>
          </w:p>
        </w:tc>
        <w:tc>
          <w:tcPr>
            <w:tcW w:w="1980" w:type="dxa"/>
            <w:noWrap/>
            <w:vAlign w:val="center"/>
          </w:tcPr>
          <w:p>
            <w:pPr>
              <w:jc w:val="center"/>
              <w:rPr>
                <w:sz w:val="24"/>
              </w:rPr>
            </w:pPr>
            <w:r>
              <w:rPr>
                <w:rFonts w:hint="eastAsia"/>
                <w:sz w:val="24"/>
              </w:rPr>
              <w:t>拟投入本项目的技术服务力量</w:t>
            </w:r>
          </w:p>
        </w:tc>
        <w:tc>
          <w:tcPr>
            <w:tcW w:w="1080" w:type="dxa"/>
            <w:noWrap/>
            <w:vAlign w:val="center"/>
          </w:tcPr>
          <w:p>
            <w:pPr>
              <w:jc w:val="center"/>
              <w:rPr>
                <w:sz w:val="24"/>
              </w:rPr>
            </w:pPr>
            <w:r>
              <w:rPr>
                <w:rFonts w:hint="eastAsia"/>
                <w:sz w:val="24"/>
              </w:rPr>
              <w:t>1</w:t>
            </w:r>
            <w:r>
              <w:rPr>
                <w:sz w:val="24"/>
              </w:rPr>
              <w:t>5</w:t>
            </w:r>
          </w:p>
        </w:tc>
        <w:tc>
          <w:tcPr>
            <w:tcW w:w="5400" w:type="dxa"/>
            <w:noWrap/>
            <w:vAlign w:val="center"/>
          </w:tcPr>
          <w:p>
            <w:pPr>
              <w:rPr>
                <w:sz w:val="24"/>
              </w:rPr>
            </w:pPr>
            <w:r>
              <w:rPr>
                <w:rFonts w:ascii="宋体" w:hAnsi="宋体"/>
              </w:rPr>
              <w:t>根据投标人响应本项目的保障措施进行评审： 能根据</w:t>
            </w:r>
            <w:r>
              <w:rPr>
                <w:rFonts w:hint="eastAsia" w:ascii="宋体" w:hAnsi="宋体"/>
              </w:rPr>
              <w:t>采购</w:t>
            </w:r>
            <w:r>
              <w:rPr>
                <w:rFonts w:ascii="宋体" w:hAnsi="宋体"/>
              </w:rPr>
              <w:t>需求制定详细</w:t>
            </w:r>
            <w:r>
              <w:rPr>
                <w:rFonts w:hint="eastAsia" w:ascii="宋体" w:hAnsi="宋体"/>
              </w:rPr>
              <w:t>、</w:t>
            </w:r>
            <w:r>
              <w:rPr>
                <w:rFonts w:ascii="宋体" w:hAnsi="宋体"/>
              </w:rPr>
              <w:t>具体的保障措施（包括但不限于对供货过程中关键节点的具体措施，列明拟投入的人力</w:t>
            </w:r>
            <w:r>
              <w:rPr>
                <w:rFonts w:hint="eastAsia" w:ascii="宋体" w:hAnsi="宋体"/>
              </w:rPr>
              <w:t>、</w:t>
            </w:r>
            <w:r>
              <w:rPr>
                <w:rFonts w:ascii="宋体" w:hAnsi="宋体"/>
              </w:rPr>
              <w:t>物力</w:t>
            </w:r>
            <w:r>
              <w:rPr>
                <w:rFonts w:hint="eastAsia" w:ascii="宋体" w:hAnsi="宋体"/>
              </w:rPr>
              <w:t>及项目进度计划等内容</w:t>
            </w:r>
            <w:r>
              <w:rPr>
                <w:rFonts w:ascii="宋体" w:hAnsi="宋体"/>
              </w:rPr>
              <w:t>）得15分；有制定基本的保障措施（包括但不限于对供货过程中关键节点的具体措施，列明拟投入的人力</w:t>
            </w:r>
            <w:r>
              <w:rPr>
                <w:rFonts w:hint="eastAsia" w:ascii="宋体" w:hAnsi="宋体"/>
              </w:rPr>
              <w:t>、</w:t>
            </w:r>
            <w:r>
              <w:rPr>
                <w:rFonts w:ascii="宋体" w:hAnsi="宋体"/>
              </w:rPr>
              <w:t>物力</w:t>
            </w:r>
            <w:r>
              <w:rPr>
                <w:rFonts w:hint="eastAsia" w:ascii="宋体" w:hAnsi="宋体"/>
              </w:rPr>
              <w:t>、</w:t>
            </w:r>
            <w:r>
              <w:rPr>
                <w:rFonts w:ascii="宋体" w:hAnsi="宋体"/>
              </w:rPr>
              <w:t>安排</w:t>
            </w:r>
            <w:r>
              <w:rPr>
                <w:rFonts w:hint="eastAsia" w:ascii="宋体" w:hAnsi="宋体"/>
              </w:rPr>
              <w:t>及进度计划等内容</w:t>
            </w:r>
            <w:r>
              <w:rPr>
                <w:rFonts w:ascii="宋体" w:hAnsi="宋体"/>
              </w:rPr>
              <w:t>）</w:t>
            </w:r>
            <w:r>
              <w:rPr>
                <w:rFonts w:hint="eastAsia" w:ascii="宋体" w:hAnsi="宋体"/>
              </w:rPr>
              <w:t>，但内容不够详细，具体，</w:t>
            </w:r>
            <w:r>
              <w:rPr>
                <w:rFonts w:ascii="宋体" w:hAnsi="宋体"/>
              </w:rPr>
              <w:t>得7分； 有制定保障措施，但缺少具体措施或未列明拟投入的人力</w:t>
            </w:r>
            <w:r>
              <w:rPr>
                <w:rFonts w:hint="eastAsia" w:ascii="宋体" w:hAnsi="宋体"/>
              </w:rPr>
              <w:t>、</w:t>
            </w:r>
            <w:r>
              <w:rPr>
                <w:rFonts w:ascii="宋体" w:hAnsi="宋体"/>
              </w:rPr>
              <w:t>物力</w:t>
            </w:r>
            <w:r>
              <w:rPr>
                <w:rFonts w:hint="eastAsia" w:ascii="宋体" w:hAnsi="宋体"/>
              </w:rPr>
              <w:t>或进度</w:t>
            </w:r>
            <w:r>
              <w:rPr>
                <w:rFonts w:ascii="宋体" w:hAnsi="宋体"/>
              </w:rPr>
              <w:t>安排</w:t>
            </w:r>
            <w:r>
              <w:rPr>
                <w:rFonts w:hint="eastAsia" w:ascii="宋体" w:hAnsi="宋体"/>
              </w:rPr>
              <w:t>，且内容较简单，</w:t>
            </w:r>
            <w:r>
              <w:rPr>
                <w:rFonts w:ascii="宋体" w:hAnsi="宋体"/>
              </w:rPr>
              <w:t>得1分；未提供保障措施得0分。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306" w:type="dxa"/>
            <w:gridSpan w:val="4"/>
            <w:noWrap/>
            <w:vAlign w:val="center"/>
          </w:tcPr>
          <w:p>
            <w:pPr>
              <w:rPr>
                <w:sz w:val="24"/>
              </w:rPr>
            </w:pPr>
            <w:r>
              <w:rPr>
                <w:rFonts w:hint="eastAsia"/>
                <w:sz w:val="24"/>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spacing w:line="560" w:lineRule="exact"/>
        <w:ind w:firstLine="560" w:firstLineChars="200"/>
        <w:jc w:val="left"/>
        <w:outlineLvl w:val="1"/>
        <w:rPr>
          <w:rFonts w:ascii="宋体" w:hAnsi="宋体" w:cs="宋体"/>
          <w:sz w:val="28"/>
          <w:szCs w:val="28"/>
        </w:rPr>
      </w:pPr>
      <w:r>
        <w:rPr>
          <w:rFonts w:hint="eastAsia" w:ascii="宋体" w:hAnsi="宋体" w:cs="宋体"/>
          <w:sz w:val="28"/>
          <w:szCs w:val="28"/>
        </w:rPr>
        <w:t>一、采购内容</w:t>
      </w:r>
    </w:p>
    <w:p>
      <w:pPr>
        <w:spacing w:line="360" w:lineRule="auto"/>
        <w:ind w:firstLine="420"/>
        <w:rPr>
          <w:rFonts w:asciiTheme="minorEastAsia" w:hAnsiTheme="minorEastAsia"/>
          <w:sz w:val="24"/>
        </w:rPr>
      </w:pPr>
      <w:r>
        <w:rPr>
          <w:rFonts w:hint="eastAsia" w:ascii="宋体" w:hAnsi="宋体" w:cs="宋体"/>
          <w:bCs/>
          <w:sz w:val="24"/>
        </w:rPr>
        <w:t>互联网+跨境电子商务亚马逊仿真系统课程建设</w:t>
      </w:r>
      <w:r>
        <w:rPr>
          <w:rFonts w:hint="eastAsia" w:asciiTheme="minorEastAsia" w:hAnsiTheme="minorEastAsia"/>
          <w:sz w:val="24"/>
        </w:rPr>
        <w:t>以企业运营为主要驱动模式，可同时模拟亚马逊卖家和买家功能，做为卖家，学生可自由注册企业也可加入系统内置的企业。系统会给每家企业投放初始的运营资金，学生利用这些资金进行开店、选品、运营等操作，最终可体验自身的运营表现。学生可自由选择自发货或FBA发货（即亚马逊配送）两种发货方式。自发货方式包含卖家自发货和货代代发两种模式；FBA发货时，学生亦可体验两种头程发货方式：委托亚马逊官方物流公司（即AGL物流）进行头程发货，或自行跟相关物流公司合作完成头程发货。</w:t>
      </w:r>
    </w:p>
    <w:p>
      <w:pPr>
        <w:spacing w:line="560" w:lineRule="exact"/>
        <w:ind w:firstLine="560" w:firstLineChars="200"/>
        <w:rPr>
          <w:rFonts w:ascii="宋体" w:hAnsi="宋体" w:cs="宋体"/>
          <w:sz w:val="28"/>
          <w:szCs w:val="28"/>
        </w:rPr>
      </w:pPr>
      <w:r>
        <w:rPr>
          <w:rFonts w:hint="eastAsia" w:ascii="宋体" w:hAnsi="宋体" w:cs="宋体"/>
          <w:sz w:val="28"/>
          <w:szCs w:val="28"/>
        </w:rPr>
        <w:t xml:space="preserve">    2.采购清单</w:t>
      </w:r>
    </w:p>
    <w:tbl>
      <w:tblPr>
        <w:tblStyle w:val="27"/>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7"/>
        <w:gridCol w:w="1789"/>
        <w:gridCol w:w="1298"/>
        <w:gridCol w:w="841"/>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3327" w:type="dxa"/>
            <w:shd w:val="clear" w:color="auto" w:fill="auto"/>
            <w:vAlign w:val="center"/>
          </w:tcPr>
          <w:p>
            <w:pPr>
              <w:spacing w:line="560" w:lineRule="exact"/>
              <w:jc w:val="center"/>
              <w:rPr>
                <w:rFonts w:ascii="宋体" w:hAnsi="宋体" w:cs="宋体"/>
                <w:sz w:val="24"/>
              </w:rPr>
            </w:pPr>
            <w:r>
              <w:rPr>
                <w:rFonts w:hint="eastAsia" w:ascii="宋体" w:hAnsi="宋体" w:cs="宋体"/>
                <w:sz w:val="24"/>
              </w:rPr>
              <w:t>课程名称</w:t>
            </w:r>
          </w:p>
        </w:tc>
        <w:tc>
          <w:tcPr>
            <w:tcW w:w="1789" w:type="dxa"/>
            <w:shd w:val="clear" w:color="auto" w:fill="auto"/>
            <w:vAlign w:val="center"/>
          </w:tcPr>
          <w:p>
            <w:pPr>
              <w:spacing w:line="560" w:lineRule="exact"/>
              <w:jc w:val="center"/>
              <w:rPr>
                <w:rFonts w:ascii="宋体" w:hAnsi="宋体" w:cs="宋体"/>
                <w:sz w:val="24"/>
              </w:rPr>
            </w:pPr>
            <w:r>
              <w:rPr>
                <w:rFonts w:hint="eastAsia" w:ascii="宋体" w:hAnsi="宋体" w:cs="宋体"/>
                <w:sz w:val="24"/>
              </w:rPr>
              <w:t>单位</w:t>
            </w:r>
          </w:p>
          <w:p>
            <w:pPr>
              <w:spacing w:line="560" w:lineRule="exact"/>
              <w:jc w:val="center"/>
              <w:rPr>
                <w:rFonts w:ascii="宋体" w:hAnsi="宋体" w:cs="宋体"/>
                <w:sz w:val="24"/>
              </w:rPr>
            </w:pPr>
            <w:r>
              <w:rPr>
                <w:rFonts w:hint="eastAsia" w:ascii="宋体" w:hAnsi="宋体" w:cs="宋体"/>
                <w:sz w:val="24"/>
              </w:rPr>
              <w:t>（套）</w:t>
            </w:r>
          </w:p>
        </w:tc>
        <w:tc>
          <w:tcPr>
            <w:tcW w:w="1298" w:type="dxa"/>
            <w:shd w:val="clear" w:color="auto" w:fill="auto"/>
            <w:vAlign w:val="center"/>
          </w:tcPr>
          <w:p>
            <w:pPr>
              <w:spacing w:line="560" w:lineRule="exact"/>
              <w:jc w:val="center"/>
              <w:rPr>
                <w:rFonts w:ascii="宋体" w:hAnsi="宋体" w:cs="宋体"/>
                <w:sz w:val="24"/>
              </w:rPr>
            </w:pPr>
            <w:r>
              <w:rPr>
                <w:rFonts w:hint="eastAsia" w:ascii="宋体" w:hAnsi="宋体" w:cs="宋体"/>
                <w:sz w:val="24"/>
              </w:rPr>
              <w:t>单价（元）</w:t>
            </w:r>
          </w:p>
        </w:tc>
        <w:tc>
          <w:tcPr>
            <w:tcW w:w="841" w:type="dxa"/>
            <w:shd w:val="clear" w:color="auto" w:fill="auto"/>
            <w:vAlign w:val="center"/>
          </w:tcPr>
          <w:p>
            <w:pPr>
              <w:spacing w:line="560" w:lineRule="exact"/>
              <w:jc w:val="center"/>
              <w:rPr>
                <w:rFonts w:ascii="宋体" w:hAnsi="宋体" w:cs="宋体"/>
                <w:sz w:val="24"/>
              </w:rPr>
            </w:pPr>
            <w:r>
              <w:rPr>
                <w:rFonts w:hint="eastAsia" w:ascii="宋体" w:hAnsi="宋体" w:cs="宋体"/>
                <w:sz w:val="24"/>
              </w:rPr>
              <w:t>数量</w:t>
            </w:r>
          </w:p>
        </w:tc>
        <w:tc>
          <w:tcPr>
            <w:tcW w:w="1523" w:type="dxa"/>
            <w:vAlign w:val="center"/>
          </w:tcPr>
          <w:p>
            <w:pPr>
              <w:spacing w:line="560" w:lineRule="exact"/>
              <w:jc w:val="center"/>
              <w:rPr>
                <w:rFonts w:ascii="宋体" w:hAnsi="宋体" w:cs="宋体"/>
                <w:sz w:val="24"/>
              </w:rPr>
            </w:pPr>
            <w:r>
              <w:rPr>
                <w:rFonts w:hint="eastAsia" w:ascii="宋体" w:hAnsi="宋体" w:cs="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327" w:type="dxa"/>
            <w:shd w:val="clear" w:color="auto" w:fill="auto"/>
            <w:vAlign w:val="center"/>
          </w:tcPr>
          <w:p>
            <w:pPr>
              <w:widowControl/>
              <w:spacing w:line="560" w:lineRule="exact"/>
              <w:jc w:val="center"/>
              <w:textAlignment w:val="center"/>
              <w:rPr>
                <w:rFonts w:ascii="宋体" w:hAnsi="宋体" w:cs="宋体"/>
                <w:sz w:val="24"/>
              </w:rPr>
            </w:pPr>
            <w:r>
              <w:rPr>
                <w:rFonts w:hint="eastAsia" w:asciiTheme="minorEastAsia" w:hAnsiTheme="minorEastAsia"/>
                <w:sz w:val="24"/>
              </w:rPr>
              <w:t>跨境电子商务实训系统软件（亚马逊平台）</w:t>
            </w:r>
          </w:p>
        </w:tc>
        <w:tc>
          <w:tcPr>
            <w:tcW w:w="1789" w:type="dxa"/>
            <w:shd w:val="clear" w:color="auto" w:fill="auto"/>
            <w:vAlign w:val="center"/>
          </w:tcPr>
          <w:p>
            <w:pPr>
              <w:spacing w:line="560" w:lineRule="exact"/>
              <w:ind w:firstLine="480" w:firstLineChars="200"/>
              <w:rPr>
                <w:rFonts w:ascii="宋体" w:hAnsi="宋体" w:cs="宋体"/>
                <w:sz w:val="24"/>
              </w:rPr>
            </w:pPr>
            <w:r>
              <w:rPr>
                <w:rFonts w:hint="eastAsia" w:ascii="宋体" w:hAnsi="宋体" w:cs="宋体"/>
                <w:sz w:val="24"/>
              </w:rPr>
              <w:t>1套</w:t>
            </w:r>
          </w:p>
        </w:tc>
        <w:tc>
          <w:tcPr>
            <w:tcW w:w="1298" w:type="dxa"/>
            <w:shd w:val="clear" w:color="auto" w:fill="auto"/>
            <w:vAlign w:val="center"/>
          </w:tcPr>
          <w:p>
            <w:pPr>
              <w:spacing w:line="560" w:lineRule="exact"/>
              <w:jc w:val="center"/>
              <w:rPr>
                <w:rFonts w:ascii="宋体" w:hAnsi="宋体" w:cs="宋体"/>
                <w:sz w:val="24"/>
              </w:rPr>
            </w:pPr>
            <w:r>
              <w:rPr>
                <w:rFonts w:hint="eastAsia" w:ascii="宋体" w:hAnsi="宋体" w:cs="宋体"/>
                <w:sz w:val="24"/>
              </w:rPr>
              <w:t>99500</w:t>
            </w:r>
          </w:p>
        </w:tc>
        <w:tc>
          <w:tcPr>
            <w:tcW w:w="841" w:type="dxa"/>
            <w:shd w:val="clear" w:color="auto" w:fill="auto"/>
            <w:vAlign w:val="center"/>
          </w:tcPr>
          <w:p>
            <w:pPr>
              <w:spacing w:line="560" w:lineRule="exact"/>
              <w:ind w:firstLine="360" w:firstLineChars="150"/>
              <w:jc w:val="center"/>
              <w:rPr>
                <w:rFonts w:ascii="宋体" w:hAnsi="宋体" w:cs="宋体"/>
                <w:sz w:val="24"/>
              </w:rPr>
            </w:pPr>
            <w:r>
              <w:rPr>
                <w:rFonts w:hint="eastAsia" w:ascii="宋体" w:hAnsi="宋体" w:cs="宋体"/>
                <w:sz w:val="24"/>
              </w:rPr>
              <w:t>1</w:t>
            </w:r>
          </w:p>
        </w:tc>
        <w:tc>
          <w:tcPr>
            <w:tcW w:w="1523" w:type="dxa"/>
            <w:vAlign w:val="center"/>
          </w:tcPr>
          <w:p>
            <w:pPr>
              <w:spacing w:line="560" w:lineRule="exact"/>
              <w:jc w:val="center"/>
              <w:rPr>
                <w:rFonts w:ascii="宋体" w:hAnsi="宋体" w:cs="宋体"/>
                <w:sz w:val="24"/>
              </w:rPr>
            </w:pPr>
            <w:r>
              <w:rPr>
                <w:rFonts w:hint="eastAsia" w:ascii="宋体" w:hAnsi="宋体" w:cs="宋体"/>
                <w:sz w:val="24"/>
              </w:rPr>
              <w:t>99500</w:t>
            </w:r>
          </w:p>
        </w:tc>
      </w:tr>
    </w:tbl>
    <w:p>
      <w:pPr>
        <w:spacing w:line="560" w:lineRule="exact"/>
        <w:ind w:firstLine="560" w:firstLineChars="200"/>
        <w:jc w:val="left"/>
        <w:outlineLvl w:val="1"/>
        <w:rPr>
          <w:rFonts w:ascii="宋体" w:hAnsi="宋体" w:cs="宋体"/>
          <w:sz w:val="28"/>
          <w:szCs w:val="28"/>
        </w:rPr>
      </w:pPr>
      <w:r>
        <w:rPr>
          <w:rFonts w:hint="eastAsia" w:ascii="宋体" w:hAnsi="宋体" w:cs="宋体"/>
          <w:sz w:val="28"/>
          <w:szCs w:val="28"/>
        </w:rPr>
        <w:t>二、技术要求</w:t>
      </w:r>
    </w:p>
    <w:p>
      <w:pPr>
        <w:spacing w:line="560" w:lineRule="exact"/>
        <w:ind w:firstLine="560" w:firstLineChars="200"/>
        <w:rPr>
          <w:rFonts w:ascii="宋体" w:hAnsi="宋体" w:cs="宋体"/>
          <w:sz w:val="28"/>
          <w:szCs w:val="28"/>
        </w:rPr>
      </w:pPr>
      <w:r>
        <w:rPr>
          <w:rFonts w:hint="eastAsia" w:ascii="宋体" w:hAnsi="宋体" w:cs="宋体"/>
          <w:sz w:val="28"/>
          <w:szCs w:val="28"/>
        </w:rPr>
        <w:t>1.总体要求</w:t>
      </w:r>
    </w:p>
    <w:p>
      <w:pPr>
        <w:spacing w:line="560" w:lineRule="exact"/>
        <w:ind w:firstLine="600" w:firstLineChars="250"/>
        <w:rPr>
          <w:rFonts w:ascii="宋体" w:hAnsi="宋体" w:cs="宋体"/>
          <w:bCs/>
          <w:sz w:val="24"/>
          <w:u w:val="single"/>
        </w:rPr>
      </w:pPr>
      <w:r>
        <w:rPr>
          <w:rFonts w:hint="eastAsia" w:ascii="宋体" w:hAnsi="宋体" w:cs="宋体"/>
          <w:bCs/>
          <w:sz w:val="24"/>
          <w:u w:val="single"/>
        </w:rPr>
        <w:t>跨境电子商务实训系统软件（亚马逊平台）提供后期的课程应用技术支持服务。版权归属于广东财经大学。</w:t>
      </w:r>
    </w:p>
    <w:p>
      <w:pPr>
        <w:spacing w:line="560" w:lineRule="exact"/>
        <w:ind w:firstLine="600" w:firstLineChars="250"/>
        <w:rPr>
          <w:rFonts w:ascii="宋体" w:hAnsi="宋体" w:cs="宋体"/>
          <w:sz w:val="24"/>
        </w:rPr>
      </w:pPr>
      <w:r>
        <w:rPr>
          <w:rFonts w:hint="eastAsia" w:ascii="宋体" w:hAnsi="宋体" w:cs="宋体"/>
          <w:bCs/>
          <w:sz w:val="24"/>
        </w:rPr>
        <w:t>投标人提供的产品不能侵犯第三方知识产权。</w:t>
      </w:r>
    </w:p>
    <w:p>
      <w:pPr>
        <w:widowControl/>
        <w:jc w:val="left"/>
        <w:rPr>
          <w:rFonts w:ascii="宋体" w:hAnsi="宋体" w:cs="宋体"/>
          <w:sz w:val="28"/>
          <w:szCs w:val="28"/>
        </w:rPr>
      </w:pPr>
      <w:r>
        <w:rPr>
          <w:rFonts w:ascii="宋体" w:hAnsi="宋体" w:cs="宋体"/>
          <w:sz w:val="28"/>
          <w:szCs w:val="28"/>
        </w:rPr>
        <w:br w:type="page"/>
      </w:r>
    </w:p>
    <w:p>
      <w:pPr>
        <w:spacing w:line="560" w:lineRule="exact"/>
        <w:ind w:firstLine="560" w:firstLineChars="200"/>
        <w:rPr>
          <w:rFonts w:ascii="宋体" w:hAnsi="宋体" w:cs="宋体"/>
          <w:sz w:val="28"/>
          <w:szCs w:val="28"/>
        </w:rPr>
      </w:pPr>
      <w:r>
        <w:rPr>
          <w:rFonts w:hint="eastAsia" w:ascii="宋体" w:hAnsi="宋体" w:cs="宋体"/>
          <w:sz w:val="28"/>
          <w:szCs w:val="28"/>
        </w:rPr>
        <w:t>2.具体技术指标及性能要求</w:t>
      </w:r>
    </w:p>
    <w:tbl>
      <w:tblPr>
        <w:tblStyle w:val="28"/>
        <w:tblW w:w="10916"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418"/>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560" w:lineRule="exact"/>
              <w:rPr>
                <w:rFonts w:ascii="宋体" w:hAnsi="宋体" w:cs="宋体"/>
                <w:szCs w:val="21"/>
              </w:rPr>
            </w:pPr>
            <w:r>
              <w:rPr>
                <w:rFonts w:hint="eastAsia" w:ascii="宋体" w:hAnsi="宋体" w:cs="宋体"/>
                <w:szCs w:val="21"/>
              </w:rPr>
              <w:t>序号</w:t>
            </w:r>
          </w:p>
        </w:tc>
        <w:tc>
          <w:tcPr>
            <w:tcW w:w="1418" w:type="dxa"/>
          </w:tcPr>
          <w:p>
            <w:pPr>
              <w:spacing w:line="560" w:lineRule="exact"/>
              <w:rPr>
                <w:rFonts w:ascii="宋体" w:hAnsi="宋体" w:cs="宋体"/>
                <w:szCs w:val="21"/>
              </w:rPr>
            </w:pPr>
            <w:r>
              <w:rPr>
                <w:rFonts w:hint="eastAsia" w:ascii="宋体" w:hAnsi="宋体" w:cs="宋体"/>
                <w:szCs w:val="21"/>
              </w:rPr>
              <w:t>名称</w:t>
            </w:r>
          </w:p>
        </w:tc>
        <w:tc>
          <w:tcPr>
            <w:tcW w:w="8789" w:type="dxa"/>
          </w:tcPr>
          <w:p>
            <w:pPr>
              <w:spacing w:line="560" w:lineRule="exact"/>
              <w:rPr>
                <w:rFonts w:ascii="宋体" w:hAnsi="宋体" w:cs="宋体"/>
                <w:szCs w:val="21"/>
              </w:rPr>
            </w:pPr>
            <w:r>
              <w:rPr>
                <w:rFonts w:hint="eastAsia" w:ascii="宋体" w:hAnsi="宋体" w:cs="宋体"/>
                <w:szCs w:val="21"/>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560" w:lineRule="exact"/>
              <w:rPr>
                <w:rFonts w:ascii="宋体" w:hAnsi="宋体" w:cs="宋体"/>
                <w:sz w:val="28"/>
                <w:szCs w:val="28"/>
              </w:rPr>
            </w:pPr>
            <w:r>
              <w:rPr>
                <w:rFonts w:hint="eastAsia" w:ascii="宋体" w:hAnsi="宋体" w:cs="宋体"/>
                <w:bCs/>
                <w:sz w:val="24"/>
              </w:rPr>
              <w:t>1</w:t>
            </w:r>
          </w:p>
        </w:tc>
        <w:tc>
          <w:tcPr>
            <w:tcW w:w="1418" w:type="dxa"/>
            <w:vAlign w:val="center"/>
          </w:tcPr>
          <w:p>
            <w:pPr>
              <w:spacing w:line="560" w:lineRule="exact"/>
              <w:rPr>
                <w:rFonts w:ascii="宋体" w:hAnsi="宋体" w:cs="宋体"/>
                <w:sz w:val="28"/>
                <w:szCs w:val="28"/>
              </w:rPr>
            </w:pPr>
            <w:r>
              <w:rPr>
                <w:rFonts w:hint="eastAsia" w:asciiTheme="minorEastAsia" w:hAnsiTheme="minorEastAsia"/>
                <w:sz w:val="24"/>
              </w:rPr>
              <w:t>跨境电子商务实训系统软件（亚马逊平台）</w:t>
            </w:r>
          </w:p>
        </w:tc>
        <w:tc>
          <w:tcPr>
            <w:tcW w:w="8789" w:type="dxa"/>
          </w:tcPr>
          <w:p>
            <w:pPr>
              <w:spacing w:line="560" w:lineRule="exact"/>
              <w:rPr>
                <w:rFonts w:ascii="宋体" w:hAnsi="宋体" w:cs="宋体"/>
                <w:sz w:val="24"/>
              </w:rPr>
            </w:pPr>
            <w:r>
              <w:rPr>
                <w:rFonts w:hint="eastAsia" w:ascii="宋体" w:hAnsi="宋体" w:cs="宋体"/>
                <w:sz w:val="24"/>
              </w:rPr>
              <w:t>1.系统必须为B/S架构，无需安装客户端，方便维护。</w:t>
            </w:r>
          </w:p>
          <w:p>
            <w:pPr>
              <w:spacing w:line="560" w:lineRule="exact"/>
              <w:rPr>
                <w:rFonts w:ascii="宋体" w:hAnsi="宋体" w:cs="宋体"/>
                <w:sz w:val="24"/>
              </w:rPr>
            </w:pPr>
            <w:r>
              <w:rPr>
                <w:rFonts w:hint="eastAsia" w:ascii="宋体" w:hAnsi="宋体" w:cs="宋体"/>
                <w:sz w:val="24"/>
              </w:rPr>
              <w:t>2.▲学生在登录界面可选择中文或英文版本，方便老师和学生熟悉了解英文。【要求提供软件该功能截图打印加盖开发商公章。】</w:t>
            </w:r>
          </w:p>
          <w:p>
            <w:pPr>
              <w:spacing w:line="560" w:lineRule="exact"/>
              <w:rPr>
                <w:rFonts w:ascii="宋体" w:hAnsi="宋体" w:cs="宋体"/>
                <w:sz w:val="24"/>
              </w:rPr>
            </w:pPr>
            <w:r>
              <w:rPr>
                <w:rFonts w:hint="eastAsia" w:ascii="宋体" w:hAnsi="宋体" w:cs="宋体"/>
                <w:sz w:val="24"/>
              </w:rPr>
              <w:t>3.学生可以注册自己的公司也可以加入软件自带的公司，注册自己的公司成功后必须能看到企业法人营业执照、组织机构代码证等公司文件；软件自带的公司不少于100个。</w:t>
            </w:r>
          </w:p>
          <w:p>
            <w:pPr>
              <w:spacing w:line="560" w:lineRule="exact"/>
              <w:rPr>
                <w:rFonts w:ascii="宋体" w:hAnsi="宋体" w:cs="宋体"/>
                <w:sz w:val="24"/>
              </w:rPr>
            </w:pPr>
            <w:r>
              <w:rPr>
                <w:rFonts w:hint="eastAsia" w:ascii="宋体" w:hAnsi="宋体" w:cs="宋体"/>
                <w:sz w:val="24"/>
              </w:rPr>
              <w:t>4.教师在教师端可以设定学生的任务要求，学生端会自动统计任务完成数量，内容包含卖家发布产品总数，卖家处理订单总数，买家购买产品种数，买家交易店铺数量。</w:t>
            </w:r>
          </w:p>
          <w:p>
            <w:pPr>
              <w:spacing w:line="560" w:lineRule="exact"/>
              <w:rPr>
                <w:rFonts w:ascii="宋体" w:hAnsi="宋体" w:cs="宋体"/>
                <w:sz w:val="24"/>
              </w:rPr>
            </w:pPr>
            <w:r>
              <w:rPr>
                <w:rFonts w:hint="eastAsia" w:ascii="宋体" w:hAnsi="宋体" w:cs="宋体"/>
                <w:sz w:val="24"/>
              </w:rPr>
              <w:t>5.▲系统具有监测订单状态的功能，可以自动统计分析卖家丢单的原因，有利于学生及时调整运营策略。【要求提供软件该功能截图打印加盖开发商公章。】</w:t>
            </w:r>
          </w:p>
          <w:p>
            <w:pPr>
              <w:spacing w:line="560" w:lineRule="exact"/>
              <w:rPr>
                <w:rFonts w:ascii="宋体" w:hAnsi="宋体" w:cs="宋体"/>
                <w:sz w:val="24"/>
              </w:rPr>
            </w:pPr>
            <w:r>
              <w:rPr>
                <w:rFonts w:hint="eastAsia" w:ascii="宋体" w:hAnsi="宋体" w:cs="宋体"/>
                <w:sz w:val="24"/>
              </w:rPr>
              <w:t>6.▲系统包含签订《进出口货物预约保险协议》的功能，系统提供进出口货物预约保险协议的单据缮制。【要求提供软件该功能截图打印加盖开发商公章。】</w:t>
            </w:r>
          </w:p>
          <w:p>
            <w:pPr>
              <w:spacing w:line="560" w:lineRule="exact"/>
              <w:rPr>
                <w:rFonts w:ascii="宋体" w:hAnsi="宋体" w:cs="宋体"/>
                <w:sz w:val="24"/>
              </w:rPr>
            </w:pPr>
            <w:r>
              <w:rPr>
                <w:rFonts w:hint="eastAsia" w:ascii="宋体" w:hAnsi="宋体" w:cs="宋体"/>
                <w:sz w:val="24"/>
              </w:rPr>
              <w:t>7.★需提供HS编码查询系统，系统内置2020年HS编码数据库，可以基于HS编码进行数据库内检索或者基于商品名称查询。【要求提供软件该功能截图打印加盖开发商公章】</w:t>
            </w:r>
          </w:p>
          <w:p>
            <w:pPr>
              <w:spacing w:line="560" w:lineRule="exact"/>
              <w:rPr>
                <w:rFonts w:ascii="宋体" w:hAnsi="宋体" w:cs="宋体"/>
                <w:sz w:val="24"/>
              </w:rPr>
            </w:pPr>
            <w:r>
              <w:rPr>
                <w:rFonts w:hint="eastAsia" w:ascii="宋体" w:hAnsi="宋体" w:cs="宋体"/>
                <w:sz w:val="24"/>
              </w:rPr>
              <w:t>8.▲需提供汇率查询系统，系统内汇率数据在联网状态下每天自动更新最新的国际汇率，教师也可在教师端进行手动调整。【要求提供软件该功能截图打印加盖开发商公章。】</w:t>
            </w:r>
          </w:p>
          <w:p>
            <w:pPr>
              <w:spacing w:line="560" w:lineRule="exact"/>
              <w:rPr>
                <w:rFonts w:ascii="宋体" w:hAnsi="宋体" w:cs="宋体"/>
                <w:sz w:val="24"/>
              </w:rPr>
            </w:pPr>
            <w:r>
              <w:rPr>
                <w:rFonts w:hint="eastAsia" w:ascii="宋体" w:hAnsi="宋体" w:cs="宋体"/>
                <w:sz w:val="24"/>
              </w:rPr>
              <w:t>9.系统提供详细的实训操作流程导航，学生可以参照流程图进行课程实训。流程图内置详细的流程操作帮助供学生查看。内容至少包含：选品，商品定价，配送设置，管理库存等。</w:t>
            </w:r>
          </w:p>
          <w:p>
            <w:pPr>
              <w:spacing w:line="560" w:lineRule="exact"/>
              <w:rPr>
                <w:rFonts w:ascii="宋体" w:hAnsi="宋体" w:cs="宋体"/>
                <w:sz w:val="24"/>
              </w:rPr>
            </w:pPr>
            <w:r>
              <w:rPr>
                <w:rFonts w:hint="eastAsia" w:ascii="宋体" w:hAnsi="宋体" w:cs="宋体"/>
                <w:sz w:val="24"/>
              </w:rPr>
              <w:t>10.系统须包含买家及卖家平台，且买家与卖家系统必须为可以进行实际业务流程操作的仿真类软件平台，不能提供案例资源类型的资源平台。学生之间可以互动，卖家完整模拟亚马逊后台功能，学生可自由操作亚马逊后台的各项功能，如开设店铺、发布产品、制定营销决策、管理FBA等，买家通过前台购买其他同学发布的产品。</w:t>
            </w:r>
          </w:p>
          <w:p>
            <w:pPr>
              <w:spacing w:line="560" w:lineRule="exact"/>
              <w:rPr>
                <w:rFonts w:ascii="宋体" w:hAnsi="宋体" w:cs="宋体"/>
                <w:sz w:val="24"/>
              </w:rPr>
            </w:pPr>
            <w:r>
              <w:rPr>
                <w:rFonts w:hint="eastAsia" w:ascii="宋体" w:hAnsi="宋体" w:cs="宋体"/>
                <w:sz w:val="24"/>
              </w:rPr>
              <w:t>11.公司财务处至少包含公司账户和信用卡账户，可以查询所有资金往来明细。企业账户具备结汇功能操作。</w:t>
            </w:r>
          </w:p>
          <w:p>
            <w:pPr>
              <w:spacing w:line="560" w:lineRule="exact"/>
              <w:rPr>
                <w:rFonts w:ascii="宋体" w:hAnsi="宋体" w:cs="宋体"/>
                <w:sz w:val="24"/>
              </w:rPr>
            </w:pPr>
            <w:r>
              <w:rPr>
                <w:rFonts w:hint="eastAsia" w:ascii="宋体" w:hAnsi="宋体" w:cs="宋体"/>
                <w:sz w:val="24"/>
              </w:rPr>
              <w:t>12.★需包含国际信用卡申请流程，财务处可以显示信用卡支付流水。需包含信用卡申请表的单据缮制。【要求提供软件该功能截图打印加盖开发商公章】</w:t>
            </w:r>
          </w:p>
          <w:p>
            <w:pPr>
              <w:spacing w:line="560" w:lineRule="exact"/>
              <w:rPr>
                <w:rFonts w:ascii="宋体" w:hAnsi="宋体" w:cs="宋体"/>
                <w:sz w:val="24"/>
              </w:rPr>
            </w:pPr>
            <w:r>
              <w:rPr>
                <w:rFonts w:hint="eastAsia" w:ascii="宋体" w:hAnsi="宋体" w:cs="宋体"/>
                <w:sz w:val="24"/>
              </w:rPr>
              <w:t>13.★系统内置1688跨境专供平台，供学生选取货源。平台不少于30个一级分类，不少于200个二级分类。每个产品平台至少提供价格、起批量、包装重量、包装尺寸、物流、订购数量、产品详情等数据资源。【要求提供软件该功能截图打印加盖开发商公章】</w:t>
            </w:r>
          </w:p>
          <w:p>
            <w:pPr>
              <w:spacing w:line="560" w:lineRule="exact"/>
              <w:rPr>
                <w:rFonts w:ascii="宋体" w:hAnsi="宋体" w:cs="宋体"/>
                <w:sz w:val="24"/>
              </w:rPr>
            </w:pPr>
            <w:r>
              <w:rPr>
                <w:rFonts w:hint="eastAsia" w:ascii="宋体" w:hAnsi="宋体" w:cs="宋体"/>
                <w:sz w:val="24"/>
              </w:rPr>
              <w:t>14.▲需提供公司库存管理系统，可以根据产品编号或者商品的HS编码来快速检索产品库存情况。库存管理系统内可以查询已购买产品的运输状态和预计到仓时间，可以查询产品的出入库记录。【要求提供软件该功能截图打印加盖开发商公章。】</w:t>
            </w:r>
          </w:p>
          <w:p>
            <w:pPr>
              <w:spacing w:line="560" w:lineRule="exact"/>
              <w:rPr>
                <w:rFonts w:ascii="宋体" w:hAnsi="宋体" w:cs="宋体"/>
                <w:sz w:val="24"/>
              </w:rPr>
            </w:pPr>
            <w:r>
              <w:rPr>
                <w:rFonts w:hint="eastAsia" w:ascii="宋体" w:hAnsi="宋体" w:cs="宋体"/>
                <w:sz w:val="24"/>
              </w:rPr>
              <w:t>15.▲添加商品需要先进行商品的类目选择，然后完成重要信息，变体，报价，合规信息，图片，描述，关键字，更多详情的内容编辑。高级视图的按钮开放或者关闭可以选择是否填写合规信息、描述、关键字、更多详情这些栏目。【要求提供软件该功能截图打印加盖开发商公章】</w:t>
            </w:r>
          </w:p>
          <w:p>
            <w:pPr>
              <w:spacing w:line="560" w:lineRule="exact"/>
              <w:rPr>
                <w:rFonts w:ascii="宋体" w:hAnsi="宋体" w:cs="宋体"/>
                <w:sz w:val="24"/>
              </w:rPr>
            </w:pPr>
            <w:r>
              <w:rPr>
                <w:rFonts w:hint="eastAsia" w:ascii="宋体" w:hAnsi="宋体" w:cs="宋体"/>
                <w:sz w:val="24"/>
              </w:rPr>
              <w:t>16.补全您的草稿操作页面可以进行“编辑草稿”或者“删除商品和报价”操作。</w:t>
            </w:r>
          </w:p>
          <w:p>
            <w:pPr>
              <w:spacing w:line="560" w:lineRule="exact"/>
              <w:rPr>
                <w:rFonts w:ascii="宋体" w:hAnsi="宋体" w:cs="宋体"/>
                <w:sz w:val="24"/>
              </w:rPr>
            </w:pPr>
            <w:r>
              <w:rPr>
                <w:rFonts w:hint="eastAsia" w:ascii="宋体" w:hAnsi="宋体" w:cs="宋体"/>
                <w:sz w:val="24"/>
              </w:rPr>
              <w:t>17.销售申请操作页面可以进行销售申请状态的查看，至少包含“已批准”、“审核中”、“已拒绝”、“草稿”等状态。</w:t>
            </w:r>
          </w:p>
          <w:p>
            <w:pPr>
              <w:spacing w:line="560" w:lineRule="exact"/>
              <w:rPr>
                <w:rFonts w:ascii="宋体" w:hAnsi="宋体" w:cs="宋体"/>
                <w:sz w:val="24"/>
              </w:rPr>
            </w:pPr>
            <w:r>
              <w:rPr>
                <w:rFonts w:hint="eastAsia" w:ascii="宋体" w:hAnsi="宋体" w:cs="宋体"/>
                <w:sz w:val="24"/>
              </w:rPr>
              <w:t>18.▲管理库存操作页面可以按照商品状态进行库存的查询，包含“所有”、“在售”、“不可售”三种类型。可以按照配送类型进行库存的查询，包含“所有”、“亚马逊”、“卖家”三种类型。可以按照价格区间进行库存的查询，包含“价格高于”、“价格低于”两种状态。【要求提供软件该功能截图打印加盖开发商公章。】</w:t>
            </w:r>
          </w:p>
          <w:p>
            <w:pPr>
              <w:spacing w:line="560" w:lineRule="exact"/>
              <w:rPr>
                <w:rFonts w:ascii="宋体" w:hAnsi="宋体" w:cs="宋体"/>
                <w:sz w:val="24"/>
              </w:rPr>
            </w:pPr>
            <w:r>
              <w:rPr>
                <w:rFonts w:hint="eastAsia" w:ascii="宋体" w:hAnsi="宋体" w:cs="宋体"/>
                <w:sz w:val="24"/>
              </w:rPr>
              <w:t>19.对于库存设置的每个变体均可以进行编辑设置、管理图片设置、复制到新商品设置、停售商品设置、删除商品和报价设置、广告列表设置。</w:t>
            </w:r>
          </w:p>
          <w:p>
            <w:pPr>
              <w:spacing w:line="560" w:lineRule="exact"/>
              <w:rPr>
                <w:rFonts w:ascii="宋体" w:hAnsi="宋体" w:cs="宋体"/>
                <w:sz w:val="24"/>
              </w:rPr>
            </w:pPr>
            <w:r>
              <w:rPr>
                <w:rFonts w:hint="eastAsia" w:ascii="宋体" w:hAnsi="宋体" w:cs="宋体"/>
                <w:sz w:val="24"/>
              </w:rPr>
              <w:t>20.▲库存规划包含亚马逊物流库龄的查询，修复无在售信息的亚马逊库存，管理亚马逊物流退货。【要求提供软件该功能截图打印加盖开发商公章。】</w:t>
            </w:r>
          </w:p>
          <w:p>
            <w:pPr>
              <w:spacing w:line="560" w:lineRule="exact"/>
              <w:rPr>
                <w:rFonts w:ascii="宋体" w:hAnsi="宋体" w:cs="宋体"/>
                <w:sz w:val="24"/>
              </w:rPr>
            </w:pPr>
            <w:r>
              <w:rPr>
                <w:rFonts w:hint="eastAsia" w:ascii="宋体" w:hAnsi="宋体" w:cs="宋体"/>
                <w:sz w:val="24"/>
              </w:rPr>
              <w:t>21.管理亚马逊货件， 对所有、处理中、在途、在运营中心、已完成、已删除/已取消的货件进行管理，可以查看货件的状态。</w:t>
            </w:r>
          </w:p>
          <w:p>
            <w:pPr>
              <w:spacing w:line="560" w:lineRule="exact"/>
              <w:rPr>
                <w:rFonts w:ascii="宋体" w:hAnsi="宋体" w:cs="宋体"/>
                <w:sz w:val="24"/>
              </w:rPr>
            </w:pPr>
            <w:r>
              <w:rPr>
                <w:rFonts w:hint="eastAsia" w:ascii="宋体" w:hAnsi="宋体" w:cs="宋体"/>
                <w:sz w:val="24"/>
              </w:rPr>
              <w:t>22.▲管理订单功能包含亚马逊物流订单的查询和卖家自配送订单的查询。卖家自配送的订单可以进行确认发货、打印装箱单、取消订单的操作。【要求提供软件该功能截图打印加盖开发商公章。】</w:t>
            </w:r>
          </w:p>
          <w:p>
            <w:pPr>
              <w:spacing w:line="560" w:lineRule="exact"/>
              <w:rPr>
                <w:rFonts w:ascii="宋体" w:hAnsi="宋体" w:cs="宋体"/>
                <w:sz w:val="24"/>
              </w:rPr>
            </w:pPr>
            <w:r>
              <w:rPr>
                <w:rFonts w:hint="eastAsia" w:ascii="宋体" w:hAnsi="宋体" w:cs="宋体"/>
                <w:sz w:val="24"/>
              </w:rPr>
              <w:t>23.亚马逊FBA专区包含亚马逊FBA仓库地址、美国FBA仓库分布图、FBA发货须知、FBA头程空运/海运费用查询表、FBA头程运输发货。</w:t>
            </w:r>
          </w:p>
          <w:p>
            <w:pPr>
              <w:spacing w:line="560" w:lineRule="exact"/>
              <w:rPr>
                <w:rFonts w:ascii="宋体" w:hAnsi="宋体" w:cs="宋体"/>
                <w:sz w:val="24"/>
              </w:rPr>
            </w:pPr>
            <w:r>
              <w:rPr>
                <w:rFonts w:hint="eastAsia" w:ascii="宋体" w:hAnsi="宋体" w:cs="宋体"/>
                <w:sz w:val="24"/>
              </w:rPr>
              <w:t>24.▲亚马逊FBA包含FBA头程发货，亚马逊库存管理、亚马逊货件管理、亚马逊仓库查询。FBA头程发货时，可提供空运和海运两种方式，海运方式要求提供拼箱和整箱选择，并且需提交相应的清关单据，同时不同的运输方式体现不同的运输费用；亚马逊货件分配仓库要体现分仓和合仓的功能；亚马逊货件入库时，要求能够自动识别商品属于标准尺寸还是大件商品，同时系统自动扣除相关的仓储费和库存配送服务费。【要求提供软件该功能截图打印加盖开发商公章。】</w:t>
            </w:r>
          </w:p>
          <w:p>
            <w:pPr>
              <w:spacing w:line="560" w:lineRule="exact"/>
              <w:rPr>
                <w:rFonts w:ascii="宋体" w:hAnsi="宋体" w:cs="宋体"/>
                <w:sz w:val="24"/>
              </w:rPr>
            </w:pPr>
            <w:r>
              <w:rPr>
                <w:rFonts w:hint="eastAsia" w:ascii="宋体" w:hAnsi="宋体" w:cs="宋体"/>
                <w:sz w:val="24"/>
              </w:rPr>
              <w:t>25.★FBA头程运输发货时需要提交发票、销售确认书、代理报关/报检委托书，学生需要完成这些单据的缮制。学生制单过程中，系统可自动显示每个栏位的中英文说明，系统具有检查功能，可显示每个栏位的错误信息，并给出正确值。制单过程中，可标注出不同单据之间有关联的栏位。【要求提供软件该功能截图打印加盖开发商公章。】</w:t>
            </w:r>
          </w:p>
          <w:p>
            <w:pPr>
              <w:spacing w:line="560" w:lineRule="exact"/>
              <w:rPr>
                <w:rFonts w:ascii="宋体" w:hAnsi="宋体" w:cs="宋体"/>
                <w:sz w:val="24"/>
              </w:rPr>
            </w:pPr>
            <w:r>
              <w:rPr>
                <w:rFonts w:hint="eastAsia" w:ascii="宋体" w:hAnsi="宋体" w:cs="宋体"/>
                <w:sz w:val="24"/>
              </w:rPr>
              <w:t>26.FBA头程运输发货选择空运运输时至少提供Federal Express Corp、DHL Express(USA)Inc、USZX这些空运途径进行选择。</w:t>
            </w:r>
          </w:p>
          <w:p>
            <w:pPr>
              <w:spacing w:line="560" w:lineRule="exact"/>
              <w:rPr>
                <w:rFonts w:ascii="宋体" w:hAnsi="宋体" w:cs="宋体"/>
                <w:sz w:val="24"/>
              </w:rPr>
            </w:pPr>
            <w:r>
              <w:rPr>
                <w:rFonts w:hint="eastAsia" w:ascii="宋体" w:hAnsi="宋体" w:cs="宋体"/>
                <w:sz w:val="24"/>
              </w:rPr>
              <w:t>27.亚马逊物流设置包含可选服务设置、入库设置、翻新设置、不可售商品自动移除设置、自动长期存储删除设置、亚马逊物流商品条形码首选项设置、订阅设置、多渠道配送设置、合作承运人项目设置、商品支持设置、出口设置、Giveaways Settings设置，卖家可以自行选择这些设置内容是否启用或者禁用。平台对于每个设置内容都配有详细的解释说明。</w:t>
            </w:r>
          </w:p>
          <w:p>
            <w:pPr>
              <w:spacing w:line="560" w:lineRule="exact"/>
              <w:rPr>
                <w:rFonts w:ascii="宋体" w:hAnsi="宋体" w:cs="宋体"/>
                <w:sz w:val="24"/>
              </w:rPr>
            </w:pPr>
            <w:r>
              <w:rPr>
                <w:rFonts w:hint="eastAsia" w:ascii="宋体" w:hAnsi="宋体" w:cs="宋体"/>
                <w:sz w:val="24"/>
              </w:rPr>
              <w:t>28.★系统必须提供买家机器人功能，可以按照策略对卖家发布的产品进行下单，从而完整实现整个业务流程。</w:t>
            </w:r>
          </w:p>
          <w:p>
            <w:pPr>
              <w:spacing w:line="560" w:lineRule="exact"/>
              <w:rPr>
                <w:rFonts w:ascii="宋体" w:hAnsi="宋体" w:cs="宋体"/>
                <w:sz w:val="24"/>
              </w:rPr>
            </w:pPr>
            <w:r>
              <w:rPr>
                <w:rFonts w:hint="eastAsia" w:ascii="宋体" w:hAnsi="宋体" w:cs="宋体"/>
                <w:sz w:val="24"/>
              </w:rPr>
              <w:t>29.配送设置：必须包含国内配送和国际配送。国内配送可针对美国各地区进行独立设置运费，并且可设置标准配送、加急配送、隔日达、当天送达四种模式。</w:t>
            </w:r>
          </w:p>
          <w:p>
            <w:pPr>
              <w:spacing w:line="560" w:lineRule="exact"/>
              <w:rPr>
                <w:rFonts w:ascii="宋体" w:hAnsi="宋体" w:cs="宋体"/>
                <w:sz w:val="24"/>
              </w:rPr>
            </w:pPr>
            <w:r>
              <w:rPr>
                <w:rFonts w:hint="eastAsia" w:ascii="宋体" w:hAnsi="宋体" w:cs="宋体"/>
                <w:sz w:val="24"/>
              </w:rPr>
              <w:t>30.买家中心：系统可模拟下单，学生可以以买家身份在模拟亚马逊主页上看到卖家发布的产品也可搜索产品，选择相应的尺码、颜色、数量购买产品，生成订单，模拟信用卡支付并进行订单发货、收货及评价等。【要求提供软件该功能截图打印加盖开发商公章。】</w:t>
            </w:r>
          </w:p>
          <w:p>
            <w:pPr>
              <w:spacing w:line="560" w:lineRule="exact"/>
              <w:rPr>
                <w:rFonts w:ascii="宋体" w:hAnsi="宋体" w:cs="宋体"/>
                <w:sz w:val="24"/>
              </w:rPr>
            </w:pPr>
            <w:r>
              <w:rPr>
                <w:rFonts w:hint="eastAsia" w:ascii="宋体" w:hAnsi="宋体" w:cs="宋体"/>
                <w:sz w:val="24"/>
              </w:rPr>
              <w:t>31.软件可模拟亚马逊平台的营销活动，包括广告活动、秒杀、促销。</w:t>
            </w:r>
          </w:p>
          <w:p>
            <w:pPr>
              <w:spacing w:line="560" w:lineRule="exact"/>
              <w:rPr>
                <w:rFonts w:ascii="宋体" w:hAnsi="宋体" w:cs="宋体"/>
                <w:sz w:val="24"/>
              </w:rPr>
            </w:pPr>
            <w:r>
              <w:rPr>
                <w:rFonts w:hint="eastAsia" w:ascii="宋体" w:hAnsi="宋体" w:cs="宋体"/>
                <w:sz w:val="24"/>
              </w:rPr>
              <w:t>32.▲软件可查看所有订单的付款状态，可模拟信用卡的付款，模拟设置银行账号提现，财务流水等操作。【要求提供软件该功能截图打印加盖开发商公章，】</w:t>
            </w:r>
          </w:p>
          <w:p>
            <w:pPr>
              <w:spacing w:line="560" w:lineRule="exact"/>
              <w:rPr>
                <w:rFonts w:ascii="宋体" w:hAnsi="宋体" w:cs="宋体"/>
                <w:sz w:val="24"/>
              </w:rPr>
            </w:pPr>
            <w:r>
              <w:rPr>
                <w:rFonts w:hint="eastAsia" w:ascii="宋体" w:hAnsi="宋体" w:cs="宋体"/>
                <w:sz w:val="24"/>
              </w:rPr>
              <w:t>33.★亚马逊订单发货流程包含自发货和FBA自动发货两种模式。【要求提供软件该功能截图打印加盖开发商公章】</w:t>
            </w:r>
          </w:p>
          <w:p>
            <w:pPr>
              <w:spacing w:line="560" w:lineRule="exact"/>
              <w:rPr>
                <w:rFonts w:ascii="宋体" w:hAnsi="宋体" w:cs="宋体"/>
                <w:sz w:val="24"/>
              </w:rPr>
            </w:pPr>
            <w:r>
              <w:rPr>
                <w:rFonts w:hint="eastAsia" w:ascii="宋体" w:hAnsi="宋体" w:cs="宋体"/>
                <w:sz w:val="24"/>
              </w:rPr>
              <w:t>34.★学生可导出实训结果为word文件，包含学生成绩，操作日志，及技能评分。（要求系统必须内嵌实习报告功能，并且必须提供实习报告模板供下载）【要求提供软件该功能截图打印加盖开发商公章。】</w:t>
            </w:r>
          </w:p>
          <w:p>
            <w:pPr>
              <w:spacing w:line="560" w:lineRule="exact"/>
              <w:rPr>
                <w:rFonts w:ascii="宋体" w:hAnsi="宋体" w:cs="宋体"/>
                <w:sz w:val="24"/>
              </w:rPr>
            </w:pPr>
            <w:r>
              <w:rPr>
                <w:rFonts w:hint="eastAsia" w:ascii="宋体" w:hAnsi="宋体" w:cs="宋体"/>
                <w:sz w:val="24"/>
              </w:rPr>
              <w:t>35.★软件具有跟卖功能，必须有以下操作步骤：（1）在买家首页上点击“亚马逊购物”（需要先完成买家填写个人资料和注册亚马逊步骤）；（2）在购物页面上查看所有已被卖家发布的商品，也可以使用搜索功能，找到自己想跟卖的商品，并记下它的名称。（3）进入卖家亚马逊后台 &gt; 库存 &gt; 添加新商品；（4）在搜索框内输入商品名称，再点击搜索按钮；（5）找到该商品后，点击其对应的“出售您的”按钮。（6）商品的属性均不能更改，只能修改下方的OFFER（报价）信息。输入完成后，点击下方的“Save and finish”按钮，确认跟卖。跟卖成功后，可到“库存-管理库存”界面中查看。【要求提供软件该功能截图打印加盖开发商公章】</w:t>
            </w:r>
          </w:p>
          <w:p>
            <w:pPr>
              <w:spacing w:line="560" w:lineRule="exact"/>
              <w:rPr>
                <w:rFonts w:ascii="宋体" w:hAnsi="宋体" w:cs="宋体"/>
                <w:sz w:val="24"/>
              </w:rPr>
            </w:pPr>
            <w:r>
              <w:rPr>
                <w:rFonts w:hint="eastAsia" w:ascii="宋体" w:hAnsi="宋体" w:cs="宋体"/>
                <w:sz w:val="24"/>
              </w:rPr>
              <w:t>36.▲教师可查看每个学生的完成进度，可打包下载所有学生的实习报告方便存档。实习报告内容包含学生的成绩分析、学生的卖家基本资料、财务状况、库存状况、产品的浏览量订单量、订单价格、订单状态、促销活动、评价情况、学生的买家购买情况等。【要求提供软件该功能截图打印加盖开发商公章。】</w:t>
            </w:r>
          </w:p>
          <w:p>
            <w:pPr>
              <w:spacing w:line="560" w:lineRule="exact"/>
              <w:rPr>
                <w:rFonts w:ascii="宋体" w:hAnsi="宋体" w:cs="宋体"/>
                <w:sz w:val="24"/>
              </w:rPr>
            </w:pPr>
            <w:r>
              <w:rPr>
                <w:rFonts w:hint="eastAsia" w:ascii="宋体" w:hAnsi="宋体" w:cs="宋体"/>
                <w:sz w:val="24"/>
              </w:rPr>
              <w:t>37.★教师可设定技能评分权重，包括商品发布能力、物流掌握能力、FBA运营能力、订单处理能力、营销能力、客户服务能力、店铺运营能力等权重。教师可对学生店铺进行教学监控，可在教师端点击查看学生店铺，可监控到每个学生店铺的产品数、订单数、买家产品数、买家订单数、评价数等。【要求提供软件该功能截图打印加盖开发商公章。】</w:t>
            </w:r>
          </w:p>
          <w:p>
            <w:pPr>
              <w:spacing w:line="560" w:lineRule="exact"/>
              <w:rPr>
                <w:rFonts w:ascii="宋体" w:hAnsi="宋体" w:cs="宋体"/>
                <w:sz w:val="24"/>
              </w:rPr>
            </w:pPr>
            <w:r>
              <w:rPr>
                <w:rFonts w:hint="eastAsia" w:ascii="宋体" w:hAnsi="宋体" w:cs="宋体"/>
                <w:sz w:val="24"/>
              </w:rPr>
              <w:t>38.评分和成绩管理：教师可调整评分规则，设置各实训模块的成绩权重，查询学生成绩，获取班级成绩统计分析结果。</w:t>
            </w:r>
          </w:p>
          <w:p>
            <w:pPr>
              <w:spacing w:line="560" w:lineRule="exact"/>
              <w:rPr>
                <w:rFonts w:ascii="宋体" w:hAnsi="宋体" w:cs="宋体"/>
                <w:sz w:val="24"/>
              </w:rPr>
            </w:pPr>
            <w:r>
              <w:rPr>
                <w:rFonts w:hint="eastAsia" w:ascii="宋体" w:hAnsi="宋体" w:cs="宋体"/>
                <w:sz w:val="24"/>
              </w:rPr>
              <w:t>39.教师可同时创建多个课程，每个课程可以设定开始时间、结束时间。</w:t>
            </w:r>
          </w:p>
          <w:p>
            <w:pPr>
              <w:spacing w:line="560" w:lineRule="exact"/>
              <w:rPr>
                <w:rFonts w:ascii="宋体" w:hAnsi="宋体" w:cs="宋体"/>
                <w:sz w:val="24"/>
              </w:rPr>
            </w:pPr>
            <w:r>
              <w:rPr>
                <w:rFonts w:hint="eastAsia" w:ascii="宋体" w:hAnsi="宋体" w:cs="宋体"/>
                <w:sz w:val="24"/>
              </w:rPr>
              <w:t>41.★要求基于投标软件，配套有权威机构颁发的“全国跨境电商操作专员岗位专业证书”，学生实测后成绩及格即有资格申请。【提供证书样本复印件并加盖投标人公章】。</w:t>
            </w:r>
          </w:p>
          <w:p>
            <w:pPr>
              <w:spacing w:line="560" w:lineRule="exact"/>
              <w:rPr>
                <w:rFonts w:ascii="宋体" w:hAnsi="宋体" w:cs="宋体"/>
                <w:sz w:val="24"/>
              </w:rPr>
            </w:pPr>
            <w:r>
              <w:rPr>
                <w:rFonts w:hint="eastAsia" w:ascii="宋体" w:hAnsi="宋体" w:cs="宋体"/>
                <w:sz w:val="24"/>
              </w:rPr>
              <w:t>42.为了便于后期我校自行组织竞赛活动，软件制造商需主办或承办过全国性的专业赛事，须提供证明文件（赛事需包含有关行政部门、行业指导委员会及国家级行业组织，并提供赛事举办红头文件或赛事承办单位出具的证明文件），并承诺若我校用该软件组织竞赛活动，厂家需提供竞赛技术支持。</w:t>
            </w:r>
          </w:p>
          <w:p>
            <w:pPr>
              <w:spacing w:line="560" w:lineRule="exact"/>
              <w:rPr>
                <w:rFonts w:ascii="宋体" w:hAnsi="宋体" w:cs="宋体"/>
                <w:sz w:val="28"/>
                <w:szCs w:val="28"/>
              </w:rPr>
            </w:pPr>
            <w:r>
              <w:rPr>
                <w:rFonts w:hint="eastAsia" w:ascii="宋体" w:hAnsi="宋体" w:cs="宋体"/>
                <w:sz w:val="24"/>
              </w:rPr>
              <w:t>44.预中标人在中标公示期内，到用户方安装软件试用版，用户方将对预中标公司的产品功能的每个指标，参照招标文件中的要求进行逐项核对，如有一项不满足视为虚假投标。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line="560" w:lineRule="exact"/>
              <w:rPr>
                <w:rFonts w:ascii="宋体" w:hAnsi="宋体" w:cs="宋体"/>
                <w:sz w:val="28"/>
                <w:szCs w:val="28"/>
              </w:rPr>
            </w:pPr>
          </w:p>
        </w:tc>
        <w:tc>
          <w:tcPr>
            <w:tcW w:w="1418" w:type="dxa"/>
          </w:tcPr>
          <w:p>
            <w:pPr>
              <w:spacing w:line="560" w:lineRule="exact"/>
              <w:rPr>
                <w:rFonts w:ascii="宋体" w:hAnsi="宋体" w:cs="宋体"/>
                <w:sz w:val="28"/>
                <w:szCs w:val="28"/>
              </w:rPr>
            </w:pPr>
          </w:p>
        </w:tc>
        <w:tc>
          <w:tcPr>
            <w:tcW w:w="8789" w:type="dxa"/>
          </w:tcPr>
          <w:p>
            <w:pPr>
              <w:spacing w:line="560" w:lineRule="exact"/>
              <w:rPr>
                <w:rFonts w:ascii="宋体" w:hAnsi="宋体" w:cs="宋体"/>
                <w:sz w:val="28"/>
                <w:szCs w:val="28"/>
              </w:rPr>
            </w:pPr>
          </w:p>
        </w:tc>
      </w:tr>
    </w:tbl>
    <w:p>
      <w:pPr>
        <w:spacing w:line="560" w:lineRule="exact"/>
        <w:ind w:firstLine="560" w:firstLineChars="200"/>
        <w:rPr>
          <w:rFonts w:ascii="宋体" w:hAnsi="宋体" w:cs="宋体"/>
          <w:sz w:val="28"/>
          <w:szCs w:val="28"/>
        </w:rPr>
      </w:pPr>
    </w:p>
    <w:p>
      <w:pPr>
        <w:spacing w:line="560" w:lineRule="exact"/>
        <w:ind w:firstLine="560" w:firstLineChars="200"/>
        <w:jc w:val="left"/>
        <w:outlineLvl w:val="1"/>
        <w:rPr>
          <w:rFonts w:ascii="宋体" w:hAnsi="宋体" w:cs="宋体"/>
          <w:sz w:val="28"/>
          <w:szCs w:val="28"/>
        </w:rPr>
      </w:pPr>
      <w:r>
        <w:rPr>
          <w:rFonts w:hint="eastAsia" w:ascii="宋体" w:hAnsi="宋体" w:cs="宋体"/>
          <w:sz w:val="28"/>
          <w:szCs w:val="28"/>
        </w:rPr>
        <w:t>三、商务要求</w:t>
      </w:r>
    </w:p>
    <w:p>
      <w:pPr>
        <w:spacing w:line="560" w:lineRule="exact"/>
        <w:ind w:firstLine="560" w:firstLineChars="200"/>
        <w:rPr>
          <w:rFonts w:ascii="宋体" w:hAnsi="宋体" w:cs="宋体"/>
          <w:sz w:val="28"/>
          <w:szCs w:val="28"/>
        </w:rPr>
      </w:pPr>
      <w:r>
        <w:rPr>
          <w:rFonts w:hint="eastAsia" w:ascii="宋体" w:hAnsi="宋体" w:cs="宋体"/>
          <w:sz w:val="28"/>
          <w:szCs w:val="28"/>
        </w:rPr>
        <w:t>（一）交货期及地点</w:t>
      </w:r>
    </w:p>
    <w:p>
      <w:pPr>
        <w:spacing w:line="560" w:lineRule="exact"/>
        <w:ind w:firstLine="700" w:firstLineChars="250"/>
        <w:rPr>
          <w:rFonts w:ascii="宋体" w:hAnsi="宋体" w:cs="宋体"/>
          <w:bCs/>
          <w:sz w:val="28"/>
          <w:szCs w:val="28"/>
          <w:u w:val="single"/>
        </w:rPr>
      </w:pPr>
      <w:r>
        <w:rPr>
          <w:rFonts w:hint="eastAsia" w:ascii="宋体" w:hAnsi="宋体" w:cs="宋体"/>
          <w:bCs/>
          <w:sz w:val="28"/>
          <w:szCs w:val="28"/>
          <w:u w:val="single"/>
        </w:rPr>
        <w:t>自合同签订之日起</w:t>
      </w:r>
      <w:r>
        <w:rPr>
          <w:rFonts w:ascii="宋体" w:hAnsi="宋体" w:cs="宋体"/>
          <w:bCs/>
          <w:sz w:val="28"/>
          <w:szCs w:val="28"/>
          <w:u w:val="single"/>
        </w:rPr>
        <w:t>7</w:t>
      </w:r>
      <w:r>
        <w:rPr>
          <w:rFonts w:hint="eastAsia" w:ascii="宋体" w:hAnsi="宋体" w:cs="宋体"/>
          <w:bCs/>
          <w:sz w:val="28"/>
          <w:szCs w:val="28"/>
          <w:u w:val="single"/>
        </w:rPr>
        <w:t>个工作内完成软件交付及培训，确保正常运行使用。</w:t>
      </w:r>
    </w:p>
    <w:p>
      <w:pPr>
        <w:spacing w:line="560" w:lineRule="exact"/>
        <w:ind w:firstLine="560" w:firstLineChars="200"/>
        <w:rPr>
          <w:rFonts w:ascii="宋体" w:hAnsi="宋体" w:cs="宋体"/>
          <w:sz w:val="28"/>
          <w:szCs w:val="28"/>
        </w:rPr>
      </w:pPr>
      <w:r>
        <w:rPr>
          <w:rFonts w:hint="eastAsia" w:ascii="宋体" w:hAnsi="宋体" w:cs="宋体"/>
          <w:sz w:val="28"/>
          <w:szCs w:val="28"/>
        </w:rPr>
        <w:t>（二）安装、调试与培训要求</w:t>
      </w:r>
    </w:p>
    <w:p>
      <w:pPr>
        <w:spacing w:line="560" w:lineRule="exact"/>
        <w:ind w:firstLine="560" w:firstLineChars="200"/>
        <w:rPr>
          <w:rFonts w:ascii="宋体" w:hAnsi="宋体" w:cs="宋体"/>
          <w:sz w:val="28"/>
          <w:szCs w:val="28"/>
        </w:rPr>
      </w:pPr>
      <w:r>
        <w:rPr>
          <w:rFonts w:hint="eastAsia" w:ascii="宋体" w:hAnsi="宋体" w:cs="宋体"/>
          <w:sz w:val="28"/>
          <w:szCs w:val="28"/>
        </w:rPr>
        <w:t>本项目为交钥匙工程，采购内容包括安装、调试和培训，于广东财经大学完成。</w:t>
      </w:r>
    </w:p>
    <w:p>
      <w:pPr>
        <w:spacing w:line="560" w:lineRule="exact"/>
        <w:ind w:firstLine="560" w:firstLineChars="200"/>
        <w:rPr>
          <w:rFonts w:ascii="宋体" w:hAnsi="宋体" w:cs="宋体"/>
          <w:sz w:val="28"/>
          <w:szCs w:val="28"/>
        </w:rPr>
      </w:pPr>
      <w:r>
        <w:rPr>
          <w:rFonts w:hint="eastAsia" w:ascii="宋体" w:hAnsi="宋体" w:cs="宋体"/>
          <w:sz w:val="28"/>
          <w:szCs w:val="28"/>
        </w:rPr>
        <w:t>（三）项目质量与验收标准</w:t>
      </w:r>
    </w:p>
    <w:p>
      <w:pPr>
        <w:spacing w:line="560" w:lineRule="exact"/>
        <w:ind w:firstLine="700" w:firstLineChars="250"/>
        <w:rPr>
          <w:rFonts w:ascii="宋体" w:hAnsi="宋体" w:cs="宋体"/>
          <w:sz w:val="28"/>
          <w:szCs w:val="28"/>
        </w:rPr>
      </w:pPr>
      <w:r>
        <w:rPr>
          <w:rFonts w:hint="eastAsia" w:ascii="宋体" w:hAnsi="宋体" w:cs="宋体"/>
          <w:sz w:val="28"/>
          <w:szCs w:val="28"/>
        </w:rPr>
        <w:t>1、行业规定的质量标准和技术规范；</w:t>
      </w:r>
    </w:p>
    <w:p>
      <w:pPr>
        <w:spacing w:line="560" w:lineRule="exact"/>
        <w:ind w:firstLine="560" w:firstLineChars="200"/>
        <w:rPr>
          <w:rFonts w:ascii="宋体" w:hAnsi="宋体" w:cs="宋体"/>
          <w:sz w:val="28"/>
          <w:szCs w:val="28"/>
        </w:rPr>
      </w:pPr>
      <w:r>
        <w:rPr>
          <w:rFonts w:hint="eastAsia" w:ascii="宋体" w:hAnsi="宋体" w:cs="宋体"/>
          <w:sz w:val="28"/>
          <w:szCs w:val="28"/>
        </w:rPr>
        <w:t>（四）质保期</w:t>
      </w:r>
    </w:p>
    <w:p>
      <w:pPr>
        <w:spacing w:line="560" w:lineRule="exact"/>
        <w:ind w:firstLine="700" w:firstLineChars="250"/>
        <w:rPr>
          <w:rFonts w:ascii="宋体" w:hAnsi="宋体" w:cs="宋体"/>
          <w:sz w:val="28"/>
          <w:szCs w:val="28"/>
        </w:rPr>
      </w:pPr>
      <w:r>
        <w:rPr>
          <w:rFonts w:hint="eastAsia" w:ascii="宋体" w:hAnsi="宋体" w:cs="宋体"/>
          <w:sz w:val="28"/>
          <w:szCs w:val="28"/>
        </w:rPr>
        <w:t>质保期自安装验收合格之日起生效，时间为</w:t>
      </w:r>
      <w:r>
        <w:rPr>
          <w:rFonts w:ascii="宋体" w:hAnsi="宋体" w:cs="宋体"/>
          <w:sz w:val="28"/>
          <w:szCs w:val="28"/>
        </w:rPr>
        <w:t>2</w:t>
      </w:r>
      <w:r>
        <w:rPr>
          <w:rFonts w:hint="eastAsia" w:ascii="宋体" w:hAnsi="宋体" w:cs="宋体"/>
          <w:sz w:val="28"/>
          <w:szCs w:val="28"/>
        </w:rPr>
        <w:t>年。</w:t>
      </w:r>
    </w:p>
    <w:p>
      <w:pPr>
        <w:spacing w:line="560" w:lineRule="exact"/>
        <w:ind w:firstLine="560" w:firstLineChars="200"/>
        <w:rPr>
          <w:rFonts w:ascii="宋体" w:hAnsi="宋体" w:cs="宋体"/>
          <w:sz w:val="28"/>
          <w:szCs w:val="28"/>
        </w:rPr>
      </w:pPr>
      <w:r>
        <w:rPr>
          <w:rFonts w:hint="eastAsia" w:ascii="宋体" w:hAnsi="宋体" w:cs="宋体"/>
          <w:sz w:val="28"/>
          <w:szCs w:val="28"/>
        </w:rPr>
        <w:t>（五）售后服务要求</w:t>
      </w:r>
    </w:p>
    <w:p>
      <w:pPr>
        <w:spacing w:line="560" w:lineRule="exact"/>
        <w:ind w:firstLine="560" w:firstLineChars="200"/>
        <w:rPr>
          <w:rFonts w:ascii="宋体" w:hAnsi="宋体" w:cs="宋体"/>
          <w:sz w:val="28"/>
          <w:szCs w:val="28"/>
        </w:rPr>
      </w:pPr>
      <w:r>
        <w:rPr>
          <w:rFonts w:hint="eastAsia" w:ascii="宋体" w:hAnsi="宋体" w:cs="宋体"/>
          <w:sz w:val="28"/>
          <w:szCs w:val="28"/>
        </w:rPr>
        <w:t>提供长期的远程服务：备份、迁移、相关故障排除等运维技术支持服务。服务响应速度在1小时之内,并在24小时内解决故障。</w:t>
      </w:r>
    </w:p>
    <w:p>
      <w:pPr>
        <w:spacing w:line="560" w:lineRule="exact"/>
        <w:ind w:firstLine="560" w:firstLineChars="200"/>
        <w:rPr>
          <w:rFonts w:ascii="宋体" w:hAnsi="宋体" w:cs="宋体"/>
          <w:sz w:val="28"/>
          <w:szCs w:val="28"/>
        </w:rPr>
      </w:pPr>
      <w:r>
        <w:rPr>
          <w:rFonts w:hint="eastAsia" w:ascii="宋体" w:hAnsi="宋体" w:cs="宋体"/>
          <w:sz w:val="28"/>
          <w:szCs w:val="28"/>
        </w:rPr>
        <w:t>（六）结算与付款方式</w:t>
      </w:r>
    </w:p>
    <w:p>
      <w:pPr>
        <w:spacing w:line="560" w:lineRule="exact"/>
        <w:ind w:firstLine="560" w:firstLineChars="200"/>
        <w:rPr>
          <w:rFonts w:ascii="宋体" w:hAnsi="宋体" w:cs="宋体"/>
          <w:sz w:val="28"/>
          <w:szCs w:val="28"/>
        </w:rPr>
      </w:pPr>
      <w:r>
        <w:rPr>
          <w:rFonts w:hint="eastAsia" w:ascii="宋体" w:hAnsi="宋体" w:cs="宋体"/>
          <w:sz w:val="28"/>
          <w:szCs w:val="28"/>
        </w:rPr>
        <w:t>合同生效15日内，采购人凭</w:t>
      </w:r>
      <w:r>
        <w:rPr>
          <w:rFonts w:hint="eastAsia" w:ascii="宋体" w:hAnsi="宋体" w:cs="宋体"/>
          <w:bCs/>
          <w:sz w:val="28"/>
          <w:szCs w:val="28"/>
        </w:rPr>
        <w:t>中标人提供的正式发票，</w:t>
      </w:r>
      <w:r>
        <w:rPr>
          <w:rFonts w:hint="eastAsia" w:ascii="宋体" w:hAnsi="宋体" w:cs="宋体"/>
          <w:sz w:val="28"/>
          <w:szCs w:val="28"/>
        </w:rPr>
        <w:t>支付合同金额的50%；验收合格后，采购人凭</w:t>
      </w:r>
      <w:r>
        <w:rPr>
          <w:rFonts w:hint="eastAsia" w:ascii="宋体" w:hAnsi="宋体" w:cs="宋体"/>
          <w:bCs/>
          <w:sz w:val="28"/>
          <w:szCs w:val="28"/>
        </w:rPr>
        <w:t>中标人提供的正式发票，</w:t>
      </w:r>
      <w:r>
        <w:rPr>
          <w:rFonts w:hint="eastAsia" w:ascii="宋体" w:hAnsi="宋体" w:cs="宋体"/>
          <w:sz w:val="28"/>
          <w:szCs w:val="28"/>
        </w:rPr>
        <w:t>支付合同剩余金额的50%。</w:t>
      </w:r>
    </w:p>
    <w:p>
      <w:pPr>
        <w:spacing w:line="560" w:lineRule="exact"/>
        <w:ind w:firstLine="560" w:firstLineChars="200"/>
        <w:rPr>
          <w:rFonts w:ascii="宋体" w:hAnsi="宋体" w:cs="宋体"/>
          <w:sz w:val="28"/>
          <w:szCs w:val="28"/>
        </w:rPr>
      </w:pPr>
      <w:r>
        <w:rPr>
          <w:rFonts w:hint="eastAsia" w:ascii="宋体" w:hAnsi="宋体" w:cs="宋体"/>
          <w:sz w:val="28"/>
          <w:szCs w:val="28"/>
        </w:rPr>
        <w:t>（七）违约处罚</w:t>
      </w:r>
    </w:p>
    <w:p>
      <w:pPr>
        <w:spacing w:line="560" w:lineRule="exact"/>
        <w:ind w:firstLine="700" w:firstLineChars="250"/>
        <w:rPr>
          <w:rFonts w:ascii="宋体" w:hAnsi="宋体" w:cs="宋体"/>
          <w:sz w:val="28"/>
          <w:szCs w:val="28"/>
        </w:rPr>
      </w:pPr>
      <w:r>
        <w:rPr>
          <w:rFonts w:hint="eastAsia" w:ascii="宋体" w:hAnsi="宋体" w:cs="宋体"/>
          <w:sz w:val="28"/>
          <w:szCs w:val="28"/>
        </w:rPr>
        <w:t>中标人的违约责任：</w:t>
      </w:r>
    </w:p>
    <w:p>
      <w:pPr>
        <w:spacing w:line="560" w:lineRule="exact"/>
        <w:ind w:left="105" w:leftChars="50" w:firstLine="560" w:firstLineChars="200"/>
        <w:rPr>
          <w:rFonts w:ascii="宋体" w:hAnsi="宋体" w:cs="宋体"/>
          <w:sz w:val="28"/>
          <w:szCs w:val="28"/>
        </w:rPr>
      </w:pPr>
      <w:r>
        <w:rPr>
          <w:rFonts w:hint="eastAsia" w:ascii="宋体" w:hAnsi="宋体" w:cs="宋体"/>
          <w:sz w:val="28"/>
          <w:szCs w:val="28"/>
        </w:rPr>
        <w:t>1.中标人逾期交付使用的，从逾期之日起每日按合同总价3‰的数额向采购人支付违约金；逾期15日以上的，采购人有权终止合同，由此造成的采购人经济损失由中标人承担。</w:t>
      </w:r>
    </w:p>
    <w:p>
      <w:pPr>
        <w:widowControl/>
        <w:spacing w:line="560" w:lineRule="exact"/>
        <w:ind w:firstLine="700" w:firstLineChars="250"/>
        <w:jc w:val="left"/>
        <w:rPr>
          <w:rFonts w:ascii="宋体" w:hAnsi="宋体" w:cs="宋体"/>
          <w:sz w:val="28"/>
          <w:szCs w:val="28"/>
        </w:rPr>
      </w:pPr>
      <w:r>
        <w:rPr>
          <w:rFonts w:hint="eastAsia" w:ascii="宋体" w:hAnsi="宋体" w:cs="宋体"/>
          <w:sz w:val="28"/>
          <w:szCs w:val="28"/>
        </w:rPr>
        <w:t>2.中标人交付使用的服务不符合招标文件、投标文件或本合同规定的，采购人有权拒收，并且中标人须向采购人支付本合同总价5%的违约金。</w:t>
      </w:r>
    </w:p>
    <w:p>
      <w:pPr>
        <w:widowControl/>
        <w:spacing w:line="560" w:lineRule="exact"/>
        <w:ind w:firstLine="700" w:firstLineChars="250"/>
        <w:jc w:val="left"/>
        <w:rPr>
          <w:rFonts w:ascii="宋体" w:hAnsi="宋体" w:cs="宋体"/>
          <w:sz w:val="28"/>
          <w:szCs w:val="28"/>
        </w:rPr>
      </w:pPr>
      <w:r>
        <w:rPr>
          <w:rFonts w:hint="eastAsia" w:ascii="宋体" w:hAnsi="宋体" w:cs="宋体"/>
          <w:sz w:val="28"/>
          <w:szCs w:val="28"/>
        </w:rPr>
        <w:t>3.其它违约责任按《中华人民共和国民法典》处理。</w:t>
      </w:r>
    </w:p>
    <w:p>
      <w:pPr>
        <w:spacing w:line="560" w:lineRule="exact"/>
        <w:ind w:firstLine="560" w:firstLineChars="200"/>
        <w:rPr>
          <w:rFonts w:ascii="宋体" w:hAnsi="宋体" w:cs="宋体"/>
          <w:sz w:val="28"/>
          <w:szCs w:val="28"/>
        </w:rPr>
      </w:pPr>
      <w:r>
        <w:rPr>
          <w:rFonts w:hint="eastAsia" w:ascii="宋体" w:hAnsi="宋体" w:cs="宋体"/>
          <w:sz w:val="28"/>
          <w:szCs w:val="28"/>
        </w:rPr>
        <w:t>采购人的违约责任：</w:t>
      </w:r>
    </w:p>
    <w:p>
      <w:pPr>
        <w:spacing w:line="560" w:lineRule="exact"/>
        <w:ind w:firstLine="560" w:firstLineChars="200"/>
        <w:rPr>
          <w:rFonts w:ascii="宋体" w:hAnsi="宋体" w:cs="宋体"/>
          <w:sz w:val="28"/>
          <w:szCs w:val="28"/>
        </w:rPr>
      </w:pPr>
      <w:r>
        <w:rPr>
          <w:rFonts w:hint="eastAsia" w:ascii="宋体" w:hAnsi="宋体" w:cs="宋体"/>
          <w:sz w:val="28"/>
          <w:szCs w:val="28"/>
        </w:rPr>
        <w:t>1.采购人逾期付款的，应按照每日合同总价3‰的比例向中标人偿付逾期付款的违约金；</w:t>
      </w:r>
    </w:p>
    <w:p>
      <w:pPr>
        <w:spacing w:line="560" w:lineRule="exact"/>
        <w:ind w:firstLine="560" w:firstLineChars="200"/>
        <w:rPr>
          <w:rFonts w:ascii="宋体" w:hAnsi="宋体" w:cs="宋体"/>
          <w:sz w:val="28"/>
          <w:szCs w:val="28"/>
        </w:rPr>
      </w:pPr>
      <w:r>
        <w:rPr>
          <w:rFonts w:hint="eastAsia" w:ascii="宋体" w:hAnsi="宋体" w:cs="宋体"/>
          <w:sz w:val="28"/>
          <w:szCs w:val="28"/>
        </w:rPr>
        <w:t>2.采购人违反合同规定拒绝接货的，应当承担由此对中标人造成的损失。</w:t>
      </w:r>
    </w:p>
    <w:p>
      <w:pPr>
        <w:widowControl/>
        <w:jc w:val="left"/>
        <w:rPr>
          <w:rFonts w:ascii="宋体" w:hAnsi="宋体"/>
          <w:sz w:val="28"/>
          <w:szCs w:val="28"/>
        </w:rPr>
      </w:pPr>
      <w:r>
        <w:rPr>
          <w:rFonts w:hint="eastAsia" w:ascii="宋体" w:hAnsi="宋体" w:cs="宋体"/>
          <w:sz w:val="28"/>
          <w:szCs w:val="28"/>
        </w:rPr>
        <w:br w:type="page"/>
      </w:r>
    </w:p>
    <w:p>
      <w:pPr>
        <w:pStyle w:val="2"/>
      </w:pPr>
      <w:bookmarkStart w:id="25" w:name="_Toc14310"/>
      <w:r>
        <w:rPr>
          <w:rFonts w:hint="eastAsia"/>
        </w:rPr>
        <w:t>第三部分  报价文件格式</w:t>
      </w:r>
      <w:bookmarkEnd w:id="25"/>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rPr>
          <w:rFonts w:ascii="宋体" w:hAnsi="宋体" w:cs="宋体"/>
          <w:b/>
          <w:bCs/>
          <w:spacing w:val="30"/>
          <w:sz w:val="44"/>
          <w:szCs w:val="44"/>
        </w:rPr>
      </w:pP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6"/>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6"/>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6"/>
        </w:numPr>
        <w:spacing w:line="0" w:lineRule="atLeast"/>
        <w:rPr>
          <w:rFonts w:hAnsi="宋体"/>
          <w:sz w:val="28"/>
          <w:szCs w:val="28"/>
        </w:rPr>
      </w:pPr>
      <w:r>
        <w:rPr>
          <w:rFonts w:hint="eastAsia"/>
          <w:sz w:val="28"/>
          <w:szCs w:val="28"/>
        </w:rPr>
        <w:t>填写此表时不得改变表格的形式。</w:t>
      </w:r>
    </w:p>
    <w:p>
      <w:pPr>
        <w:pStyle w:val="13"/>
        <w:numPr>
          <w:ilvl w:val="0"/>
          <w:numId w:val="6"/>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numPr>
          <w:ilvl w:val="0"/>
          <w:numId w:val="5"/>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7"/>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7"/>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7"/>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7"/>
        </w:numPr>
        <w:spacing w:line="400" w:lineRule="exact"/>
        <w:rPr>
          <w:rFonts w:ascii="宋体" w:hAnsi="宋体"/>
          <w:sz w:val="24"/>
        </w:rPr>
      </w:pPr>
      <w:r>
        <w:rPr>
          <w:rFonts w:hint="eastAsia" w:ascii="宋体" w:hAnsi="宋体"/>
          <w:sz w:val="24"/>
        </w:rPr>
        <w:t>我方理解贵方不一定接受最低报价。</w:t>
      </w:r>
    </w:p>
    <w:p>
      <w:pPr>
        <w:numPr>
          <w:ilvl w:val="0"/>
          <w:numId w:val="7"/>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7"/>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7"/>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8"/>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7"/>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7"/>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5"/>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7645B7-0152-4200-8E36-6779193A53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407A156-14DB-4D10-B168-13E6E71A5457}"/>
  </w:font>
  <w:font w:name="Cambria">
    <w:panose1 w:val="02040503050406030204"/>
    <w:charset w:val="00"/>
    <w:family w:val="roman"/>
    <w:pitch w:val="default"/>
    <w:sig w:usb0="E00006FF" w:usb1="420024FF" w:usb2="0200000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iragino Sans GB W3">
    <w:altName w:val="Arial Unicode MS"/>
    <w:panose1 w:val="00000000000000000000"/>
    <w:charset w:val="80"/>
    <w:family w:val="swiss"/>
    <w:pitch w:val="default"/>
    <w:sig w:usb0="00000000" w:usb1="00000000" w:usb2="00000016" w:usb3="00000000" w:csb0="00060007" w:csb1="00000000"/>
  </w:font>
  <w:font w:name="方正小标宋_GBK">
    <w:panose1 w:val="02000000000000000000"/>
    <w:charset w:val="86"/>
    <w:family w:val="auto"/>
    <w:pitch w:val="default"/>
    <w:sig w:usb0="A00002BF" w:usb1="38CF7CFA" w:usb2="00082016" w:usb3="00000000" w:csb0="00040001" w:csb1="00000000"/>
    <w:embedRegular r:id="rId3" w:fontKey="{AF74EA8B-7F10-4BDE-BB9F-9CA842B8E985}"/>
  </w:font>
  <w:font w:name="楷体_GB2312">
    <w:panose1 w:val="02010609030101010101"/>
    <w:charset w:val="86"/>
    <w:family w:val="modern"/>
    <w:pitch w:val="default"/>
    <w:sig w:usb0="00000001" w:usb1="080E0000" w:usb2="00000000" w:usb3="00000000" w:csb0="00040000" w:csb1="00000000"/>
    <w:embedRegular r:id="rId4" w:fontKey="{B278BAE3-4464-467A-B580-3E5BA8FB369B}"/>
  </w:font>
  <w:font w:name="楷体">
    <w:panose1 w:val="02010609060101010101"/>
    <w:charset w:val="86"/>
    <w:family w:val="modern"/>
    <w:pitch w:val="default"/>
    <w:sig w:usb0="800002BF" w:usb1="38CF7CFA" w:usb2="00000016" w:usb3="00000000" w:csb0="00040001" w:csb1="00000000"/>
    <w:embedRegular r:id="rId5" w:fontKey="{5CE13798-EBBB-4687-9907-C6A17DF10D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SVju0AAAAAUBAAAPAAAAAAAAAAEA&#10;IAAAACIAAABkcnMvZG93bnJldi54bWxQSwECFAAUAAAACACHTuJAMoxvDN4BAAC7AwAADgAAAAAA&#10;AAABACAAAAAfAQAAZHJzL2Uyb0RvYy54bWxQSwUGAAAAAAYABgBZAQAAb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SVju0AAAAAUBAAAPAAAAAAAAAAEA&#10;IAAAACIAAABkcnMvZG93bnJldi54bWxQSwECFAAUAAAACACHTuJANww36N4BAAC7AwAADgAAAAAA&#10;AAABACAAAAAfAQAAZHJzL2Uyb0RvYy54bWxQSwUGAAAAAAYABgBZAQAAbw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0lY7tAAAAAFAQAADwAAAAAAAAAB&#10;ACAAAAAiAAAAZHJzL2Rvd25yZXYueG1sUEsBAhQAFAAAAAgAh07iQDtU3RPfAQAAuwMAAA4AAAAA&#10;AAAAAQAgAAAAHwEAAGRycy9lMm9Eb2MueG1sUEsFBgAAAAAGAAYAWQEAAHA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7"/>
                          </w:pPr>
                          <w:r>
                            <w:fldChar w:fldCharType="begin"/>
                          </w:r>
                          <w:r>
                            <w:instrText xml:space="preserve"> PAGE  \* MERGEFORMAT </w:instrText>
                          </w:r>
                          <w:r>
                            <w:fldChar w:fldCharType="separate"/>
                          </w:r>
                          <w:r>
                            <w:t>0</w:t>
                          </w:r>
                          <w:r>
                            <w:fldChar w:fldCharType="end"/>
                          </w:r>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0lY7tAAAAAFAQAADwAAAAAAAAAB&#10;ACAAAAAiAAAAZHJzL2Rvd25yZXYueG1sUEsBAhQAFAAAAAgAh07iQKkxwk7fAQAAuwMAAA4AAAAA&#10;AAAAAQAgAAAAHwEAAGRycy9lMm9Eb2MueG1sUEsFBgAAAAAGAAYAWQEAAHA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C3C74AC"/>
    <w:multiLevelType w:val="singleLevel"/>
    <w:tmpl w:val="5C3C74AC"/>
    <w:lvl w:ilvl="0" w:tentative="0">
      <w:start w:val="1"/>
      <w:numFmt w:val="chineseCounting"/>
      <w:suff w:val="nothing"/>
      <w:lvlText w:val="%1、"/>
      <w:lvlJc w:val="left"/>
      <w:rPr>
        <w:rFonts w:hint="eastAsia"/>
      </w:rPr>
    </w:lvl>
  </w:abstractNum>
  <w:abstractNum w:abstractNumId="6">
    <w:nsid w:val="5D1ACA94"/>
    <w:multiLevelType w:val="singleLevel"/>
    <w:tmpl w:val="5D1ACA94"/>
    <w:lvl w:ilvl="0" w:tentative="0">
      <w:start w:val="3"/>
      <w:numFmt w:val="decimal"/>
      <w:suff w:val="nothing"/>
      <w:lvlText w:val="%1、"/>
      <w:lvlJc w:val="left"/>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NotTrackMove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4A47"/>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4E4C"/>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4142"/>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671"/>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598A"/>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5501"/>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040"/>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3DAF"/>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031"/>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088"/>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D11"/>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082"/>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BEA"/>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6663"/>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30CA"/>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D0D"/>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B7FE8"/>
    <w:rsid w:val="009C0151"/>
    <w:rsid w:val="009C02F1"/>
    <w:rsid w:val="009C0C8D"/>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459"/>
    <w:rsid w:val="00BD2B48"/>
    <w:rsid w:val="00BD2B51"/>
    <w:rsid w:val="00BD2F58"/>
    <w:rsid w:val="00BD3065"/>
    <w:rsid w:val="00BD3270"/>
    <w:rsid w:val="00BD420A"/>
    <w:rsid w:val="00BD57E7"/>
    <w:rsid w:val="00BD5D4C"/>
    <w:rsid w:val="00BD6769"/>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BC7"/>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3BAB"/>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15A"/>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04770"/>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31A"/>
    <w:rsid w:val="00E66858"/>
    <w:rsid w:val="00E66BC4"/>
    <w:rsid w:val="00E66DA5"/>
    <w:rsid w:val="00E66DA9"/>
    <w:rsid w:val="00E7056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63F"/>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796"/>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7AD"/>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1B33"/>
    <w:rsid w:val="00F729F2"/>
    <w:rsid w:val="00F736C7"/>
    <w:rsid w:val="00F7384B"/>
    <w:rsid w:val="00F755F0"/>
    <w:rsid w:val="00F75A0A"/>
    <w:rsid w:val="00F75A6E"/>
    <w:rsid w:val="00F75BB5"/>
    <w:rsid w:val="00F76ABD"/>
    <w:rsid w:val="00F76E26"/>
    <w:rsid w:val="00F77645"/>
    <w:rsid w:val="00F800E0"/>
    <w:rsid w:val="00F80AC5"/>
    <w:rsid w:val="00F80D94"/>
    <w:rsid w:val="00F8126A"/>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2B15C9"/>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39B231B"/>
    <w:rsid w:val="245F6E0F"/>
    <w:rsid w:val="24905418"/>
    <w:rsid w:val="263B5217"/>
    <w:rsid w:val="27192484"/>
    <w:rsid w:val="27C423D8"/>
    <w:rsid w:val="28E13EA5"/>
    <w:rsid w:val="291150CE"/>
    <w:rsid w:val="2E2429AD"/>
    <w:rsid w:val="2E7F096C"/>
    <w:rsid w:val="2E950643"/>
    <w:rsid w:val="305B2BFC"/>
    <w:rsid w:val="311763F2"/>
    <w:rsid w:val="322D06A3"/>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6FC5AAE"/>
    <w:rsid w:val="68742FE5"/>
    <w:rsid w:val="697C1D6F"/>
    <w:rsid w:val="6A80153E"/>
    <w:rsid w:val="6F544E68"/>
    <w:rsid w:val="719242C5"/>
    <w:rsid w:val="72B62304"/>
    <w:rsid w:val="742D0AEA"/>
    <w:rsid w:val="750157C1"/>
    <w:rsid w:val="77F228DE"/>
    <w:rsid w:val="78851ED1"/>
    <w:rsid w:val="79C61CFF"/>
    <w:rsid w:val="7DBD7DE5"/>
    <w:rsid w:val="7E740121"/>
    <w:rsid w:val="7F4176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2">
    <w:name w:val="表格文字"/>
    <w:basedOn w:val="1"/>
    <w:qFormat/>
    <w:uiPriority w:val="0"/>
    <w:pPr>
      <w:spacing w:before="25" w:after="25"/>
      <w:jc w:val="left"/>
    </w:pPr>
    <w:rPr>
      <w:bCs/>
      <w:spacing w:val="10"/>
      <w:kern w:val="0"/>
      <w:sz w:val="24"/>
      <w:szCs w:val="20"/>
    </w:rPr>
  </w:style>
  <w:style w:type="paragraph" w:customStyle="1" w:styleId="103">
    <w:name w:val="正文（培训）"/>
    <w:basedOn w:val="1"/>
    <w:qFormat/>
    <w:uiPriority w:val="0"/>
    <w:pPr>
      <w:adjustRightInd w:val="0"/>
      <w:snapToGrid w:val="0"/>
      <w:spacing w:line="360" w:lineRule="auto"/>
      <w:ind w:firstLine="440"/>
    </w:pPr>
    <w:rPr>
      <w:rFonts w:ascii="Hiragino Sans GB W3" w:hAnsi="Hiragino Sans GB W3" w:eastAsia="Hiragino Sans GB W3" w:cs="宋体"/>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65F10-686D-44FE-BA10-E17AB52378D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2272</Words>
  <Characters>12956</Characters>
  <Lines>107</Lines>
  <Paragraphs>30</Paragraphs>
  <TotalTime>101</TotalTime>
  <ScaleCrop>false</ScaleCrop>
  <LinksUpToDate>false</LinksUpToDate>
  <CharactersWithSpaces>15198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2023-12-04T07:36:33Z</dcterms:modified>
  <cp:revision>961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5E810E8CDACA40B4A4DA314499E6C5CB_13</vt:lpwstr>
  </property>
</Properties>
</file>