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
      <w:pPr>
        <w:ind w:left="5" w:hanging="5"/>
        <w:jc w:val="center"/>
        <w:rPr>
          <w:rFonts w:eastAsia="黑体"/>
          <w:b/>
          <w:sz w:val="72"/>
          <w:szCs w:val="56"/>
        </w:rPr>
      </w:pPr>
      <w:r>
        <w:rPr>
          <w:rFonts w:hint="eastAsia" w:eastAsia="黑体"/>
          <w:b/>
          <w:sz w:val="72"/>
          <w:szCs w:val="56"/>
        </w:rPr>
        <w:t>校内分散采购</w:t>
      </w:r>
    </w:p>
    <w:p>
      <w:pPr>
        <w:ind w:left="425"/>
        <w:jc w:val="center"/>
        <w:rPr>
          <w:rFonts w:eastAsia="黑体"/>
          <w:b/>
          <w:sz w:val="72"/>
          <w:szCs w:val="56"/>
        </w:rPr>
      </w:pPr>
    </w:p>
    <w:p>
      <w:pPr>
        <w:ind w:left="5" w:hanging="5"/>
        <w:jc w:val="center"/>
        <w:rPr>
          <w:rFonts w:eastAsia="黑体"/>
          <w:b/>
          <w:sz w:val="72"/>
          <w:szCs w:val="56"/>
        </w:rPr>
      </w:pPr>
      <w:r>
        <w:rPr>
          <w:rFonts w:hint="eastAsia" w:eastAsia="黑体"/>
          <w:b/>
          <w:sz w:val="72"/>
          <w:szCs w:val="56"/>
        </w:rPr>
        <w:t>采</w:t>
      </w:r>
    </w:p>
    <w:p>
      <w:pPr>
        <w:ind w:left="5" w:hanging="5"/>
        <w:jc w:val="center"/>
        <w:rPr>
          <w:rFonts w:eastAsia="黑体"/>
          <w:b/>
          <w:sz w:val="72"/>
          <w:szCs w:val="56"/>
        </w:rPr>
      </w:pPr>
      <w:r>
        <w:rPr>
          <w:rFonts w:hint="eastAsia" w:eastAsia="黑体"/>
          <w:b/>
          <w:sz w:val="72"/>
          <w:szCs w:val="56"/>
        </w:rPr>
        <w:t>购</w:t>
      </w:r>
    </w:p>
    <w:p>
      <w:pPr>
        <w:ind w:left="5" w:hanging="5"/>
        <w:jc w:val="center"/>
        <w:rPr>
          <w:rFonts w:eastAsia="黑体"/>
          <w:b/>
          <w:sz w:val="72"/>
          <w:szCs w:val="56"/>
        </w:rPr>
      </w:pPr>
      <w:r>
        <w:rPr>
          <w:rFonts w:hint="eastAsia" w:eastAsia="黑体"/>
          <w:b/>
          <w:sz w:val="72"/>
          <w:szCs w:val="56"/>
        </w:rPr>
        <w:t>书</w:t>
      </w:r>
    </w:p>
    <w:p>
      <w:pPr>
        <w:spacing w:line="760" w:lineRule="exact"/>
        <w:jc w:val="center"/>
        <w:rPr>
          <w:b/>
          <w:sz w:val="36"/>
        </w:rPr>
      </w:pPr>
      <w:r>
        <w:rPr>
          <w:rFonts w:hint="eastAsia"/>
          <w:b/>
          <w:sz w:val="36"/>
        </w:rPr>
        <w:t>（适用于公开采购方式）</w:t>
      </w:r>
    </w:p>
    <w:p>
      <w:pPr>
        <w:spacing w:line="760" w:lineRule="exact"/>
        <w:ind w:firstLine="1084" w:firstLineChars="300"/>
        <w:rPr>
          <w:b/>
          <w:sz w:val="36"/>
        </w:rPr>
      </w:pPr>
    </w:p>
    <w:p>
      <w:pPr>
        <w:spacing w:line="760" w:lineRule="exact"/>
        <w:rPr>
          <w:rFonts w:ascii="宋体" w:hAnsi="宋体"/>
          <w:b/>
          <w:sz w:val="36"/>
          <w:u w:val="single"/>
        </w:rPr>
      </w:pPr>
      <w:r>
        <w:rPr>
          <w:rFonts w:hint="eastAsia"/>
          <w:b/>
          <w:sz w:val="36"/>
        </w:rPr>
        <w:t>项目</w:t>
      </w:r>
      <w:r>
        <w:rPr>
          <w:rFonts w:hint="eastAsia"/>
          <w:b/>
          <w:sz w:val="36"/>
          <w:szCs w:val="36"/>
        </w:rPr>
        <w:t>名称</w:t>
      </w:r>
      <w:r>
        <w:rPr>
          <w:b/>
          <w:sz w:val="36"/>
        </w:rPr>
        <w:t>:</w:t>
      </w:r>
      <w:r>
        <w:rPr>
          <w:rFonts w:hint="eastAsia" w:ascii="宋体" w:hAnsi="宋体"/>
          <w:b/>
          <w:sz w:val="36"/>
          <w:u w:val="single"/>
          <w:lang w:eastAsia="zh-CN"/>
        </w:rPr>
        <w:t>《财政学综合实验课》</w:t>
      </w:r>
      <w:r>
        <w:rPr>
          <w:rFonts w:hint="eastAsia" w:ascii="宋体" w:hAnsi="宋体"/>
          <w:b/>
          <w:sz w:val="36"/>
          <w:u w:val="single"/>
        </w:rPr>
        <w:t xml:space="preserve">在线开放课程建设  </w:t>
      </w:r>
    </w:p>
    <w:p>
      <w:pPr>
        <w:widowControl/>
        <w:shd w:val="clear" w:color="auto" w:fill="FFFFFF"/>
        <w:spacing w:line="560" w:lineRule="exact"/>
        <w:jc w:val="center"/>
        <w:rPr>
          <w:rFonts w:hint="default"/>
          <w:b/>
          <w:sz w:val="36"/>
          <w:szCs w:val="36"/>
          <w:lang w:val="en-US" w:eastAsia="zh-CN"/>
        </w:rPr>
      </w:pPr>
      <w:r>
        <w:rPr>
          <w:rFonts w:hint="eastAsia"/>
          <w:b/>
          <w:sz w:val="36"/>
          <w:szCs w:val="36"/>
        </w:rPr>
        <w:t>采购单位：</w:t>
      </w:r>
      <w:r>
        <w:rPr>
          <w:rFonts w:hint="eastAsia"/>
          <w:b/>
          <w:sz w:val="36"/>
          <w:szCs w:val="36"/>
          <w:u w:val="single"/>
          <w:lang w:val="en-US" w:eastAsia="zh-CN"/>
        </w:rPr>
        <w:t>经济与管理国家级实验教学中心（广东财经大学）</w:t>
      </w:r>
    </w:p>
    <w:p>
      <w:pPr>
        <w:spacing w:line="760" w:lineRule="exact"/>
        <w:ind w:firstLine="1084" w:firstLineChars="300"/>
        <w:rPr>
          <w:b/>
          <w:sz w:val="36"/>
          <w:szCs w:val="36"/>
        </w:rPr>
      </w:pPr>
      <w:r>
        <w:rPr>
          <w:rFonts w:hint="eastAsia"/>
          <w:b/>
          <w:sz w:val="36"/>
          <w:szCs w:val="36"/>
        </w:rPr>
        <w:t>发布时间：</w:t>
      </w:r>
      <w:r>
        <w:rPr>
          <w:rFonts w:hint="eastAsia" w:ascii="宋体" w:hAnsi="宋体"/>
          <w:b/>
          <w:sz w:val="36"/>
          <w:u w:val="single"/>
        </w:rPr>
        <w:t xml:space="preserve"> </w:t>
      </w:r>
      <w:r>
        <w:rPr>
          <w:rFonts w:hint="eastAsia" w:ascii="宋体" w:hAnsi="宋体"/>
          <w:b/>
          <w:sz w:val="36"/>
          <w:u w:val="single"/>
          <w:lang w:val="en-US" w:eastAsia="zh-CN"/>
        </w:rPr>
        <w:t>2023年12月14日</w:t>
      </w:r>
      <w:r>
        <w:rPr>
          <w:rFonts w:hint="eastAsia" w:ascii="宋体" w:hAnsi="宋体"/>
          <w:b/>
          <w:sz w:val="36"/>
          <w:u w:val="single"/>
        </w:rPr>
        <w:t xml:space="preserve">      </w:t>
      </w:r>
    </w:p>
    <w:p>
      <w:pPr>
        <w:spacing w:line="760" w:lineRule="exact"/>
        <w:ind w:firstLine="1084" w:firstLineChars="300"/>
        <w:rPr>
          <w:rFonts w:ascii="宋体" w:hAnsi="宋体"/>
          <w:b/>
          <w:sz w:val="36"/>
          <w:szCs w:val="36"/>
          <w:u w:val="single"/>
        </w:rPr>
      </w:pPr>
    </w:p>
    <w:p>
      <w:pPr>
        <w:spacing w:line="1000" w:lineRule="exact"/>
        <w:jc w:val="center"/>
        <w:rPr>
          <w:rFonts w:ascii="黑体" w:eastAsia="黑体"/>
          <w:b/>
          <w:sz w:val="72"/>
          <w:szCs w:val="72"/>
        </w:rPr>
      </w:pPr>
    </w:p>
    <w:p>
      <w:pPr>
        <w:jc w:val="center"/>
        <w:rPr>
          <w:b/>
          <w:sz w:val="52"/>
          <w:szCs w:val="52"/>
        </w:rPr>
      </w:pPr>
      <w:r>
        <w:rPr>
          <w:rFonts w:ascii="宋体" w:hAnsi="宋体"/>
          <w:sz w:val="32"/>
          <w:szCs w:val="32"/>
        </w:rPr>
        <w:br w:type="column"/>
      </w:r>
      <w:r>
        <w:rPr>
          <w:rFonts w:hint="eastAsia"/>
          <w:sz w:val="52"/>
          <w:szCs w:val="52"/>
        </w:rPr>
        <w:t>目录</w:t>
      </w:r>
    </w:p>
    <w:p>
      <w:pPr>
        <w:pStyle w:val="19"/>
        <w:tabs>
          <w:tab w:val="right" w:leader="dot" w:pos="8846"/>
        </w:tabs>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TOC \o "1-3" \h \z \u </w:instrText>
      </w:r>
      <w:r>
        <w:rPr>
          <w:rFonts w:hint="eastAsia" w:asciiTheme="minorEastAsia" w:hAnsiTheme="minorEastAsia" w:eastAsiaTheme="minorEastAsia" w:cstheme="minorEastAsia"/>
          <w:sz w:val="28"/>
          <w:szCs w:val="28"/>
        </w:rPr>
        <w:fldChar w:fldCharType="separate"/>
      </w:r>
      <w:r>
        <w:fldChar w:fldCharType="begin"/>
      </w:r>
      <w:r>
        <w:instrText xml:space="preserve"> HYPERLINK \l "_Toc1048" </w:instrText>
      </w:r>
      <w:r>
        <w:fldChar w:fldCharType="separate"/>
      </w:r>
      <w:r>
        <w:rPr>
          <w:rFonts w:hint="eastAsia" w:asciiTheme="minorEastAsia" w:hAnsiTheme="minorEastAsia" w:eastAsiaTheme="minorEastAsia" w:cstheme="minorEastAsia"/>
          <w:sz w:val="28"/>
          <w:szCs w:val="28"/>
        </w:rPr>
        <w:t>第一部分   报价须知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_Toc1048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"_Toc16574" </w:instrText>
      </w:r>
      <w:r>
        <w:fldChar w:fldCharType="separate"/>
      </w:r>
      <w:r>
        <w:rPr>
          <w:rFonts w:hint="eastAsia" w:asciiTheme="minorEastAsia" w:hAnsiTheme="minorEastAsia" w:eastAsiaTheme="minorEastAsia" w:cstheme="minorEastAsia"/>
          <w:sz w:val="28"/>
          <w:szCs w:val="28"/>
        </w:rPr>
        <w:t>一、采购项目概况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_Toc16574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"_Toc28829" </w:instrText>
      </w:r>
      <w:r>
        <w:fldChar w:fldCharType="separate"/>
      </w:r>
      <w:r>
        <w:rPr>
          <w:rFonts w:hint="eastAsia" w:asciiTheme="minorEastAsia" w:hAnsiTheme="minorEastAsia" w:eastAsiaTheme="minorEastAsia" w:cstheme="minorEastAsia"/>
          <w:sz w:val="28"/>
          <w:szCs w:val="28"/>
        </w:rPr>
        <w:t>二、相关说明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_Toc28829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"_Toc11839" </w:instrText>
      </w:r>
      <w:r>
        <w:fldChar w:fldCharType="separate"/>
      </w:r>
      <w:r>
        <w:rPr>
          <w:rFonts w:hint="eastAsia" w:asciiTheme="minorEastAsia" w:hAnsiTheme="minorEastAsia" w:eastAsiaTheme="minorEastAsia" w:cstheme="minorEastAsia"/>
          <w:sz w:val="28"/>
          <w:szCs w:val="28"/>
        </w:rPr>
        <w:t>三、报价人资格</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_Toc11839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"_Toc20873" </w:instrText>
      </w:r>
      <w:r>
        <w:fldChar w:fldCharType="separate"/>
      </w:r>
      <w:r>
        <w:rPr>
          <w:rFonts w:hint="eastAsia" w:asciiTheme="minorEastAsia" w:hAnsiTheme="minorEastAsia" w:eastAsiaTheme="minorEastAsia" w:cstheme="minorEastAsia"/>
          <w:sz w:val="28"/>
          <w:szCs w:val="28"/>
        </w:rPr>
        <w:t>四、报价要求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_Toc20873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"_Toc18253" </w:instrText>
      </w:r>
      <w:r>
        <w:fldChar w:fldCharType="separate"/>
      </w:r>
      <w:r>
        <w:rPr>
          <w:rFonts w:hint="eastAsia" w:asciiTheme="minorEastAsia" w:hAnsiTheme="minorEastAsia" w:eastAsiaTheme="minorEastAsia" w:cstheme="minorEastAsia"/>
          <w:sz w:val="28"/>
          <w:szCs w:val="28"/>
        </w:rPr>
        <w:t>五、报价文件要求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_Toc18253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"_Toc10890" </w:instrText>
      </w:r>
      <w:r>
        <w:fldChar w:fldCharType="separate"/>
      </w:r>
      <w:r>
        <w:rPr>
          <w:rFonts w:hint="eastAsia" w:asciiTheme="minorEastAsia" w:hAnsiTheme="minorEastAsia" w:eastAsiaTheme="minorEastAsia" w:cstheme="minorEastAsia"/>
          <w:sz w:val="28"/>
          <w:szCs w:val="28"/>
        </w:rPr>
        <w:t>六、评审方法及原则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_Toc10890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"_Toc18663" </w:instrText>
      </w:r>
      <w:r>
        <w:fldChar w:fldCharType="separate"/>
      </w:r>
      <w:r>
        <w:rPr>
          <w:rFonts w:hint="eastAsia" w:asciiTheme="minorEastAsia" w:hAnsiTheme="minorEastAsia" w:eastAsiaTheme="minorEastAsia" w:cstheme="minorEastAsia"/>
          <w:sz w:val="28"/>
          <w:szCs w:val="28"/>
        </w:rPr>
        <w:t>七、成交供应商确定</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_Toc18663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9"/>
        <w:tabs>
          <w:tab w:val="right" w:leader="dot" w:pos="8846"/>
        </w:tabs>
        <w:rPr>
          <w:rFonts w:asciiTheme="minorEastAsia" w:hAnsiTheme="minorEastAsia" w:eastAsiaTheme="minorEastAsia" w:cstheme="minorEastAsia"/>
          <w:sz w:val="28"/>
          <w:szCs w:val="28"/>
        </w:rPr>
      </w:pPr>
      <w:r>
        <w:fldChar w:fldCharType="begin"/>
      </w:r>
      <w:r>
        <w:instrText xml:space="preserve"> HYPERLINK \l "_Toc5254" </w:instrText>
      </w:r>
      <w:r>
        <w:fldChar w:fldCharType="separate"/>
      </w:r>
      <w:r>
        <w:rPr>
          <w:rFonts w:hint="eastAsia" w:asciiTheme="minorEastAsia" w:hAnsiTheme="minorEastAsia" w:eastAsiaTheme="minorEastAsia" w:cstheme="minorEastAsia"/>
          <w:sz w:val="28"/>
          <w:szCs w:val="28"/>
        </w:rPr>
        <w:t>第二部分   采购需求书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_Toc5254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"_Toc179" </w:instrText>
      </w:r>
      <w:r>
        <w:fldChar w:fldCharType="separate"/>
      </w:r>
      <w:r>
        <w:rPr>
          <w:rFonts w:hint="eastAsia" w:asciiTheme="minorEastAsia" w:hAnsiTheme="minorEastAsia" w:eastAsiaTheme="minorEastAsia" w:cstheme="minorEastAsia"/>
          <w:sz w:val="28"/>
          <w:szCs w:val="28"/>
        </w:rPr>
        <w:t>一、技术（服务）要求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"_Toc17787" </w:instrText>
      </w:r>
      <w:r>
        <w:fldChar w:fldCharType="separate"/>
      </w:r>
      <w:r>
        <w:rPr>
          <w:rFonts w:hint="eastAsia" w:asciiTheme="minorEastAsia" w:hAnsiTheme="minorEastAsia" w:eastAsiaTheme="minorEastAsia" w:cstheme="minorEastAsia"/>
          <w:sz w:val="28"/>
          <w:szCs w:val="28"/>
        </w:rPr>
        <w:t>二、商务要求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_Toc17787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9"/>
        <w:tabs>
          <w:tab w:val="right" w:leader="dot" w:pos="8846"/>
        </w:tabs>
        <w:rPr>
          <w:rFonts w:asciiTheme="minorEastAsia" w:hAnsiTheme="minorEastAsia" w:eastAsiaTheme="minorEastAsia" w:cstheme="minorEastAsia"/>
          <w:sz w:val="28"/>
          <w:szCs w:val="28"/>
        </w:rPr>
      </w:pPr>
      <w:r>
        <w:fldChar w:fldCharType="begin"/>
      </w:r>
      <w:r>
        <w:instrText xml:space="preserve"> HYPERLINK \l "_Toc14310" </w:instrText>
      </w:r>
      <w:r>
        <w:fldChar w:fldCharType="separate"/>
      </w:r>
      <w:r>
        <w:rPr>
          <w:rFonts w:hint="eastAsia" w:asciiTheme="minorEastAsia" w:hAnsiTheme="minorEastAsia" w:eastAsiaTheme="minorEastAsia" w:cstheme="minorEastAsia"/>
          <w:sz w:val="28"/>
          <w:szCs w:val="28"/>
        </w:rPr>
        <w:t>第三部分  报价文件格式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_Toc14310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adjustRightInd w:val="0"/>
        <w:snapToGrid w:val="0"/>
        <w:spacing w:line="500" w:lineRule="exact"/>
        <w:jc w:val="center"/>
        <w:rPr>
          <w:b/>
          <w:sz w:val="52"/>
          <w:szCs w:val="52"/>
        </w:rPr>
      </w:pPr>
      <w:r>
        <w:rPr>
          <w:rFonts w:hint="eastAsia" w:asciiTheme="minorEastAsia" w:hAnsiTheme="minorEastAsia" w:eastAsiaTheme="minorEastAsia" w:cstheme="minorEastAsia"/>
          <w:sz w:val="28"/>
          <w:szCs w:val="28"/>
        </w:rPr>
        <w:fldChar w:fldCharType="end"/>
      </w:r>
    </w:p>
    <w:p>
      <w:bookmarkStart w:id="0" w:name="_Toc508103350"/>
      <w:bookmarkStart w:id="1" w:name="_Toc508103135"/>
      <w:bookmarkStart w:id="2" w:name="_Toc60236697"/>
      <w:r>
        <w:br w:type="page"/>
      </w:r>
    </w:p>
    <w:p>
      <w:pPr>
        <w:pStyle w:val="2"/>
      </w:pPr>
      <w:bookmarkStart w:id="3" w:name="_Toc1048"/>
      <w:r>
        <w:t xml:space="preserve">第一部分   </w:t>
      </w:r>
      <w:r>
        <w:rPr>
          <w:rFonts w:hint="eastAsia"/>
        </w:rPr>
        <w:t>报价</w:t>
      </w:r>
      <w:r>
        <w:t>须知</w:t>
      </w:r>
      <w:bookmarkEnd w:id="0"/>
      <w:bookmarkEnd w:id="1"/>
      <w:bookmarkEnd w:id="2"/>
      <w:bookmarkEnd w:id="3"/>
    </w:p>
    <w:p>
      <w:pPr>
        <w:spacing w:line="560" w:lineRule="exact"/>
        <w:ind w:firstLine="560" w:firstLineChars="200"/>
        <w:rPr>
          <w:rFonts w:ascii="宋体" w:hAnsi="宋体"/>
          <w:sz w:val="28"/>
          <w:szCs w:val="28"/>
        </w:rPr>
      </w:pPr>
      <w:r>
        <w:rPr>
          <w:rFonts w:hint="eastAsia" w:ascii="宋体" w:hAnsi="宋体"/>
          <w:sz w:val="28"/>
          <w:szCs w:val="28"/>
        </w:rPr>
        <w:t>（报价人</w:t>
      </w:r>
      <w:r>
        <w:rPr>
          <w:rFonts w:ascii="宋体" w:hAnsi="宋体"/>
          <w:sz w:val="28"/>
          <w:szCs w:val="28"/>
        </w:rPr>
        <w:t>应认真阅读</w:t>
      </w:r>
      <w:r>
        <w:rPr>
          <w:rFonts w:hint="eastAsia" w:ascii="宋体" w:hAnsi="宋体"/>
          <w:sz w:val="28"/>
          <w:szCs w:val="28"/>
        </w:rPr>
        <w:t>采购书</w:t>
      </w:r>
      <w:r>
        <w:rPr>
          <w:rFonts w:ascii="宋体" w:hAnsi="宋体"/>
          <w:sz w:val="28"/>
          <w:szCs w:val="28"/>
        </w:rPr>
        <w:t>中全部内容。</w:t>
      </w:r>
      <w:r>
        <w:rPr>
          <w:rFonts w:hint="eastAsia" w:ascii="宋体" w:hAnsi="宋体"/>
          <w:sz w:val="28"/>
          <w:szCs w:val="28"/>
        </w:rPr>
        <w:t>报价人必须按照采购公告、采购书的规定和要求提交报价文件，否则，责任自负。）</w:t>
      </w:r>
    </w:p>
    <w:p>
      <w:pPr>
        <w:pStyle w:val="3"/>
        <w:spacing w:line="560" w:lineRule="exact"/>
      </w:pPr>
      <w:bookmarkStart w:id="4" w:name="_Toc60236698"/>
      <w:bookmarkStart w:id="5" w:name="_Toc508103351"/>
      <w:bookmarkStart w:id="6" w:name="_Toc16574"/>
      <w:r>
        <w:rPr>
          <w:rFonts w:hint="eastAsia"/>
        </w:rPr>
        <w:t>一、采购项目</w:t>
      </w:r>
      <w:bookmarkEnd w:id="4"/>
      <w:bookmarkEnd w:id="5"/>
      <w:r>
        <w:rPr>
          <w:rFonts w:hint="eastAsia"/>
        </w:rPr>
        <w:t>概况</w:t>
      </w:r>
      <w:bookmarkEnd w:id="6"/>
    </w:p>
    <w:p>
      <w:pPr>
        <w:pStyle w:val="2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default" w:ascii="Times New Roman" w:hAnsi="Times New Roman" w:cs="Times New Roman"/>
          <w:i w:val="0"/>
          <w:iCs w:val="0"/>
          <w:caps w:val="0"/>
          <w:color w:val="000000"/>
          <w:spacing w:val="0"/>
          <w:sz w:val="21"/>
          <w:szCs w:val="21"/>
        </w:rPr>
      </w:pPr>
      <w:r>
        <w:rPr>
          <w:rFonts w:hint="eastAsia" w:ascii="宋体" w:hAnsi="宋体" w:eastAsia="宋体" w:cs="宋体"/>
          <w:i w:val="0"/>
          <w:iCs w:val="0"/>
          <w:caps w:val="0"/>
          <w:color w:val="000000"/>
          <w:spacing w:val="0"/>
          <w:sz w:val="28"/>
          <w:szCs w:val="28"/>
          <w:shd w:val="clear" w:fill="FFFFFF"/>
        </w:rPr>
        <w:t>1.项目名称：</w:t>
      </w:r>
      <w:r>
        <w:rPr>
          <w:rFonts w:hint="eastAsia" w:ascii="宋体" w:hAnsi="宋体" w:cs="宋体"/>
          <w:i w:val="0"/>
          <w:iCs w:val="0"/>
          <w:caps w:val="0"/>
          <w:color w:val="000000"/>
          <w:spacing w:val="0"/>
          <w:sz w:val="28"/>
          <w:szCs w:val="28"/>
          <w:u w:val="single"/>
          <w:shd w:val="clear" w:fill="FFFFFF"/>
          <w:lang w:eastAsia="zh-CN"/>
        </w:rPr>
        <w:t>《</w:t>
      </w:r>
      <w:r>
        <w:rPr>
          <w:rFonts w:hint="eastAsia" w:ascii="宋体" w:hAnsi="宋体" w:cs="宋体"/>
          <w:i w:val="0"/>
          <w:iCs w:val="0"/>
          <w:caps w:val="0"/>
          <w:color w:val="000000"/>
          <w:spacing w:val="0"/>
          <w:sz w:val="28"/>
          <w:szCs w:val="28"/>
          <w:u w:val="single"/>
          <w:shd w:val="clear" w:fill="FFFFFF"/>
          <w:lang w:val="en-US" w:eastAsia="zh-CN"/>
        </w:rPr>
        <w:t>财政学综合实验课》</w:t>
      </w:r>
      <w:r>
        <w:rPr>
          <w:rFonts w:hint="eastAsia" w:ascii="宋体" w:hAnsi="宋体" w:cs="宋体"/>
          <w:i w:val="0"/>
          <w:iCs w:val="0"/>
          <w:caps w:val="0"/>
          <w:color w:val="000000"/>
          <w:spacing w:val="0"/>
          <w:sz w:val="28"/>
          <w:szCs w:val="28"/>
          <w:u w:val="single"/>
          <w:shd w:val="clear" w:fill="FFFFFF"/>
          <w:lang w:eastAsia="zh-CN"/>
        </w:rPr>
        <w:t>在线开放课程建设</w:t>
      </w:r>
      <w:r>
        <w:rPr>
          <w:rFonts w:hint="eastAsia" w:ascii="宋体" w:hAnsi="宋体" w:eastAsia="宋体" w:cs="宋体"/>
          <w:i w:val="0"/>
          <w:iCs w:val="0"/>
          <w:caps w:val="0"/>
          <w:color w:val="000000"/>
          <w:spacing w:val="0"/>
          <w:sz w:val="28"/>
          <w:szCs w:val="28"/>
          <w:shd w:val="clear" w:fill="FFFFFF"/>
        </w:rPr>
        <w:t>。</w:t>
      </w:r>
    </w:p>
    <w:p>
      <w:pPr>
        <w:pStyle w:val="2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default" w:ascii="Times New Roman" w:hAnsi="Times New Roman" w:cs="Times New Roman"/>
          <w:i w:val="0"/>
          <w:iCs w:val="0"/>
          <w:caps w:val="0"/>
          <w:color w:val="000000"/>
          <w:spacing w:val="0"/>
          <w:sz w:val="21"/>
          <w:szCs w:val="21"/>
        </w:rPr>
      </w:pPr>
      <w:r>
        <w:rPr>
          <w:rFonts w:hint="eastAsia" w:ascii="宋体" w:hAnsi="宋体" w:eastAsia="宋体" w:cs="宋体"/>
          <w:i w:val="0"/>
          <w:iCs w:val="0"/>
          <w:caps w:val="0"/>
          <w:color w:val="000000"/>
          <w:spacing w:val="0"/>
          <w:sz w:val="28"/>
          <w:szCs w:val="28"/>
          <w:shd w:val="clear" w:fill="FFFFFF"/>
        </w:rPr>
        <w:t>2.经费预算：人民币</w:t>
      </w:r>
      <w:r>
        <w:rPr>
          <w:rFonts w:hint="eastAsia" w:ascii="宋体" w:hAnsi="宋体" w:cs="宋体"/>
          <w:i w:val="0"/>
          <w:iCs w:val="0"/>
          <w:caps w:val="0"/>
          <w:color w:val="000000"/>
          <w:spacing w:val="0"/>
          <w:sz w:val="28"/>
          <w:szCs w:val="28"/>
          <w:shd w:val="clear" w:fill="FFFFFF"/>
          <w:lang w:val="en-US" w:eastAsia="zh-CN"/>
        </w:rPr>
        <w:t xml:space="preserve"> </w:t>
      </w:r>
      <w:r>
        <w:rPr>
          <w:rFonts w:hint="eastAsia" w:ascii="宋体" w:hAnsi="宋体" w:cs="宋体"/>
          <w:i w:val="0"/>
          <w:iCs w:val="0"/>
          <w:caps w:val="0"/>
          <w:color w:val="000000"/>
          <w:spacing w:val="0"/>
          <w:sz w:val="28"/>
          <w:szCs w:val="28"/>
          <w:u w:val="single"/>
          <w:shd w:val="clear" w:fill="FFFFFF"/>
          <w:lang w:val="en-US" w:eastAsia="zh-CN"/>
        </w:rPr>
        <w:t>9.95</w:t>
      </w:r>
      <w:r>
        <w:rPr>
          <w:rFonts w:hint="eastAsia" w:ascii="宋体" w:hAnsi="宋体" w:eastAsia="宋体" w:cs="宋体"/>
          <w:i w:val="0"/>
          <w:iCs w:val="0"/>
          <w:caps w:val="0"/>
          <w:color w:val="000000"/>
          <w:spacing w:val="0"/>
          <w:sz w:val="28"/>
          <w:szCs w:val="28"/>
          <w:shd w:val="clear" w:fill="FFFFFF"/>
        </w:rPr>
        <w:t>万元，资金来源:</w:t>
      </w:r>
      <w:r>
        <w:rPr>
          <w:rFonts w:hint="eastAsia" w:ascii="宋体" w:hAnsi="宋体" w:cs="宋体"/>
          <w:i w:val="0"/>
          <w:iCs w:val="0"/>
          <w:caps w:val="0"/>
          <w:color w:val="000000"/>
          <w:spacing w:val="0"/>
          <w:sz w:val="28"/>
          <w:szCs w:val="28"/>
          <w:u w:val="single"/>
          <w:shd w:val="clear" w:fill="FFFFFF"/>
          <w:lang w:eastAsia="zh-CN"/>
        </w:rPr>
        <w:t>《</w:t>
      </w:r>
      <w:r>
        <w:rPr>
          <w:rFonts w:hint="eastAsia" w:ascii="宋体" w:hAnsi="宋体" w:cs="宋体"/>
          <w:i w:val="0"/>
          <w:iCs w:val="0"/>
          <w:caps w:val="0"/>
          <w:color w:val="000000"/>
          <w:spacing w:val="0"/>
          <w:sz w:val="28"/>
          <w:szCs w:val="28"/>
          <w:u w:val="single"/>
          <w:shd w:val="clear" w:fill="FFFFFF"/>
          <w:lang w:val="en-US" w:eastAsia="zh-CN"/>
        </w:rPr>
        <w:t>财政学综合实验课》</w:t>
      </w:r>
      <w:r>
        <w:rPr>
          <w:rFonts w:hint="eastAsia" w:ascii="宋体" w:hAnsi="宋体" w:eastAsia="宋体" w:cs="宋体"/>
          <w:i w:val="0"/>
          <w:iCs w:val="0"/>
          <w:caps w:val="0"/>
          <w:color w:val="000000"/>
          <w:spacing w:val="0"/>
          <w:sz w:val="28"/>
          <w:szCs w:val="28"/>
          <w:u w:val="single"/>
          <w:shd w:val="clear" w:fill="FFFFFF"/>
        </w:rPr>
        <w:t>课程经费。</w:t>
      </w:r>
    </w:p>
    <w:p>
      <w:pPr>
        <w:pStyle w:val="2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default" w:ascii="Times New Roman" w:hAnsi="Times New Roman" w:cs="Times New Roman"/>
          <w:i w:val="0"/>
          <w:iCs w:val="0"/>
          <w:caps w:val="0"/>
          <w:color w:val="000000"/>
          <w:spacing w:val="0"/>
          <w:sz w:val="21"/>
          <w:szCs w:val="21"/>
        </w:rPr>
      </w:pPr>
      <w:r>
        <w:rPr>
          <w:rFonts w:hint="eastAsia" w:ascii="宋体" w:hAnsi="宋体" w:eastAsia="宋体" w:cs="宋体"/>
          <w:i w:val="0"/>
          <w:iCs w:val="0"/>
          <w:caps w:val="0"/>
          <w:color w:val="000000"/>
          <w:spacing w:val="0"/>
          <w:sz w:val="28"/>
          <w:szCs w:val="28"/>
          <w:shd w:val="clear" w:fill="FFFFFF"/>
        </w:rPr>
        <w:t>3.预算及报价费用包括：</w:t>
      </w:r>
      <w:r>
        <w:rPr>
          <w:rFonts w:hint="eastAsia" w:ascii="宋体" w:hAnsi="宋体" w:cs="宋体"/>
          <w:i w:val="0"/>
          <w:iCs w:val="0"/>
          <w:caps w:val="0"/>
          <w:color w:val="000000"/>
          <w:spacing w:val="0"/>
          <w:sz w:val="28"/>
          <w:szCs w:val="28"/>
          <w:u w:val="single"/>
          <w:shd w:val="clear" w:fill="FFFFFF"/>
          <w:lang w:eastAsia="zh-CN"/>
        </w:rPr>
        <w:t>《</w:t>
      </w:r>
      <w:r>
        <w:rPr>
          <w:rFonts w:hint="eastAsia" w:ascii="宋体" w:hAnsi="宋体" w:cs="宋体"/>
          <w:i w:val="0"/>
          <w:iCs w:val="0"/>
          <w:caps w:val="0"/>
          <w:color w:val="000000"/>
          <w:spacing w:val="0"/>
          <w:sz w:val="28"/>
          <w:szCs w:val="28"/>
          <w:u w:val="single"/>
          <w:shd w:val="clear" w:fill="FFFFFF"/>
          <w:lang w:val="en-US" w:eastAsia="zh-CN"/>
        </w:rPr>
        <w:t>财政学综合实验课》</w:t>
      </w:r>
      <w:r>
        <w:rPr>
          <w:rFonts w:hint="eastAsia" w:ascii="宋体" w:hAnsi="宋体" w:eastAsia="宋体" w:cs="宋体"/>
          <w:i w:val="0"/>
          <w:iCs w:val="0"/>
          <w:caps w:val="0"/>
          <w:color w:val="000000"/>
          <w:spacing w:val="0"/>
          <w:sz w:val="28"/>
          <w:szCs w:val="28"/>
          <w:u w:val="single"/>
          <w:shd w:val="clear" w:fill="FFFFFF"/>
        </w:rPr>
        <w:t>在线课程的拍摄、剪辑、制作，整门课程时长</w:t>
      </w:r>
      <w:r>
        <w:rPr>
          <w:rFonts w:hint="eastAsia" w:ascii="宋体" w:hAnsi="宋体" w:eastAsia="宋体" w:cs="宋体"/>
          <w:i w:val="0"/>
          <w:iCs w:val="0"/>
          <w:caps w:val="0"/>
          <w:color w:val="000000"/>
          <w:spacing w:val="0"/>
          <w:sz w:val="28"/>
          <w:szCs w:val="28"/>
          <w:highlight w:val="yellow"/>
          <w:u w:val="single"/>
          <w:shd w:val="clear" w:fill="FFFFFF"/>
        </w:rPr>
        <w:t>约</w:t>
      </w:r>
      <w:r>
        <w:rPr>
          <w:rFonts w:hint="eastAsia" w:ascii="宋体" w:hAnsi="宋体" w:cs="宋体"/>
          <w:i w:val="0"/>
          <w:iCs w:val="0"/>
          <w:caps w:val="0"/>
          <w:color w:val="000000"/>
          <w:spacing w:val="0"/>
          <w:sz w:val="28"/>
          <w:szCs w:val="28"/>
          <w:highlight w:val="yellow"/>
          <w:u w:val="single"/>
          <w:shd w:val="clear" w:fill="FFFFFF"/>
          <w:lang w:val="en-US" w:eastAsia="zh-CN"/>
        </w:rPr>
        <w:t>600</w:t>
      </w:r>
      <w:r>
        <w:rPr>
          <w:rFonts w:hint="eastAsia" w:ascii="宋体" w:hAnsi="宋体" w:eastAsia="宋体" w:cs="宋体"/>
          <w:i w:val="0"/>
          <w:iCs w:val="0"/>
          <w:caps w:val="0"/>
          <w:color w:val="000000"/>
          <w:spacing w:val="0"/>
          <w:sz w:val="28"/>
          <w:szCs w:val="28"/>
          <w:highlight w:val="yellow"/>
          <w:u w:val="single"/>
          <w:shd w:val="clear" w:fill="FFFFFF"/>
        </w:rPr>
        <w:t>min</w:t>
      </w:r>
      <w:r>
        <w:rPr>
          <w:rFonts w:hint="eastAsia" w:ascii="宋体" w:hAnsi="宋体" w:cs="宋体"/>
          <w:i w:val="0"/>
          <w:iCs w:val="0"/>
          <w:caps w:val="0"/>
          <w:color w:val="000000"/>
          <w:spacing w:val="0"/>
          <w:sz w:val="28"/>
          <w:szCs w:val="28"/>
          <w:highlight w:val="yellow"/>
          <w:u w:val="single"/>
          <w:shd w:val="clear" w:fill="FFFFFF"/>
          <w:lang w:eastAsia="zh-CN"/>
        </w:rPr>
        <w:t>，</w:t>
      </w:r>
      <w:r>
        <w:rPr>
          <w:rFonts w:hint="eastAsia" w:ascii="宋体" w:hAnsi="宋体" w:eastAsia="宋体" w:cs="宋体"/>
          <w:i w:val="0"/>
          <w:iCs w:val="0"/>
          <w:caps w:val="0"/>
          <w:color w:val="000000"/>
          <w:spacing w:val="0"/>
          <w:sz w:val="28"/>
          <w:szCs w:val="28"/>
          <w:u w:val="single"/>
          <w:shd w:val="clear" w:fill="FFFFFF"/>
        </w:rPr>
        <w:t>配合上线</w:t>
      </w:r>
      <w:r>
        <w:rPr>
          <w:rFonts w:hint="eastAsia" w:ascii="宋体" w:hAnsi="宋体" w:cs="宋体"/>
          <w:i w:val="0"/>
          <w:iCs w:val="0"/>
          <w:caps w:val="0"/>
          <w:color w:val="000000"/>
          <w:spacing w:val="0"/>
          <w:sz w:val="28"/>
          <w:szCs w:val="28"/>
          <w:u w:val="single"/>
          <w:shd w:val="clear" w:fill="FFFFFF"/>
          <w:lang w:val="en-US" w:eastAsia="zh-CN"/>
        </w:rPr>
        <w:t>有国家评审资质的平台以及用户要求的平台</w:t>
      </w:r>
      <w:r>
        <w:rPr>
          <w:rFonts w:hint="eastAsia" w:ascii="宋体" w:hAnsi="宋体" w:eastAsia="宋体" w:cs="宋体"/>
          <w:i w:val="0"/>
          <w:iCs w:val="0"/>
          <w:caps w:val="0"/>
          <w:color w:val="000000"/>
          <w:spacing w:val="0"/>
          <w:sz w:val="28"/>
          <w:szCs w:val="28"/>
          <w:u w:val="single"/>
          <w:shd w:val="clear" w:fill="FFFFFF"/>
        </w:rPr>
        <w:t>）。</w:t>
      </w:r>
    </w:p>
    <w:p>
      <w:pPr>
        <w:pStyle w:val="2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default" w:ascii="Times New Roman" w:hAnsi="Times New Roman" w:cs="Times New Roman"/>
          <w:i w:val="0"/>
          <w:iCs w:val="0"/>
          <w:caps w:val="0"/>
          <w:color w:val="000000"/>
          <w:spacing w:val="0"/>
          <w:sz w:val="21"/>
          <w:szCs w:val="21"/>
        </w:rPr>
      </w:pPr>
      <w:r>
        <w:rPr>
          <w:rFonts w:hint="eastAsia" w:ascii="宋体" w:hAnsi="宋体" w:eastAsia="宋体" w:cs="宋体"/>
          <w:i w:val="0"/>
          <w:iCs w:val="0"/>
          <w:caps w:val="0"/>
          <w:color w:val="000000"/>
          <w:spacing w:val="0"/>
          <w:sz w:val="28"/>
          <w:szCs w:val="28"/>
          <w:shd w:val="clear" w:fill="FFFFFF"/>
        </w:rPr>
        <w:t>4.项目简介与总体要求：</w:t>
      </w:r>
    </w:p>
    <w:p>
      <w:pPr>
        <w:pStyle w:val="2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default" w:ascii="Times New Roman" w:hAnsi="Times New Roman" w:cs="Times New Roman"/>
          <w:i w:val="0"/>
          <w:iCs w:val="0"/>
          <w:caps w:val="0"/>
          <w:color w:val="000000"/>
          <w:spacing w:val="0"/>
          <w:sz w:val="21"/>
          <w:szCs w:val="21"/>
        </w:rPr>
      </w:pPr>
      <w:r>
        <w:rPr>
          <w:rFonts w:hint="eastAsia" w:ascii="宋体" w:hAnsi="宋体" w:eastAsia="宋体" w:cs="宋体"/>
          <w:i w:val="0"/>
          <w:iCs w:val="0"/>
          <w:caps w:val="0"/>
          <w:color w:val="000000"/>
          <w:spacing w:val="0"/>
          <w:sz w:val="28"/>
          <w:szCs w:val="28"/>
          <w:u w:val="single"/>
          <w:shd w:val="clear" w:fill="FFFFFF"/>
        </w:rPr>
        <w:t>为促进优质教育资源开放共享和课程教学模式改革，探索校本在线开放课程建设模式和混合式教学模式，我校持续开展在线开放课程建设，精心打造具有校本特色的高质量课程。</w:t>
      </w:r>
    </w:p>
    <w:p>
      <w:pPr>
        <w:pStyle w:val="2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default" w:ascii="Times New Roman" w:hAnsi="Times New Roman" w:cs="Times New Roman"/>
          <w:i w:val="0"/>
          <w:iCs w:val="0"/>
          <w:caps w:val="0"/>
          <w:color w:val="000000"/>
          <w:spacing w:val="0"/>
          <w:sz w:val="21"/>
          <w:szCs w:val="21"/>
        </w:rPr>
      </w:pPr>
      <w:r>
        <w:rPr>
          <w:rFonts w:hint="eastAsia" w:ascii="宋体" w:hAnsi="宋体" w:eastAsia="宋体" w:cs="宋体"/>
          <w:i w:val="0"/>
          <w:iCs w:val="0"/>
          <w:caps w:val="0"/>
          <w:color w:val="000000"/>
          <w:spacing w:val="0"/>
          <w:sz w:val="28"/>
          <w:szCs w:val="28"/>
          <w:shd w:val="clear" w:fill="FFFFFF"/>
        </w:rPr>
        <w:t>课程制作服务的要求：</w:t>
      </w:r>
    </w:p>
    <w:p>
      <w:pPr>
        <w:pStyle w:val="2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default" w:ascii="Times New Roman" w:hAnsi="Times New Roman" w:eastAsia="宋体" w:cs="Times New Roman"/>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8"/>
          <w:szCs w:val="28"/>
          <w:u w:val="single"/>
          <w:shd w:val="clear" w:fill="FFFFFF"/>
        </w:rPr>
        <w:t>在合同签订后6个月内完成在线开放课程拍摄、制作工作，并配合学校上线</w:t>
      </w:r>
      <w:r>
        <w:rPr>
          <w:rFonts w:hint="eastAsia" w:ascii="宋体" w:hAnsi="宋体" w:cs="宋体"/>
          <w:i w:val="0"/>
          <w:iCs w:val="0"/>
          <w:caps w:val="0"/>
          <w:color w:val="000000"/>
          <w:spacing w:val="0"/>
          <w:sz w:val="28"/>
          <w:szCs w:val="28"/>
          <w:u w:val="single"/>
          <w:shd w:val="clear" w:fill="FFFFFF"/>
          <w:lang w:val="en-US" w:eastAsia="zh-CN"/>
        </w:rPr>
        <w:t>有国家评审资质的平台以及用户要求的平台。</w:t>
      </w:r>
    </w:p>
    <w:p>
      <w:pPr>
        <w:spacing w:line="560" w:lineRule="exact"/>
        <w:ind w:firstLine="560" w:firstLineChars="200"/>
        <w:rPr>
          <w:rFonts w:ascii="宋体" w:hAnsi="宋体"/>
          <w:color w:val="FF0000"/>
          <w:sz w:val="28"/>
          <w:szCs w:val="28"/>
        </w:rPr>
      </w:pPr>
      <w:r>
        <w:rPr>
          <w:rFonts w:hint="eastAsia" w:ascii="宋体" w:hAnsi="宋体"/>
          <w:color w:val="FF0000"/>
          <w:sz w:val="28"/>
          <w:szCs w:val="28"/>
        </w:rPr>
        <w:t xml:space="preserve">本项目采购预算控制价 </w:t>
      </w:r>
      <w:r>
        <w:rPr>
          <w:rFonts w:hint="eastAsia" w:ascii="宋体" w:hAnsi="宋体"/>
          <w:color w:val="FF0000"/>
          <w:sz w:val="28"/>
          <w:szCs w:val="28"/>
          <w:lang w:val="en-US" w:eastAsia="zh-CN"/>
        </w:rPr>
        <w:t>9.95</w:t>
      </w:r>
      <w:r>
        <w:rPr>
          <w:rFonts w:hint="eastAsia" w:ascii="宋体" w:hAnsi="宋体"/>
          <w:color w:val="FF0000"/>
          <w:sz w:val="28"/>
          <w:szCs w:val="28"/>
        </w:rPr>
        <w:t xml:space="preserve"> 万元，</w:t>
      </w:r>
      <w:r>
        <w:rPr>
          <w:rFonts w:ascii="宋体" w:hAnsi="宋体"/>
          <w:color w:val="FF0000"/>
          <w:sz w:val="28"/>
          <w:szCs w:val="28"/>
        </w:rPr>
        <w:t>资金已到位。</w:t>
      </w:r>
    </w:p>
    <w:p>
      <w:pPr>
        <w:pStyle w:val="3"/>
        <w:spacing w:line="560" w:lineRule="exact"/>
      </w:pPr>
      <w:bookmarkStart w:id="7" w:name="_Toc508103352"/>
      <w:bookmarkStart w:id="8" w:name="_Toc28829"/>
      <w:bookmarkStart w:id="9" w:name="_Toc60236699"/>
      <w:r>
        <w:rPr>
          <w:rFonts w:hint="eastAsia"/>
        </w:rPr>
        <w:t>二、相关说明</w:t>
      </w:r>
      <w:bookmarkEnd w:id="7"/>
      <w:bookmarkEnd w:id="8"/>
      <w:bookmarkEnd w:id="9"/>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本采购</w:t>
      </w:r>
      <w:r>
        <w:rPr>
          <w:rFonts w:hint="eastAsia" w:ascii="宋体" w:hAnsi="宋体"/>
          <w:sz w:val="28"/>
          <w:szCs w:val="28"/>
        </w:rPr>
        <w:t>书</w:t>
      </w:r>
      <w:r>
        <w:rPr>
          <w:rFonts w:ascii="宋体" w:hAnsi="宋体"/>
          <w:sz w:val="28"/>
          <w:szCs w:val="28"/>
        </w:rPr>
        <w:t>仅适用于</w:t>
      </w:r>
      <w:r>
        <w:rPr>
          <w:rFonts w:hint="eastAsia" w:ascii="宋体" w:hAnsi="宋体"/>
          <w:sz w:val="28"/>
          <w:szCs w:val="28"/>
        </w:rPr>
        <w:t>采购职能部门组织的校内分散</w:t>
      </w:r>
      <w:r>
        <w:rPr>
          <w:rFonts w:ascii="宋体" w:hAnsi="宋体"/>
          <w:sz w:val="28"/>
          <w:szCs w:val="28"/>
        </w:rPr>
        <w:t>采购活动。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凡符合资</w:t>
      </w:r>
      <w:r>
        <w:rPr>
          <w:rFonts w:hint="eastAsia" w:ascii="宋体" w:hAnsi="宋体"/>
          <w:sz w:val="28"/>
          <w:szCs w:val="28"/>
        </w:rPr>
        <w:t>格</w:t>
      </w:r>
      <w:r>
        <w:rPr>
          <w:rFonts w:ascii="宋体" w:hAnsi="宋体"/>
          <w:sz w:val="28"/>
          <w:szCs w:val="28"/>
        </w:rPr>
        <w:t>要求的</w:t>
      </w:r>
      <w:r>
        <w:rPr>
          <w:rFonts w:hint="eastAsia" w:ascii="宋体" w:hAnsi="宋体"/>
          <w:sz w:val="28"/>
          <w:szCs w:val="28"/>
        </w:rPr>
        <w:t>报价人</w:t>
      </w:r>
      <w:r>
        <w:rPr>
          <w:rFonts w:ascii="宋体" w:hAnsi="宋体"/>
          <w:sz w:val="28"/>
          <w:szCs w:val="28"/>
        </w:rPr>
        <w:t>均可参</w:t>
      </w:r>
      <w:r>
        <w:rPr>
          <w:rFonts w:hint="eastAsia" w:ascii="宋体" w:hAnsi="宋体"/>
          <w:sz w:val="28"/>
          <w:szCs w:val="28"/>
        </w:rPr>
        <w:t>加</w:t>
      </w:r>
      <w:r>
        <w:rPr>
          <w:rFonts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无论结果如何，参加</w:t>
      </w:r>
      <w:r>
        <w:rPr>
          <w:rFonts w:hint="eastAsia" w:ascii="宋体" w:hAnsi="宋体"/>
          <w:sz w:val="28"/>
          <w:szCs w:val="28"/>
        </w:rPr>
        <w:t>的报价供应商</w:t>
      </w:r>
      <w:r>
        <w:rPr>
          <w:rFonts w:ascii="宋体" w:hAnsi="宋体"/>
          <w:sz w:val="28"/>
          <w:szCs w:val="28"/>
        </w:rPr>
        <w:t>自行承担因此所产生的全部费用。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本次采购活动及由本次采购活动产生的合同受国家法律制约和保护。</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pPr>
        <w:spacing w:line="560" w:lineRule="exact"/>
        <w:ind w:firstLine="560" w:firstLineChars="200"/>
        <w:rPr>
          <w:rFonts w:ascii="宋体" w:hAnsi="宋体"/>
          <w:sz w:val="28"/>
          <w:szCs w:val="28"/>
        </w:rPr>
      </w:pPr>
      <w:r>
        <w:rPr>
          <w:rFonts w:hint="eastAsia" w:ascii="宋体" w:hAnsi="宋体"/>
          <w:sz w:val="28"/>
          <w:szCs w:val="28"/>
        </w:rPr>
        <w:t>（六）本项目不接受联合体报价和自然人报价，</w:t>
      </w:r>
      <w:r>
        <w:rPr>
          <w:rFonts w:ascii="宋体" w:hAnsi="宋体"/>
          <w:sz w:val="28"/>
          <w:szCs w:val="28"/>
        </w:rPr>
        <w:t>不得</w:t>
      </w:r>
      <w:r>
        <w:rPr>
          <w:rFonts w:hint="eastAsia" w:ascii="宋体" w:hAnsi="宋体"/>
          <w:sz w:val="28"/>
          <w:szCs w:val="28"/>
        </w:rPr>
        <w:t>分包、</w:t>
      </w:r>
      <w:r>
        <w:rPr>
          <w:rFonts w:ascii="宋体" w:hAnsi="宋体"/>
          <w:sz w:val="28"/>
          <w:szCs w:val="28"/>
        </w:rPr>
        <w:t>转包</w:t>
      </w:r>
      <w:r>
        <w:rPr>
          <w:rFonts w:hint="eastAsia" w:ascii="宋体" w:hAnsi="宋体"/>
          <w:sz w:val="28"/>
          <w:szCs w:val="28"/>
        </w:rPr>
        <w:t>。</w:t>
      </w:r>
    </w:p>
    <w:p>
      <w:pPr>
        <w:pStyle w:val="3"/>
        <w:spacing w:line="560" w:lineRule="exact"/>
      </w:pPr>
      <w:bookmarkStart w:id="10" w:name="_Toc60236700"/>
      <w:bookmarkStart w:id="11" w:name="_Toc11839"/>
      <w:bookmarkStart w:id="12" w:name="_Toc508103353"/>
      <w:r>
        <w:rPr>
          <w:rFonts w:hint="eastAsia"/>
        </w:rPr>
        <w:t>三、报价人</w:t>
      </w:r>
      <w:r>
        <w:t>资格</w:t>
      </w:r>
      <w:bookmarkEnd w:id="10"/>
      <w:bookmarkEnd w:id="11"/>
      <w:bookmarkEnd w:id="12"/>
    </w:p>
    <w:p>
      <w:pPr>
        <w:spacing w:line="560" w:lineRule="exact"/>
        <w:ind w:firstLine="560" w:firstLineChars="200"/>
        <w:rPr>
          <w:rFonts w:ascii="宋体" w:hAnsi="宋体"/>
          <w:sz w:val="28"/>
          <w:szCs w:val="28"/>
        </w:rPr>
      </w:pPr>
      <w:r>
        <w:rPr>
          <w:rFonts w:hint="eastAsia" w:ascii="宋体" w:hAnsi="宋体"/>
          <w:sz w:val="28"/>
          <w:szCs w:val="28"/>
        </w:rPr>
        <w:t>参加采购活动的报价人须具备以下条件：</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pPr>
        <w:spacing w:line="560" w:lineRule="exact"/>
        <w:ind w:firstLine="560" w:firstLineChars="200"/>
        <w:rPr>
          <w:rFonts w:ascii="宋体" w:hAnsi="宋体"/>
          <w:sz w:val="28"/>
          <w:szCs w:val="28"/>
        </w:rPr>
      </w:pPr>
      <w:r>
        <w:rPr>
          <w:rFonts w:hint="eastAsia" w:ascii="宋体" w:hAnsi="宋体"/>
          <w:sz w:val="28"/>
          <w:szCs w:val="28"/>
        </w:rPr>
        <w:t>（</w:t>
      </w:r>
      <w:r>
        <w:rPr>
          <w:rFonts w:hint="eastAsia" w:ascii="宋体" w:hAnsi="宋体"/>
          <w:sz w:val="28"/>
          <w:szCs w:val="28"/>
          <w:lang w:val="en-US" w:eastAsia="zh-CN"/>
        </w:rPr>
        <w:t>二</w:t>
      </w: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pPr>
        <w:pStyle w:val="3"/>
        <w:spacing w:line="560" w:lineRule="exact"/>
      </w:pPr>
      <w:bookmarkStart w:id="13" w:name="_Toc508103354"/>
      <w:bookmarkStart w:id="14" w:name="_Toc60236701"/>
      <w:bookmarkStart w:id="15" w:name="_Toc20873"/>
      <w:r>
        <w:rPr>
          <w:rFonts w:hint="eastAsia"/>
        </w:rPr>
        <w:t>四、</w:t>
      </w:r>
      <w:r>
        <w:t>报价要求</w:t>
      </w:r>
      <w:bookmarkEnd w:id="13"/>
      <w:bookmarkEnd w:id="14"/>
      <w:bookmarkEnd w:id="15"/>
    </w:p>
    <w:p>
      <w:pPr>
        <w:spacing w:line="560" w:lineRule="exact"/>
        <w:ind w:firstLine="560" w:firstLineChars="200"/>
        <w:rPr>
          <w:rFonts w:ascii="宋体" w:hAnsi="宋体"/>
          <w:sz w:val="28"/>
          <w:szCs w:val="28"/>
        </w:rPr>
      </w:pPr>
      <w:r>
        <w:rPr>
          <w:rFonts w:hint="eastAsia" w:ascii="宋体" w:hAnsi="宋体"/>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sz w:val="28"/>
          <w:szCs w:val="28"/>
        </w:rPr>
        <w:t>安装调试、系统集成、培训、售后服务等其他有关的所有费用</w:t>
      </w:r>
      <w:r>
        <w:rPr>
          <w:rFonts w:hint="eastAsia" w:ascii="宋体" w:hAnsi="宋体"/>
          <w:sz w:val="28"/>
          <w:szCs w:val="28"/>
        </w:rPr>
        <w:t>，包括但不限于人工、材料、机械、管理、维护、保险、利润、税金、政策性文件规定及合同包含的所有风险、责任等各项应有费用</w:t>
      </w:r>
      <w:r>
        <w:rPr>
          <w:rFonts w:ascii="宋体" w:hAnsi="宋体"/>
          <w:sz w:val="28"/>
          <w:szCs w:val="28"/>
        </w:rPr>
        <w:t>。</w:t>
      </w:r>
      <w:r>
        <w:rPr>
          <w:rFonts w:hint="eastAsia" w:ascii="宋体" w:hAnsi="宋体"/>
          <w:sz w:val="28"/>
          <w:szCs w:val="28"/>
        </w:rPr>
        <w:t>经评审确认的报价</w:t>
      </w:r>
      <w:r>
        <w:rPr>
          <w:rFonts w:ascii="宋体" w:hAnsi="宋体"/>
          <w:sz w:val="28"/>
          <w:szCs w:val="28"/>
        </w:rPr>
        <w:t>除非因特殊原因并经双方协商同意，</w:t>
      </w:r>
      <w:r>
        <w:rPr>
          <w:rFonts w:hint="eastAsia" w:ascii="宋体" w:hAnsi="宋体"/>
          <w:sz w:val="28"/>
          <w:szCs w:val="28"/>
        </w:rPr>
        <w:t>报价人</w:t>
      </w:r>
      <w:r>
        <w:rPr>
          <w:rFonts w:ascii="宋体" w:hAnsi="宋体"/>
          <w:sz w:val="28"/>
          <w:szCs w:val="28"/>
        </w:rPr>
        <w:t>不得再要求追加任何费用。</w:t>
      </w:r>
    </w:p>
    <w:p>
      <w:pPr>
        <w:spacing w:line="560" w:lineRule="exact"/>
        <w:ind w:firstLine="560" w:firstLineChars="200"/>
        <w:rPr>
          <w:rFonts w:ascii="宋体" w:hAnsi="宋体"/>
          <w:sz w:val="28"/>
          <w:szCs w:val="28"/>
        </w:rPr>
      </w:pPr>
      <w:r>
        <w:rPr>
          <w:rFonts w:hint="eastAsia" w:ascii="宋体" w:hAnsi="宋体"/>
          <w:sz w:val="28"/>
          <w:szCs w:val="28"/>
        </w:rPr>
        <w:t>提醒：</w:t>
      </w:r>
      <w:r>
        <w:rPr>
          <w:rFonts w:ascii="宋体" w:hAnsi="宋体"/>
          <w:sz w:val="28"/>
          <w:szCs w:val="28"/>
        </w:rPr>
        <w:t>报价为采购清单总价。</w:t>
      </w:r>
      <w:r>
        <w:rPr>
          <w:rFonts w:hint="eastAsia" w:ascii="宋体" w:hAnsi="宋体"/>
          <w:sz w:val="28"/>
          <w:szCs w:val="28"/>
        </w:rPr>
        <w:t>报价文件中只能提供唯一明确报价。</w:t>
      </w:r>
    </w:p>
    <w:p>
      <w:pPr>
        <w:pStyle w:val="3"/>
        <w:spacing w:line="560" w:lineRule="exact"/>
      </w:pPr>
      <w:bookmarkStart w:id="16" w:name="_Toc18253"/>
      <w:bookmarkStart w:id="17" w:name="_Toc508103355"/>
      <w:bookmarkStart w:id="18" w:name="_Toc60236702"/>
      <w:r>
        <w:rPr>
          <w:rFonts w:hint="eastAsia"/>
        </w:rPr>
        <w:t>五、报价</w:t>
      </w:r>
      <w:r>
        <w:t>文件</w:t>
      </w:r>
      <w:r>
        <w:rPr>
          <w:rFonts w:hint="eastAsia"/>
        </w:rPr>
        <w:t>要求</w:t>
      </w:r>
      <w:bookmarkEnd w:id="16"/>
      <w:bookmarkEnd w:id="17"/>
      <w:bookmarkEnd w:id="18"/>
    </w:p>
    <w:p>
      <w:pPr>
        <w:spacing w:line="560" w:lineRule="exact"/>
        <w:ind w:firstLine="560" w:firstLineChars="200"/>
        <w:rPr>
          <w:rFonts w:ascii="宋体" w:hAnsi="宋体"/>
          <w:sz w:val="28"/>
          <w:szCs w:val="28"/>
        </w:rPr>
      </w:pPr>
      <w:r>
        <w:rPr>
          <w:rFonts w:hint="eastAsia" w:ascii="宋体" w:hAnsi="宋体"/>
          <w:sz w:val="28"/>
          <w:szCs w:val="28"/>
        </w:rPr>
        <w:t>报价人应按照下列内容及顺序编写、装订报价文件。</w:t>
      </w:r>
      <w:r>
        <w:rPr>
          <w:rFonts w:hint="eastAsia" w:ascii="宋体" w:hAnsi="宋体"/>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hint="eastAsia" w:ascii="宋体" w:hAnsi="宋体"/>
          <w:b/>
          <w:sz w:val="28"/>
          <w:szCs w:val="28"/>
        </w:rPr>
        <w:t>报价人单位公章方为</w:t>
      </w:r>
      <w:r>
        <w:rPr>
          <w:rFonts w:ascii="宋体" w:hAnsi="宋体"/>
          <w:b/>
          <w:sz w:val="28"/>
          <w:szCs w:val="28"/>
        </w:rPr>
        <w:t>有效</w:t>
      </w:r>
      <w:r>
        <w:rPr>
          <w:rFonts w:hint="eastAsia"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一）报价文件的构成、顺序及要求</w:t>
      </w:r>
    </w:p>
    <w:p>
      <w:pPr>
        <w:spacing w:line="560" w:lineRule="exact"/>
        <w:ind w:firstLine="560" w:firstLineChars="200"/>
        <w:rPr>
          <w:rFonts w:ascii="宋体" w:hAnsi="宋体"/>
          <w:sz w:val="28"/>
          <w:szCs w:val="28"/>
        </w:rPr>
      </w:pPr>
      <w:r>
        <w:rPr>
          <w:rFonts w:hint="eastAsia" w:ascii="宋体" w:hAnsi="宋体"/>
          <w:sz w:val="28"/>
          <w:szCs w:val="28"/>
        </w:rPr>
        <w:t>1.报价文件封面；</w:t>
      </w:r>
    </w:p>
    <w:p>
      <w:pPr>
        <w:spacing w:line="560" w:lineRule="exact"/>
        <w:ind w:firstLine="560" w:firstLineChars="200"/>
        <w:rPr>
          <w:rFonts w:ascii="宋体" w:hAnsi="宋体"/>
          <w:sz w:val="28"/>
          <w:szCs w:val="28"/>
        </w:rPr>
      </w:pPr>
      <w:r>
        <w:rPr>
          <w:rFonts w:hint="eastAsia" w:ascii="宋体" w:hAnsi="宋体"/>
          <w:sz w:val="28"/>
          <w:szCs w:val="28"/>
        </w:rPr>
        <w:t>2.目录；</w:t>
      </w:r>
    </w:p>
    <w:p>
      <w:pPr>
        <w:spacing w:line="560" w:lineRule="exact"/>
        <w:ind w:firstLine="562" w:firstLineChars="200"/>
        <w:rPr>
          <w:rFonts w:ascii="宋体" w:hAnsi="宋体"/>
          <w:b/>
          <w:bCs/>
          <w:sz w:val="28"/>
          <w:szCs w:val="28"/>
        </w:rPr>
      </w:pPr>
      <w:r>
        <w:rPr>
          <w:rFonts w:hint="eastAsia" w:ascii="宋体" w:hAnsi="宋体"/>
          <w:b/>
          <w:bCs/>
          <w:sz w:val="28"/>
          <w:szCs w:val="28"/>
        </w:rPr>
        <w:t>3.资格性审查材料，包括但不限于：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（1）营业执照（或事业法人登记证等相关证明）副本复印件；</w:t>
      </w:r>
    </w:p>
    <w:p>
      <w:pPr>
        <w:spacing w:line="560" w:lineRule="exact"/>
        <w:ind w:firstLine="560" w:firstLineChars="200"/>
        <w:rPr>
          <w:rFonts w:ascii="宋体" w:hAnsi="宋体"/>
          <w:sz w:val="28"/>
          <w:szCs w:val="28"/>
        </w:rPr>
      </w:pPr>
      <w:r>
        <w:rPr>
          <w:rFonts w:hint="eastAsia" w:ascii="宋体" w:hAnsi="宋体"/>
          <w:sz w:val="28"/>
          <w:szCs w:val="28"/>
        </w:rPr>
        <w:t>（2）相关资质证书或许可证书等复印件；</w:t>
      </w:r>
    </w:p>
    <w:p>
      <w:pPr>
        <w:spacing w:line="560" w:lineRule="exact"/>
        <w:ind w:firstLine="562" w:firstLineChars="200"/>
        <w:rPr>
          <w:rFonts w:ascii="宋体" w:hAnsi="宋体"/>
          <w:b/>
          <w:sz w:val="28"/>
          <w:szCs w:val="28"/>
        </w:rPr>
      </w:pPr>
      <w:r>
        <w:rPr>
          <w:rFonts w:hint="eastAsia" w:ascii="宋体" w:hAnsi="宋体"/>
          <w:b/>
          <w:sz w:val="28"/>
          <w:szCs w:val="28"/>
        </w:rPr>
        <w:t>4.符合性审查材料，包括但不限于：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（1）提供法人或负责人资格证明、授权委托书；</w:t>
      </w:r>
    </w:p>
    <w:p>
      <w:pPr>
        <w:spacing w:line="560" w:lineRule="exact"/>
        <w:ind w:firstLine="560" w:firstLineChars="200"/>
        <w:rPr>
          <w:rFonts w:ascii="宋体" w:hAnsi="宋体"/>
          <w:b/>
          <w:sz w:val="28"/>
          <w:szCs w:val="28"/>
        </w:rPr>
      </w:pPr>
      <w:r>
        <w:rPr>
          <w:rFonts w:hint="eastAsia" w:ascii="宋体" w:hAnsi="宋体"/>
          <w:sz w:val="28"/>
          <w:szCs w:val="28"/>
        </w:rPr>
        <w:t>（2）报价一览表；</w:t>
      </w:r>
    </w:p>
    <w:p>
      <w:pPr>
        <w:spacing w:line="560" w:lineRule="exact"/>
        <w:ind w:firstLine="560" w:firstLineChars="200"/>
        <w:rPr>
          <w:rFonts w:ascii="宋体" w:hAnsi="宋体"/>
          <w:sz w:val="28"/>
          <w:szCs w:val="28"/>
        </w:rPr>
      </w:pPr>
      <w:r>
        <w:rPr>
          <w:rFonts w:hint="eastAsia" w:ascii="宋体" w:hAnsi="宋体"/>
          <w:sz w:val="28"/>
          <w:szCs w:val="28"/>
        </w:rPr>
        <w:t>（3）报价明细表；</w:t>
      </w:r>
    </w:p>
    <w:p>
      <w:pPr>
        <w:spacing w:line="560" w:lineRule="exact"/>
        <w:ind w:firstLine="560" w:firstLineChars="200"/>
        <w:rPr>
          <w:rFonts w:ascii="宋体" w:hAnsi="宋体"/>
          <w:sz w:val="28"/>
          <w:szCs w:val="28"/>
        </w:rPr>
      </w:pPr>
      <w:r>
        <w:rPr>
          <w:rFonts w:hint="eastAsia" w:ascii="宋体" w:hAnsi="宋体"/>
          <w:sz w:val="28"/>
          <w:szCs w:val="28"/>
        </w:rPr>
        <w:t>（4）“技术（服务）条款响应表”和“商务条款响应表”；</w:t>
      </w:r>
    </w:p>
    <w:p>
      <w:pPr>
        <w:spacing w:line="560" w:lineRule="exact"/>
        <w:ind w:firstLine="560" w:firstLineChars="200"/>
        <w:rPr>
          <w:rFonts w:ascii="宋体" w:hAnsi="宋体"/>
          <w:sz w:val="28"/>
          <w:szCs w:val="28"/>
        </w:rPr>
      </w:pPr>
      <w:r>
        <w:rPr>
          <w:rFonts w:hint="eastAsia" w:ascii="宋体" w:hAnsi="宋体"/>
          <w:sz w:val="28"/>
          <w:szCs w:val="28"/>
        </w:rPr>
        <w:t>（5）报价人声明及承诺；</w:t>
      </w:r>
    </w:p>
    <w:p>
      <w:pPr>
        <w:spacing w:line="560" w:lineRule="exact"/>
        <w:ind w:firstLine="560" w:firstLineChars="200"/>
        <w:rPr>
          <w:rFonts w:ascii="宋体" w:hAnsi="宋体"/>
          <w:sz w:val="28"/>
          <w:szCs w:val="28"/>
        </w:rPr>
      </w:pPr>
      <w:r>
        <w:rPr>
          <w:rFonts w:hint="eastAsia" w:ascii="宋体" w:hAnsi="宋体"/>
          <w:sz w:val="28"/>
          <w:szCs w:val="28"/>
        </w:rPr>
        <w:t>5.证明材料等；</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二）报价文件</w:t>
      </w:r>
      <w:r>
        <w:rPr>
          <w:rFonts w:ascii="宋体" w:hAnsi="宋体"/>
          <w:sz w:val="28"/>
          <w:szCs w:val="28"/>
        </w:rPr>
        <w:t>的份数、签署和封装</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.报价人必须制作报价文件。报价文件</w:t>
      </w:r>
      <w:r>
        <w:rPr>
          <w:rFonts w:ascii="宋体" w:hAnsi="宋体"/>
          <w:sz w:val="28"/>
          <w:szCs w:val="28"/>
        </w:rPr>
        <w:t>份数为正本1份，副本</w:t>
      </w:r>
      <w:r>
        <w:rPr>
          <w:rFonts w:hint="eastAsia" w:ascii="宋体" w:hAnsi="宋体"/>
          <w:sz w:val="28"/>
          <w:szCs w:val="28"/>
        </w:rPr>
        <w:t>2</w:t>
      </w:r>
      <w:r>
        <w:rPr>
          <w:rFonts w:ascii="宋体" w:hAnsi="宋体"/>
          <w:sz w:val="28"/>
          <w:szCs w:val="28"/>
        </w:rPr>
        <w:t>份。</w:t>
      </w:r>
      <w:r>
        <w:rPr>
          <w:rFonts w:hint="eastAsia" w:ascii="宋体" w:hAnsi="宋体"/>
          <w:sz w:val="28"/>
          <w:szCs w:val="28"/>
        </w:rPr>
        <w:t>报价文件应当</w:t>
      </w:r>
      <w:r>
        <w:rPr>
          <w:rFonts w:ascii="宋体" w:hAnsi="宋体"/>
          <w:sz w:val="28"/>
          <w:szCs w:val="28"/>
        </w:rPr>
        <w:t>清楚地标明“正本”</w:t>
      </w:r>
      <w:r>
        <w:rPr>
          <w:rFonts w:hint="eastAsia" w:ascii="宋体" w:hAnsi="宋体"/>
          <w:sz w:val="28"/>
          <w:szCs w:val="28"/>
        </w:rPr>
        <w:t>和</w:t>
      </w:r>
      <w:r>
        <w:rPr>
          <w:rFonts w:ascii="宋体" w:hAnsi="宋体"/>
          <w:sz w:val="28"/>
          <w:szCs w:val="28"/>
        </w:rPr>
        <w:t>“副本”，“副本”</w:t>
      </w:r>
      <w:r>
        <w:rPr>
          <w:rFonts w:hint="eastAsia" w:ascii="宋体" w:hAnsi="宋体"/>
          <w:sz w:val="28"/>
          <w:szCs w:val="28"/>
        </w:rPr>
        <w:t>可由</w:t>
      </w:r>
      <w:r>
        <w:rPr>
          <w:rFonts w:ascii="宋体" w:hAnsi="宋体"/>
          <w:sz w:val="28"/>
          <w:szCs w:val="28"/>
        </w:rPr>
        <w:t>“正本”</w:t>
      </w:r>
      <w:r>
        <w:rPr>
          <w:rFonts w:hint="eastAsia" w:ascii="宋体" w:hAnsi="宋体"/>
          <w:sz w:val="28"/>
          <w:szCs w:val="28"/>
        </w:rPr>
        <w:t>复印</w:t>
      </w:r>
      <w:r>
        <w:rPr>
          <w:rFonts w:ascii="宋体" w:hAnsi="宋体"/>
          <w:sz w:val="28"/>
          <w:szCs w:val="28"/>
        </w:rPr>
        <w:t>，</w:t>
      </w:r>
      <w:r>
        <w:rPr>
          <w:rFonts w:hint="eastAsia" w:ascii="宋体" w:hAnsi="宋体"/>
          <w:sz w:val="28"/>
          <w:szCs w:val="28"/>
        </w:rPr>
        <w:t>当</w:t>
      </w:r>
      <w:r>
        <w:rPr>
          <w:rFonts w:ascii="宋体" w:hAnsi="宋体"/>
          <w:sz w:val="28"/>
          <w:szCs w:val="28"/>
        </w:rPr>
        <w:t>“副本”</w:t>
      </w:r>
      <w:r>
        <w:rPr>
          <w:rFonts w:hint="eastAsia" w:ascii="宋体" w:hAnsi="宋体"/>
          <w:sz w:val="28"/>
          <w:szCs w:val="28"/>
        </w:rPr>
        <w:t>和</w:t>
      </w:r>
      <w:r>
        <w:rPr>
          <w:rFonts w:ascii="宋体" w:hAnsi="宋体"/>
          <w:sz w:val="28"/>
          <w:szCs w:val="28"/>
        </w:rPr>
        <w:t>“正本”内容</w:t>
      </w:r>
      <w:r>
        <w:rPr>
          <w:rFonts w:hint="eastAsia" w:ascii="宋体" w:hAnsi="宋体"/>
          <w:sz w:val="28"/>
          <w:szCs w:val="28"/>
        </w:rPr>
        <w:t>不</w:t>
      </w:r>
      <w:r>
        <w:rPr>
          <w:rFonts w:ascii="宋体" w:hAnsi="宋体"/>
          <w:sz w:val="28"/>
          <w:szCs w:val="28"/>
        </w:rPr>
        <w:t>一致</w:t>
      </w:r>
      <w:r>
        <w:rPr>
          <w:rFonts w:hint="eastAsia" w:ascii="宋体" w:hAnsi="宋体"/>
          <w:sz w:val="28"/>
          <w:szCs w:val="28"/>
        </w:rPr>
        <w:t>时，</w:t>
      </w:r>
      <w:r>
        <w:rPr>
          <w:rFonts w:ascii="宋体" w:hAnsi="宋体"/>
          <w:sz w:val="28"/>
          <w:szCs w:val="28"/>
        </w:rPr>
        <w:t>以正本为准</w:t>
      </w:r>
      <w:r>
        <w:rPr>
          <w:rFonts w:hint="eastAsia" w:ascii="宋体" w:hAnsi="宋体"/>
          <w:sz w:val="28"/>
          <w:szCs w:val="28"/>
        </w:rPr>
        <w:t>。报价文件</w:t>
      </w:r>
      <w:r>
        <w:rPr>
          <w:rFonts w:ascii="宋体" w:hAnsi="宋体"/>
          <w:sz w:val="28"/>
          <w:szCs w:val="28"/>
        </w:rPr>
        <w:t>的“正本”</w:t>
      </w:r>
      <w:r>
        <w:rPr>
          <w:rFonts w:hint="eastAsia" w:ascii="宋体" w:hAnsi="宋体"/>
          <w:sz w:val="28"/>
          <w:szCs w:val="28"/>
        </w:rPr>
        <w:t>和</w:t>
      </w:r>
      <w:r>
        <w:rPr>
          <w:rFonts w:ascii="宋体" w:hAnsi="宋体"/>
          <w:sz w:val="28"/>
          <w:szCs w:val="28"/>
        </w:rPr>
        <w:t>所有“副本”</w:t>
      </w:r>
      <w:r>
        <w:rPr>
          <w:rFonts w:ascii="宋体" w:hAnsi="宋体"/>
          <w:b/>
          <w:sz w:val="28"/>
          <w:szCs w:val="28"/>
        </w:rPr>
        <w:t>一并装入</w:t>
      </w:r>
      <w:r>
        <w:rPr>
          <w:rFonts w:hint="eastAsia" w:ascii="宋体" w:hAnsi="宋体"/>
          <w:b/>
          <w:sz w:val="28"/>
          <w:szCs w:val="28"/>
        </w:rPr>
        <w:t>同一</w:t>
      </w:r>
      <w:r>
        <w:rPr>
          <w:rFonts w:ascii="宋体" w:hAnsi="宋体"/>
          <w:b/>
          <w:sz w:val="28"/>
          <w:szCs w:val="28"/>
        </w:rPr>
        <w:t>密封袋（</w:t>
      </w:r>
      <w:r>
        <w:rPr>
          <w:rFonts w:hint="eastAsia" w:ascii="宋体" w:hAnsi="宋体"/>
          <w:b/>
          <w:sz w:val="28"/>
          <w:szCs w:val="28"/>
        </w:rPr>
        <w:t>不要分开密封）</w:t>
      </w:r>
      <w:r>
        <w:rPr>
          <w:rFonts w:hint="eastAsia" w:ascii="宋体" w:hAnsi="宋体"/>
          <w:sz w:val="28"/>
          <w:szCs w:val="28"/>
        </w:rPr>
        <w:t>。将密封袋密封后</w:t>
      </w:r>
      <w:r>
        <w:rPr>
          <w:rFonts w:ascii="宋体" w:hAnsi="宋体"/>
          <w:sz w:val="28"/>
          <w:szCs w:val="28"/>
        </w:rPr>
        <w:t>加盖与</w:t>
      </w:r>
      <w:r>
        <w:rPr>
          <w:rFonts w:hint="eastAsia" w:ascii="宋体" w:hAnsi="宋体"/>
          <w:sz w:val="28"/>
          <w:szCs w:val="28"/>
        </w:rPr>
        <w:t>报价人单位</w:t>
      </w:r>
      <w:r>
        <w:rPr>
          <w:rFonts w:ascii="宋体" w:hAnsi="宋体"/>
          <w:sz w:val="28"/>
          <w:szCs w:val="28"/>
        </w:rPr>
        <w:t>一致的有效印章。</w:t>
      </w:r>
      <w:r>
        <w:rPr>
          <w:rFonts w:hint="eastAsia" w:ascii="宋体" w:hAnsi="宋体"/>
          <w:sz w:val="28"/>
          <w:szCs w:val="28"/>
        </w:rPr>
        <w:t>报价文件以电子形式提交，应当加密。报价文件应规定时间内由评审小组现场拆封。评审小组需确认报价文件的密封性并作记录。</w:t>
      </w:r>
    </w:p>
    <w:p>
      <w:pPr>
        <w:spacing w:line="560" w:lineRule="exact"/>
        <w:ind w:firstLine="560" w:firstLineChars="200"/>
        <w:rPr>
          <w:rFonts w:ascii="宋体" w:hAnsi="宋体"/>
          <w:sz w:val="28"/>
          <w:szCs w:val="28"/>
        </w:rPr>
      </w:pPr>
      <w:r>
        <w:rPr>
          <w:rFonts w:hint="eastAsia" w:ascii="宋体" w:hAnsi="宋体"/>
          <w:sz w:val="28"/>
          <w:szCs w:val="28"/>
        </w:rPr>
        <w:t>2.报价文件一经送达，无论报价人是否推荐成交，其报价文件不予退还。</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三）报价</w:t>
      </w:r>
      <w:r>
        <w:rPr>
          <w:rFonts w:ascii="宋体" w:hAnsi="宋体"/>
          <w:sz w:val="28"/>
          <w:szCs w:val="28"/>
        </w:rPr>
        <w:t>响应和偏差</w:t>
      </w:r>
    </w:p>
    <w:p>
      <w:pPr>
        <w:spacing w:line="560" w:lineRule="exact"/>
        <w:ind w:firstLine="560" w:firstLineChars="200"/>
        <w:rPr>
          <w:rFonts w:ascii="宋体" w:hAnsi="宋体"/>
          <w:sz w:val="28"/>
          <w:szCs w:val="28"/>
        </w:rPr>
      </w:pPr>
      <w:r>
        <w:rPr>
          <w:rFonts w:hint="eastAsia" w:ascii="宋体" w:hAnsi="宋体"/>
          <w:sz w:val="28"/>
          <w:szCs w:val="28"/>
        </w:rPr>
        <w:t>1.报价文件</w:t>
      </w:r>
      <w:r>
        <w:rPr>
          <w:rFonts w:ascii="宋体" w:hAnsi="宋体"/>
          <w:sz w:val="28"/>
          <w:szCs w:val="28"/>
        </w:rPr>
        <w:t>应当对</w:t>
      </w:r>
      <w:r>
        <w:rPr>
          <w:rFonts w:hint="eastAsia" w:ascii="宋体" w:hAnsi="宋体"/>
          <w:sz w:val="28"/>
          <w:szCs w:val="28"/>
        </w:rPr>
        <w:t>采购书</w:t>
      </w:r>
      <w:r>
        <w:rPr>
          <w:rFonts w:ascii="宋体" w:hAnsi="宋体"/>
          <w:sz w:val="28"/>
          <w:szCs w:val="28"/>
        </w:rPr>
        <w:t>的</w:t>
      </w:r>
      <w:r>
        <w:rPr>
          <w:rFonts w:hint="eastAsia" w:ascii="宋体" w:hAnsi="宋体"/>
          <w:sz w:val="28"/>
          <w:szCs w:val="28"/>
        </w:rPr>
        <w:t>所有技术规格及性能指标、</w:t>
      </w:r>
      <w:r>
        <w:rPr>
          <w:rFonts w:ascii="宋体" w:hAnsi="宋体"/>
          <w:sz w:val="28"/>
          <w:szCs w:val="28"/>
        </w:rPr>
        <w:t>实质性要求和条件作出满足性或更有利于</w:t>
      </w:r>
      <w:r>
        <w:rPr>
          <w:rFonts w:hint="eastAsia" w:ascii="宋体" w:hAnsi="宋体"/>
          <w:sz w:val="28"/>
          <w:szCs w:val="28"/>
        </w:rPr>
        <w:t>采购单位</w:t>
      </w:r>
      <w:r>
        <w:rPr>
          <w:rFonts w:ascii="宋体" w:hAnsi="宋体"/>
          <w:sz w:val="28"/>
          <w:szCs w:val="28"/>
        </w:rPr>
        <w:t>的响应。</w:t>
      </w:r>
    </w:p>
    <w:p>
      <w:pPr>
        <w:spacing w:line="560" w:lineRule="exact"/>
        <w:ind w:firstLine="560" w:firstLineChars="200"/>
        <w:rPr>
          <w:rFonts w:ascii="宋体" w:hAnsi="宋体"/>
          <w:sz w:val="28"/>
          <w:szCs w:val="28"/>
        </w:rPr>
      </w:pPr>
      <w:r>
        <w:rPr>
          <w:rFonts w:hint="eastAsia" w:ascii="宋体" w:hAnsi="宋体"/>
          <w:sz w:val="28"/>
          <w:szCs w:val="28"/>
        </w:rPr>
        <w:t>2.采购书</w:t>
      </w:r>
      <w:r>
        <w:rPr>
          <w:rFonts w:ascii="宋体" w:hAnsi="宋体"/>
          <w:sz w:val="28"/>
          <w:szCs w:val="28"/>
        </w:rPr>
        <w:t>中</w:t>
      </w:r>
      <w:r>
        <w:rPr>
          <w:rFonts w:hint="eastAsia" w:ascii="宋体" w:hAnsi="宋体"/>
          <w:sz w:val="28"/>
          <w:szCs w:val="28"/>
        </w:rPr>
        <w:t>如果</w:t>
      </w:r>
      <w:r>
        <w:rPr>
          <w:rFonts w:ascii="宋体" w:hAnsi="宋体"/>
          <w:sz w:val="28"/>
          <w:szCs w:val="28"/>
        </w:rPr>
        <w:t>规定了可以偏差的范围和最高偏差项数的，</w:t>
      </w:r>
      <w:r>
        <w:rPr>
          <w:rFonts w:hint="eastAsia" w:ascii="宋体" w:hAnsi="宋体"/>
          <w:sz w:val="28"/>
          <w:szCs w:val="28"/>
        </w:rPr>
        <w:t>则</w:t>
      </w:r>
      <w:r>
        <w:rPr>
          <w:rFonts w:ascii="宋体" w:hAnsi="宋体"/>
          <w:sz w:val="28"/>
          <w:szCs w:val="28"/>
        </w:rPr>
        <w:t>超出偏差范围和最高偏差项数的</w:t>
      </w:r>
      <w:r>
        <w:rPr>
          <w:rFonts w:hint="eastAsia" w:ascii="宋体" w:hAnsi="宋体"/>
          <w:sz w:val="28"/>
          <w:szCs w:val="28"/>
        </w:rPr>
        <w:t>报价</w:t>
      </w:r>
      <w:r>
        <w:rPr>
          <w:rFonts w:ascii="宋体" w:hAnsi="宋体"/>
          <w:sz w:val="28"/>
          <w:szCs w:val="28"/>
        </w:rPr>
        <w:t>将被否决。</w:t>
      </w:r>
    </w:p>
    <w:p>
      <w:pPr>
        <w:spacing w:line="560" w:lineRule="exact"/>
        <w:ind w:firstLine="560" w:firstLineChars="200"/>
        <w:rPr>
          <w:rFonts w:ascii="宋体" w:hAnsi="宋体"/>
          <w:kern w:val="0"/>
          <w:sz w:val="28"/>
          <w:szCs w:val="28"/>
        </w:rPr>
      </w:pPr>
      <w:r>
        <w:rPr>
          <w:rFonts w:hint="eastAsia" w:ascii="宋体" w:hAnsi="宋体"/>
          <w:sz w:val="28"/>
          <w:szCs w:val="28"/>
        </w:rPr>
        <w:t>3.报价文件对采购书的全部偏差，均应在报价文件的</w:t>
      </w:r>
      <w:r>
        <w:rPr>
          <w:rFonts w:hint="eastAsia" w:ascii="宋体" w:hAnsi="宋体"/>
          <w:kern w:val="0"/>
          <w:sz w:val="28"/>
          <w:szCs w:val="28"/>
        </w:rPr>
        <w:t>“技术（服务）条款响应表”和“商务条款响应表”</w:t>
      </w:r>
      <w:r>
        <w:rPr>
          <w:rFonts w:hint="eastAsia" w:ascii="宋体" w:hAnsi="宋体"/>
          <w:sz w:val="28"/>
          <w:szCs w:val="28"/>
        </w:rPr>
        <w:t>中列明，除列明的内容外，视为报价人完全响应采购书的全</w:t>
      </w:r>
      <w:r>
        <w:rPr>
          <w:rFonts w:hint="eastAsia" w:ascii="宋体" w:hAnsi="宋体"/>
          <w:kern w:val="0"/>
          <w:sz w:val="28"/>
          <w:szCs w:val="28"/>
        </w:rPr>
        <w:t>部要求。报价人如不提供“技术（服务）条款响应表”和“商务条款响应表”，或仅提供空白表格，将被视为没有实质性响应采购书。</w:t>
      </w:r>
    </w:p>
    <w:p>
      <w:pPr>
        <w:spacing w:line="560" w:lineRule="exact"/>
        <w:ind w:firstLine="560" w:firstLineChars="200"/>
        <w:rPr>
          <w:rFonts w:ascii="宋体" w:hAnsi="宋体"/>
          <w:sz w:val="28"/>
          <w:szCs w:val="28"/>
        </w:rPr>
      </w:pPr>
      <w:r>
        <w:rPr>
          <w:rFonts w:hint="eastAsia" w:ascii="宋体" w:hAnsi="宋体"/>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四）报价无效情况</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.报价文件送达的时间超过规定的报价文件送达截止时间。</w:t>
      </w:r>
    </w:p>
    <w:p>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.报价文件内容不符合“资格性”、“符合性”审查要求，或不满足采购需求星号条款要求。</w:t>
      </w:r>
    </w:p>
    <w:p>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.报价超过采购预算；出现两个或多个报价。</w:t>
      </w:r>
    </w:p>
    <w:p>
      <w:pPr>
        <w:spacing w:line="560" w:lineRule="exact"/>
        <w:ind w:firstLine="560" w:firstLineChars="200"/>
        <w:rPr>
          <w:rFonts w:ascii="宋体" w:hAnsi="宋体" w:cs="宋体"/>
          <w:kern w:val="0"/>
          <w:sz w:val="28"/>
          <w:szCs w:val="28"/>
        </w:rPr>
      </w:pPr>
      <w:r>
        <w:rPr>
          <w:rFonts w:ascii="宋体" w:hAnsi="宋体"/>
          <w:sz w:val="28"/>
          <w:szCs w:val="28"/>
        </w:rPr>
        <w:t>4</w:t>
      </w:r>
      <w:r>
        <w:rPr>
          <w:rFonts w:hint="eastAsia" w:ascii="宋体" w:hAnsi="宋体"/>
          <w:sz w:val="28"/>
          <w:szCs w:val="28"/>
        </w:rPr>
        <w:t>.</w:t>
      </w:r>
      <w:r>
        <w:rPr>
          <w:rFonts w:hint="eastAsia" w:ascii="宋体" w:hAnsi="宋体" w:cs="宋体"/>
          <w:kern w:val="0"/>
          <w:sz w:val="28"/>
          <w:szCs w:val="28"/>
        </w:rPr>
        <w:t>报价文件含有采购单位不能接受的附加条件。</w:t>
      </w:r>
    </w:p>
    <w:p>
      <w:pPr>
        <w:pStyle w:val="3"/>
        <w:spacing w:line="560" w:lineRule="exact"/>
      </w:pPr>
      <w:bookmarkStart w:id="19" w:name="_Toc10890"/>
      <w:bookmarkStart w:id="20" w:name="_Toc60236703"/>
      <w:bookmarkStart w:id="21" w:name="_Toc508103356"/>
      <w:r>
        <w:rPr>
          <w:rFonts w:hint="eastAsia"/>
        </w:rPr>
        <w:t>六、评审</w:t>
      </w:r>
      <w:r>
        <w:t>方法</w:t>
      </w:r>
      <w:r>
        <w:rPr>
          <w:rFonts w:hint="eastAsia"/>
        </w:rPr>
        <w:t>及原则</w:t>
      </w:r>
      <w:bookmarkEnd w:id="19"/>
      <w:bookmarkEnd w:id="20"/>
      <w:bookmarkEnd w:id="21"/>
    </w:p>
    <w:p>
      <w:pPr>
        <w:spacing w:line="560" w:lineRule="exact"/>
        <w:ind w:firstLine="560" w:firstLineChars="200"/>
        <w:rPr>
          <w:rFonts w:ascii="宋体" w:hAnsi="宋体"/>
          <w:sz w:val="28"/>
          <w:szCs w:val="28"/>
          <w:u w:val="single"/>
        </w:rPr>
      </w:pPr>
      <w:r>
        <w:rPr>
          <w:rFonts w:hint="eastAsia" w:ascii="宋体" w:hAnsi="宋体"/>
          <w:sz w:val="28"/>
          <w:szCs w:val="28"/>
        </w:rPr>
        <w:t>本项目采用评审方法</w:t>
      </w:r>
      <w:r>
        <w:rPr>
          <w:rFonts w:hint="eastAsia" w:ascii="宋体" w:hAnsi="宋体"/>
          <w:sz w:val="28"/>
          <w:szCs w:val="28"/>
          <w:u w:val="single"/>
        </w:rPr>
        <w:t xml:space="preserve">   </w:t>
      </w:r>
      <w:r>
        <w:rPr>
          <w:rFonts w:hint="eastAsia" w:ascii="宋体" w:hAnsi="宋体"/>
          <w:sz w:val="28"/>
          <w:szCs w:val="28"/>
          <w:u w:val="single"/>
          <w:lang w:eastAsia="zh-CN"/>
        </w:rPr>
        <w:t>（</w:t>
      </w:r>
      <w:r>
        <w:rPr>
          <w:rFonts w:hint="eastAsia" w:ascii="宋体" w:hAnsi="宋体"/>
          <w:sz w:val="28"/>
          <w:szCs w:val="28"/>
          <w:u w:val="single"/>
          <w:lang w:val="en-US" w:eastAsia="zh-CN"/>
        </w:rPr>
        <w:t>二）</w:t>
      </w:r>
      <w:r>
        <w:rPr>
          <w:rFonts w:hint="eastAsia" w:ascii="宋体" w:hAnsi="宋体"/>
          <w:sz w:val="28"/>
          <w:szCs w:val="28"/>
          <w:u w:val="single"/>
        </w:rPr>
        <w:t xml:space="preserve"> 。</w:t>
      </w:r>
    </w:p>
    <w:p>
      <w:pPr>
        <w:spacing w:line="560" w:lineRule="exact"/>
        <w:ind w:firstLine="562" w:firstLineChars="200"/>
        <w:rPr>
          <w:rFonts w:ascii="宋体" w:hAnsi="宋体"/>
          <w:sz w:val="28"/>
          <w:szCs w:val="28"/>
        </w:rPr>
      </w:pPr>
      <w:r>
        <w:rPr>
          <w:rFonts w:hint="eastAsia" w:ascii="宋体" w:hAnsi="宋体"/>
          <w:b/>
          <w:bCs/>
          <w:sz w:val="28"/>
          <w:szCs w:val="28"/>
        </w:rPr>
        <w:t>（一）评审方法一：满足资格性和符合性要求的供应商中，按报价最低成交。</w:t>
      </w:r>
    </w:p>
    <w:p>
      <w:pPr>
        <w:spacing w:line="40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562" w:firstLineChars="200"/>
        <w:rPr>
          <w:rFonts w:ascii="宋体" w:hAnsi="宋体"/>
          <w:sz w:val="28"/>
          <w:szCs w:val="28"/>
        </w:rPr>
      </w:pPr>
      <w:r>
        <w:rPr>
          <w:rFonts w:hint="eastAsia" w:ascii="宋体" w:hAnsi="宋体"/>
          <w:b/>
          <w:bCs/>
          <w:sz w:val="28"/>
          <w:szCs w:val="28"/>
        </w:rPr>
        <w:t>2、详细性评审：</w:t>
      </w:r>
      <w:r>
        <w:rPr>
          <w:rFonts w:hint="eastAsia" w:ascii="宋体" w:hAnsi="宋体"/>
          <w:sz w:val="28"/>
          <w:szCs w:val="28"/>
        </w:rPr>
        <w:t>评审小组按照报价最低原则确定成交供应商。有效报价最低的的供应商推荐为成交供应商。最低报价相等时，由采购方代表确定1家作为成交供应商。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（二）评审方法二：评审小组对符合响应条件的供应商进行综合评审，综合得分最高推荐为成交供应商。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641" w:firstLineChars="228"/>
        <w:rPr>
          <w:rFonts w:ascii="宋体" w:hAnsi="宋体"/>
          <w:b/>
          <w:bCs/>
          <w:sz w:val="28"/>
          <w:szCs w:val="28"/>
        </w:rPr>
      </w:pPr>
      <w:r>
        <w:rPr>
          <w:rFonts w:hint="eastAsia" w:ascii="宋体" w:hAnsi="宋体"/>
          <w:b/>
          <w:bCs/>
          <w:sz w:val="28"/>
          <w:szCs w:val="28"/>
        </w:rPr>
        <w:t>2.详细性评审</w:t>
      </w:r>
      <w:r>
        <w:rPr>
          <w:rFonts w:hint="eastAsia" w:ascii="宋体" w:hAnsi="宋体"/>
          <w:sz w:val="28"/>
          <w:szCs w:val="28"/>
        </w:rPr>
        <w:t>（评审表见附表2）</w:t>
      </w:r>
      <w:r>
        <w:rPr>
          <w:rFonts w:hint="eastAsia" w:ascii="宋体" w:hAnsi="宋体"/>
          <w:b/>
          <w:bCs/>
          <w:sz w:val="28"/>
          <w:szCs w:val="28"/>
        </w:rPr>
        <w:t>：</w:t>
      </w:r>
    </w:p>
    <w:p>
      <w:pPr>
        <w:spacing w:line="560" w:lineRule="exact"/>
        <w:ind w:firstLine="638" w:firstLineChars="228"/>
        <w:rPr>
          <w:rFonts w:ascii="宋体" w:hAnsi="宋体"/>
          <w:sz w:val="28"/>
          <w:szCs w:val="28"/>
        </w:rPr>
      </w:pPr>
      <w:r>
        <w:rPr>
          <w:rFonts w:hint="eastAsia" w:ascii="宋体" w:hAnsi="宋体"/>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（三）评审方法三：评审小组与符合响应条件的供应商进行一轮或多轮谈判确定具体采购需求后，按最低报价或综合评审得分最高推荐成交供应商。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评审小组依据采购书规定的要求，对报价文件中的资格性、符合性条件进行审核。未通过的报价人不能确定为成交人。</w:t>
      </w:r>
    </w:p>
    <w:p>
      <w:pPr>
        <w:spacing w:line="560" w:lineRule="exact"/>
        <w:ind w:firstLine="560" w:firstLineChars="200"/>
        <w:rPr>
          <w:rFonts w:ascii="宋体" w:hAnsi="宋体"/>
          <w:sz w:val="28"/>
          <w:szCs w:val="28"/>
        </w:rPr>
      </w:pPr>
      <w:r>
        <w:rPr>
          <w:rFonts w:hint="eastAsia" w:ascii="宋体" w:hAnsi="宋体"/>
          <w:sz w:val="28"/>
          <w:szCs w:val="28"/>
        </w:rPr>
        <w:t>2.谈判</w:t>
      </w:r>
    </w:p>
    <w:p>
      <w:pPr>
        <w:spacing w:line="560" w:lineRule="exact"/>
        <w:ind w:firstLine="560" w:firstLineChars="200"/>
        <w:rPr>
          <w:rFonts w:ascii="宋体" w:hAnsi="宋体"/>
          <w:sz w:val="28"/>
          <w:szCs w:val="28"/>
        </w:rPr>
      </w:pPr>
      <w:r>
        <w:rPr>
          <w:rFonts w:hint="eastAsia" w:ascii="宋体" w:hAnsi="宋体"/>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pPr>
        <w:spacing w:line="560" w:lineRule="exact"/>
        <w:ind w:firstLine="560" w:firstLineChars="200"/>
        <w:rPr>
          <w:rFonts w:ascii="宋体" w:hAnsi="宋体"/>
          <w:sz w:val="28"/>
          <w:szCs w:val="28"/>
        </w:rPr>
      </w:pPr>
      <w:r>
        <w:rPr>
          <w:rFonts w:hint="eastAsia" w:ascii="宋体" w:hAnsi="宋体"/>
          <w:sz w:val="28"/>
          <w:szCs w:val="28"/>
        </w:rPr>
        <w:t>供应商回答评委的质疑与提问，对技术（服务）要求、商务要求等内容双方协商。</w:t>
      </w:r>
    </w:p>
    <w:p>
      <w:pPr>
        <w:spacing w:line="560" w:lineRule="exact"/>
        <w:ind w:firstLine="560" w:firstLineChars="200"/>
        <w:rPr>
          <w:rFonts w:ascii="宋体" w:hAnsi="宋体"/>
          <w:sz w:val="28"/>
          <w:szCs w:val="28"/>
        </w:rPr>
      </w:pPr>
      <w:r>
        <w:rPr>
          <w:rFonts w:hint="eastAsia" w:ascii="宋体" w:hAnsi="宋体"/>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hint="eastAsia" w:ascii="宋体" w:hAnsi="宋体"/>
          <w:sz w:val="28"/>
          <w:szCs w:val="28"/>
        </w:rPr>
        <w:t>第二次报价应当不高于第一次报价，否则第二次报价无效，以第一次报价为准。</w:t>
      </w:r>
    </w:p>
    <w:p>
      <w:pPr>
        <w:spacing w:line="560" w:lineRule="exact"/>
        <w:ind w:firstLine="560" w:firstLineChars="200"/>
        <w:rPr>
          <w:rFonts w:ascii="宋体" w:hAnsi="宋体"/>
          <w:sz w:val="28"/>
          <w:szCs w:val="28"/>
        </w:rPr>
      </w:pPr>
      <w:r>
        <w:rPr>
          <w:rFonts w:hint="eastAsia" w:ascii="宋体" w:hAnsi="宋体"/>
          <w:sz w:val="28"/>
          <w:szCs w:val="28"/>
        </w:rPr>
        <w:t>评审小组应根据具体谈判情况制作谈判记录。</w:t>
      </w:r>
    </w:p>
    <w:p>
      <w:pPr>
        <w:numPr>
          <w:ilvl w:val="0"/>
          <w:numId w:val="2"/>
        </w:numPr>
        <w:spacing w:line="560" w:lineRule="exact"/>
        <w:ind w:firstLine="560" w:firstLineChars="200"/>
        <w:rPr>
          <w:rFonts w:ascii="宋体" w:hAnsi="宋体"/>
          <w:sz w:val="28"/>
          <w:szCs w:val="28"/>
        </w:rPr>
      </w:pPr>
      <w:r>
        <w:rPr>
          <w:rFonts w:hint="eastAsia" w:ascii="宋体" w:hAnsi="宋体"/>
          <w:sz w:val="28"/>
          <w:szCs w:val="28"/>
        </w:rPr>
        <w:t>定标</w:t>
      </w:r>
    </w:p>
    <w:p>
      <w:pPr>
        <w:spacing w:line="560" w:lineRule="exact"/>
        <w:ind w:firstLine="420" w:firstLineChars="150"/>
        <w:rPr>
          <w:rFonts w:ascii="宋体" w:hAnsi="宋体"/>
          <w:sz w:val="28"/>
          <w:szCs w:val="28"/>
        </w:rPr>
      </w:pPr>
      <w:r>
        <w:rPr>
          <w:rFonts w:hint="eastAsia" w:ascii="宋体" w:hAnsi="宋体"/>
          <w:sz w:val="28"/>
          <w:szCs w:val="28"/>
        </w:rPr>
        <w:t xml:space="preserve">本项目采用方式 </w:t>
      </w:r>
      <w:r>
        <w:rPr>
          <w:rFonts w:hint="eastAsia" w:ascii="宋体" w:hAnsi="宋体"/>
          <w:sz w:val="28"/>
          <w:szCs w:val="28"/>
          <w:u w:val="single"/>
          <w:lang w:val="en-US" w:eastAsia="zh-CN"/>
        </w:rPr>
        <w:t>二</w:t>
      </w:r>
      <w:r>
        <w:rPr>
          <w:rFonts w:hint="eastAsia" w:ascii="宋体" w:hAnsi="宋体"/>
          <w:sz w:val="28"/>
          <w:szCs w:val="28"/>
        </w:rPr>
        <w:t>定标。</w:t>
      </w:r>
    </w:p>
    <w:p>
      <w:pPr>
        <w:spacing w:line="560" w:lineRule="exact"/>
        <w:ind w:firstLine="560" w:firstLineChars="200"/>
        <w:rPr>
          <w:rFonts w:ascii="宋体" w:hAnsi="宋体"/>
          <w:sz w:val="28"/>
          <w:szCs w:val="28"/>
        </w:rPr>
      </w:pPr>
      <w:r>
        <w:rPr>
          <w:rFonts w:hint="eastAsia" w:ascii="宋体" w:hAnsi="宋体"/>
          <w:sz w:val="28"/>
          <w:szCs w:val="28"/>
        </w:rPr>
        <w:t>方式一：评审小组推荐第二次有效报价最低的供应商为成交供应商。最低报价相等时，由采购方代表确定1家作为成交供应商。</w:t>
      </w:r>
    </w:p>
    <w:p>
      <w:pPr>
        <w:spacing w:line="560" w:lineRule="exact"/>
        <w:ind w:firstLine="560" w:firstLineChars="200"/>
        <w:rPr>
          <w:rFonts w:ascii="宋体" w:hAnsi="宋体"/>
          <w:sz w:val="28"/>
          <w:szCs w:val="28"/>
        </w:rPr>
      </w:pPr>
      <w:r>
        <w:rPr>
          <w:rFonts w:hint="eastAsia" w:ascii="宋体" w:hAnsi="宋体"/>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pPr>
        <w:pStyle w:val="3"/>
        <w:numPr>
          <w:ilvl w:val="0"/>
          <w:numId w:val="3"/>
        </w:numPr>
        <w:spacing w:line="560" w:lineRule="exact"/>
      </w:pPr>
      <w:bookmarkStart w:id="22" w:name="_Toc18663"/>
      <w:r>
        <w:rPr>
          <w:rFonts w:hint="eastAsia"/>
        </w:rPr>
        <w:t>成交供应商确定</w:t>
      </w:r>
      <w:bookmarkEnd w:id="22"/>
    </w:p>
    <w:p>
      <w:pPr>
        <w:spacing w:line="560" w:lineRule="exact"/>
        <w:ind w:firstLine="560" w:firstLineChars="200"/>
        <w:rPr>
          <w:rFonts w:ascii="宋体" w:hAnsi="宋体"/>
          <w:sz w:val="28"/>
          <w:szCs w:val="28"/>
        </w:rPr>
      </w:pPr>
      <w:r>
        <w:rPr>
          <w:rFonts w:hint="eastAsia" w:ascii="宋体" w:hAnsi="宋体"/>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pPr>
        <w:snapToGrid w:val="0"/>
        <w:rPr>
          <w:rFonts w:ascii="宋体" w:hAnsi="宋体"/>
          <w:b/>
          <w:sz w:val="28"/>
          <w:szCs w:val="28"/>
        </w:rPr>
      </w:pPr>
    </w:p>
    <w:p>
      <w:pPr>
        <w:rPr>
          <w:rFonts w:ascii="宋体" w:hAnsi="宋体"/>
          <w:b/>
          <w:sz w:val="28"/>
          <w:szCs w:val="28"/>
        </w:rPr>
      </w:pPr>
      <w:r>
        <w:rPr>
          <w:rFonts w:hint="eastAsia" w:ascii="宋体" w:hAnsi="宋体"/>
          <w:b/>
          <w:sz w:val="28"/>
          <w:szCs w:val="28"/>
        </w:rPr>
        <w:br w:type="page"/>
      </w:r>
    </w:p>
    <w:p>
      <w:pPr>
        <w:snapToGrid w:val="0"/>
        <w:rPr>
          <w:rFonts w:ascii="宋体" w:hAnsi="宋体"/>
          <w:b/>
          <w:sz w:val="28"/>
          <w:szCs w:val="28"/>
        </w:rPr>
      </w:pPr>
      <w:r>
        <w:rPr>
          <w:rFonts w:hint="eastAsia" w:ascii="宋体" w:hAnsi="宋体"/>
          <w:b/>
          <w:sz w:val="28"/>
          <w:szCs w:val="28"/>
        </w:rPr>
        <w:t>附表1</w:t>
      </w:r>
    </w:p>
    <w:p>
      <w:pPr>
        <w:snapToGrid w:val="0"/>
        <w:jc w:val="center"/>
        <w:rPr>
          <w:rFonts w:ascii="宋体" w:hAnsi="宋体"/>
          <w:b/>
          <w:sz w:val="28"/>
          <w:szCs w:val="28"/>
        </w:rPr>
      </w:pPr>
      <w:r>
        <w:rPr>
          <w:rFonts w:hint="eastAsia" w:ascii="宋体" w:hAnsi="宋体"/>
          <w:b/>
          <w:sz w:val="28"/>
          <w:szCs w:val="28"/>
        </w:rPr>
        <w:t>资格性与符合性审查表</w:t>
      </w:r>
    </w:p>
    <w:p>
      <w:pPr>
        <w:snapToGrid w:val="0"/>
        <w:jc w:val="center"/>
        <w:rPr>
          <w:rFonts w:ascii="宋体" w:hAnsi="宋体"/>
          <w:b/>
          <w:sz w:val="28"/>
          <w:szCs w:val="28"/>
        </w:rPr>
      </w:pPr>
      <w:r>
        <w:rPr>
          <w:rFonts w:hint="eastAsia" w:ascii="宋体" w:hAnsi="宋体"/>
          <w:b/>
          <w:sz w:val="28"/>
          <w:szCs w:val="28"/>
        </w:rPr>
        <w:t>（资格性审查内容应与“三、报价人资格”内容一致）</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pPr>
              <w:spacing w:line="400" w:lineRule="exact"/>
              <w:jc w:val="center"/>
              <w:rPr>
                <w:rFonts w:ascii="宋体" w:hAnsi="宋体"/>
                <w:b/>
                <w:sz w:val="24"/>
              </w:rPr>
            </w:pPr>
            <w:r>
              <w:rPr>
                <w:rFonts w:hint="eastAsia" w:ascii="宋体" w:hAnsi="宋体"/>
                <w:b/>
                <w:sz w:val="24"/>
              </w:rPr>
              <w:t>序号</w:t>
            </w:r>
          </w:p>
        </w:tc>
        <w:tc>
          <w:tcPr>
            <w:tcW w:w="8022" w:type="dxa"/>
            <w:gridSpan w:val="2"/>
            <w:shd w:val="clear" w:color="auto" w:fill="C0C0C0"/>
            <w:noWrap/>
            <w:vAlign w:val="center"/>
          </w:tcPr>
          <w:p>
            <w:pPr>
              <w:spacing w:line="400" w:lineRule="exact"/>
              <w:rPr>
                <w:rFonts w:ascii="宋体" w:hAnsi="宋体"/>
                <w:b/>
                <w:sz w:val="18"/>
                <w:szCs w:val="18"/>
              </w:rPr>
            </w:pPr>
            <w:r>
              <w:rPr>
                <w:rFonts w:hint="eastAsia" w:ascii="宋体" w:hAnsi="宋体"/>
                <w:b/>
                <w:sz w:val="24"/>
              </w:rPr>
              <w:t>审查内容及要求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4"/>
              </w:rPr>
            </w:pPr>
            <w:r>
              <w:rPr>
                <w:rFonts w:hint="eastAsia" w:ascii="宋体" w:hAnsi="宋体"/>
                <w:b/>
                <w:sz w:val="24"/>
              </w:rPr>
              <w:t>（一）资格性审查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4"/>
              </w:rPr>
            </w:pPr>
            <w:r>
              <w:rPr>
                <w:rFonts w:hint="eastAsia" w:ascii="宋体" w:hAnsi="宋体"/>
                <w:b/>
                <w:sz w:val="24"/>
              </w:rPr>
              <w:t>序号</w:t>
            </w:r>
          </w:p>
        </w:tc>
        <w:tc>
          <w:tcPr>
            <w:tcW w:w="6557" w:type="dxa"/>
            <w:noWrap/>
            <w:vAlign w:val="center"/>
          </w:tcPr>
          <w:p>
            <w:pPr>
              <w:spacing w:line="400" w:lineRule="exact"/>
              <w:jc w:val="center"/>
              <w:rPr>
                <w:rFonts w:ascii="宋体" w:hAnsi="宋体"/>
                <w:b/>
                <w:sz w:val="24"/>
              </w:rPr>
            </w:pPr>
            <w:r>
              <w:rPr>
                <w:rFonts w:hint="eastAsia" w:ascii="宋体" w:hAnsi="宋体"/>
                <w:b/>
                <w:sz w:val="24"/>
              </w:rPr>
              <w:t>审查内容及标准</w:t>
            </w:r>
          </w:p>
        </w:tc>
        <w:tc>
          <w:tcPr>
            <w:tcW w:w="1465" w:type="dxa"/>
            <w:noWrap/>
            <w:vAlign w:val="center"/>
          </w:tcPr>
          <w:p>
            <w:pPr>
              <w:spacing w:line="400" w:lineRule="exact"/>
              <w:jc w:val="center"/>
              <w:rPr>
                <w:rFonts w:ascii="宋体" w:hAnsi="宋体"/>
                <w:b/>
                <w:sz w:val="24"/>
              </w:rPr>
            </w:pPr>
            <w:r>
              <w:rPr>
                <w:rFonts w:hint="eastAsia" w:ascii="宋体" w:hAnsi="宋体"/>
                <w:b/>
                <w:sz w:val="24"/>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8"/>
                <w:szCs w:val="28"/>
              </w:rPr>
            </w:pPr>
            <w:r>
              <w:rPr>
                <w:rFonts w:hint="eastAsia" w:ascii="宋体" w:hAnsi="宋体"/>
                <w:b/>
                <w:sz w:val="28"/>
                <w:szCs w:val="28"/>
              </w:rPr>
              <w:t>（二）符合性审查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序号</w:t>
            </w:r>
          </w:p>
        </w:tc>
        <w:tc>
          <w:tcPr>
            <w:tcW w:w="6557" w:type="dxa"/>
            <w:noWrap/>
            <w:vAlign w:val="center"/>
          </w:tcPr>
          <w:p>
            <w:pPr>
              <w:spacing w:line="400" w:lineRule="exact"/>
              <w:jc w:val="center"/>
              <w:rPr>
                <w:rFonts w:ascii="宋体" w:hAnsi="宋体"/>
                <w:b/>
                <w:sz w:val="28"/>
                <w:szCs w:val="28"/>
              </w:rPr>
            </w:pPr>
            <w:r>
              <w:rPr>
                <w:rFonts w:hint="eastAsia" w:ascii="宋体" w:hAnsi="宋体"/>
                <w:b/>
                <w:sz w:val="28"/>
                <w:szCs w:val="28"/>
              </w:rPr>
              <w:t>审查内容及标准</w:t>
            </w:r>
          </w:p>
        </w:tc>
        <w:tc>
          <w:tcPr>
            <w:tcW w:w="1465" w:type="dxa"/>
            <w:noWrap/>
            <w:vAlign w:val="center"/>
          </w:tcPr>
          <w:p>
            <w:pPr>
              <w:spacing w:line="400" w:lineRule="exact"/>
              <w:jc w:val="center"/>
              <w:rPr>
                <w:rFonts w:ascii="宋体" w:hAnsi="宋体"/>
                <w:b/>
                <w:sz w:val="28"/>
                <w:szCs w:val="28"/>
              </w:rPr>
            </w:pPr>
            <w:r>
              <w:rPr>
                <w:rFonts w:hint="eastAsia" w:ascii="宋体" w:hAnsi="宋体"/>
                <w:b/>
                <w:sz w:val="28"/>
                <w:szCs w:val="28"/>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提供法人或负责人资格证明；授权委托书</w:t>
            </w:r>
          </w:p>
        </w:tc>
        <w:tc>
          <w:tcPr>
            <w:tcW w:w="1465" w:type="dxa"/>
            <w:noWrap/>
            <w:vAlign w:val="center"/>
          </w:tcPr>
          <w:p>
            <w:pPr>
              <w:spacing w:line="400" w:lineRule="exact"/>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提供报价一览表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提供报价明细表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4</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提供“技术（服务）条款响应表”和“商务条款响应表”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5</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提供报价人声明及承诺</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6</w:t>
            </w:r>
          </w:p>
        </w:tc>
        <w:tc>
          <w:tcPr>
            <w:tcW w:w="6557" w:type="dxa"/>
            <w:noWrap/>
            <w:vAlign w:val="center"/>
          </w:tcPr>
          <w:p>
            <w:pPr>
              <w:spacing w:line="400" w:lineRule="exact"/>
              <w:rPr>
                <w:rFonts w:ascii="宋体" w:hAnsi="宋体"/>
                <w:sz w:val="28"/>
                <w:szCs w:val="28"/>
              </w:rPr>
            </w:pPr>
            <w:r>
              <w:rPr>
                <w:rFonts w:hint="eastAsia" w:ascii="宋体" w:hAnsi="宋体"/>
                <w:sz w:val="28"/>
                <w:szCs w:val="28"/>
              </w:rPr>
              <w:t>未出现采购单位无法接受的附加条件</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pPr>
              <w:snapToGrid w:val="0"/>
              <w:spacing w:beforeLines="25" w:afterLines="25" w:line="400" w:lineRule="exact"/>
              <w:jc w:val="right"/>
              <w:rPr>
                <w:rFonts w:ascii="宋体" w:hAnsi="宋体"/>
                <w:b/>
                <w:sz w:val="28"/>
                <w:szCs w:val="28"/>
              </w:rPr>
            </w:pPr>
            <w:r>
              <w:rPr>
                <w:rFonts w:hint="eastAsia" w:ascii="宋体" w:hAnsi="宋体"/>
                <w:b/>
                <w:sz w:val="28"/>
                <w:szCs w:val="28"/>
              </w:rPr>
              <w:t>结论</w:t>
            </w:r>
          </w:p>
        </w:tc>
        <w:tc>
          <w:tcPr>
            <w:tcW w:w="1465" w:type="dxa"/>
            <w:noWrap/>
            <w:vAlign w:val="center"/>
          </w:tcPr>
          <w:p>
            <w:pPr>
              <w:spacing w:line="400" w:lineRule="exact"/>
              <w:rPr>
                <w:rFonts w:ascii="宋体" w:hAnsi="宋体"/>
                <w:sz w:val="28"/>
                <w:szCs w:val="28"/>
              </w:rPr>
            </w:pPr>
          </w:p>
        </w:tc>
      </w:tr>
    </w:tbl>
    <w:p>
      <w:pPr>
        <w:snapToGrid w:val="0"/>
        <w:rPr>
          <w:rFonts w:ascii="宋体" w:hAnsi="宋体"/>
          <w:b/>
          <w:szCs w:val="21"/>
        </w:rPr>
      </w:pPr>
      <w:r>
        <w:rPr>
          <w:rFonts w:hint="eastAsia" w:ascii="宋体" w:hAnsi="宋体"/>
          <w:b/>
          <w:szCs w:val="21"/>
        </w:rPr>
        <w:t>备注：</w:t>
      </w:r>
    </w:p>
    <w:p>
      <w:pPr>
        <w:snapToGrid w:val="0"/>
        <w:ind w:firstLine="411" w:firstLineChars="196"/>
        <w:rPr>
          <w:rFonts w:ascii="宋体" w:hAnsi="宋体"/>
          <w:szCs w:val="21"/>
        </w:rPr>
      </w:pPr>
      <w:r>
        <w:rPr>
          <w:rFonts w:hint="eastAsia" w:ascii="宋体" w:hAnsi="宋体"/>
          <w:szCs w:val="21"/>
        </w:rPr>
        <w:t>1.本表应与采购书中相关条款内容一致的。</w:t>
      </w:r>
    </w:p>
    <w:p>
      <w:pPr>
        <w:snapToGrid w:val="0"/>
        <w:ind w:firstLine="411" w:firstLineChars="196"/>
        <w:rPr>
          <w:rFonts w:ascii="宋体" w:hAnsi="宋体"/>
          <w:szCs w:val="21"/>
        </w:rPr>
      </w:pPr>
      <w:r>
        <w:rPr>
          <w:rFonts w:hint="eastAsia" w:ascii="宋体" w:hAnsi="宋体"/>
          <w:szCs w:val="21"/>
        </w:rPr>
        <w:t>2.每一项符合的打“〇”，不符合的打“×”。打“×”的，请说明理由。</w:t>
      </w:r>
    </w:p>
    <w:p>
      <w:pPr>
        <w:snapToGrid w:val="0"/>
        <w:ind w:left="622" w:leftChars="196" w:hanging="210" w:hangingChars="100"/>
        <w:rPr>
          <w:rFonts w:ascii="宋体" w:hAnsi="宋体"/>
          <w:szCs w:val="21"/>
        </w:rPr>
      </w:pPr>
      <w:r>
        <w:rPr>
          <w:rFonts w:hint="eastAsia" w:ascii="宋体" w:hAnsi="宋体"/>
          <w:szCs w:val="21"/>
        </w:rPr>
        <w:t>3.“结论”一栏填写“通过”、“不通过”；任何一项出现“×”的，结论均为不通过；不通过的，为无效报价。</w:t>
      </w:r>
    </w:p>
    <w:p>
      <w:pPr>
        <w:snapToGrid w:val="0"/>
        <w:ind w:left="622" w:leftChars="196" w:hanging="210" w:hangingChars="100"/>
        <w:rPr>
          <w:rFonts w:ascii="宋体" w:hAnsi="宋体"/>
          <w:szCs w:val="21"/>
        </w:rPr>
      </w:pPr>
      <w:r>
        <w:rPr>
          <w:rFonts w:hint="eastAsia" w:ascii="宋体" w:hAnsi="宋体"/>
          <w:szCs w:val="21"/>
        </w:rPr>
        <w:t>4.如“结论”意见不统一时，采用少数服从多数的原则确定评审结果，相关情况记录在评审报告中。</w:t>
      </w:r>
    </w:p>
    <w:p>
      <w:pPr>
        <w:rPr>
          <w:rFonts w:ascii="宋体" w:hAnsi="宋体"/>
          <w:b/>
          <w:bCs/>
          <w:sz w:val="28"/>
          <w:szCs w:val="28"/>
        </w:rPr>
      </w:pPr>
      <w:r>
        <w:rPr>
          <w:rFonts w:hint="eastAsia" w:ascii="宋体" w:hAnsi="宋体"/>
          <w:b/>
          <w:bCs/>
          <w:sz w:val="28"/>
          <w:szCs w:val="28"/>
        </w:rPr>
        <w:br w:type="page"/>
      </w:r>
    </w:p>
    <w:p>
      <w:pPr>
        <w:spacing w:line="560" w:lineRule="exact"/>
        <w:ind w:firstLine="562" w:firstLineChars="200"/>
        <w:rPr>
          <w:rFonts w:ascii="宋体" w:hAnsi="宋体"/>
          <w:b/>
          <w:sz w:val="28"/>
          <w:szCs w:val="28"/>
        </w:rPr>
      </w:pPr>
      <w:r>
        <w:rPr>
          <w:rFonts w:hint="eastAsia" w:ascii="宋体" w:hAnsi="宋体"/>
          <w:b/>
          <w:sz w:val="28"/>
          <w:szCs w:val="28"/>
        </w:rPr>
        <w:t>附表2：</w:t>
      </w:r>
    </w:p>
    <w:p>
      <w:pPr>
        <w:spacing w:line="560" w:lineRule="exact"/>
        <w:ind w:firstLine="562" w:firstLineChars="200"/>
        <w:jc w:val="center"/>
        <w:rPr>
          <w:rFonts w:ascii="宋体" w:hAnsi="宋体"/>
          <w:b/>
          <w:bCs/>
          <w:sz w:val="28"/>
          <w:szCs w:val="28"/>
        </w:rPr>
      </w:pPr>
      <w:r>
        <w:rPr>
          <w:rFonts w:hint="eastAsia" w:ascii="宋体" w:hAnsi="宋体"/>
          <w:b/>
          <w:bCs/>
          <w:sz w:val="28"/>
          <w:szCs w:val="28"/>
        </w:rPr>
        <w:t>详细评审表</w:t>
      </w:r>
      <w:bookmarkStart w:id="31" w:name="_GoBack"/>
      <w:bookmarkEnd w:id="31"/>
    </w:p>
    <w:tbl>
      <w:tblPr>
        <w:tblStyle w:val="28"/>
        <w:tblpPr w:leftFromText="180" w:rightFromText="180" w:vertAnchor="text" w:horzAnchor="margin" w:tblpXSpec="center" w:tblpY="2"/>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1980"/>
        <w:gridCol w:w="1080"/>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628" w:type="dxa"/>
            <w:gridSpan w:val="2"/>
            <w:noWrap/>
            <w:vAlign w:val="center"/>
          </w:tcPr>
          <w:p>
            <w:pPr>
              <w:jc w:val="center"/>
              <w:rPr>
                <w:b/>
                <w:color w:val="000000"/>
                <w:sz w:val="28"/>
                <w:szCs w:val="28"/>
              </w:rPr>
            </w:pPr>
            <w:r>
              <w:rPr>
                <w:b/>
                <w:color w:val="000000"/>
                <w:sz w:val="28"/>
                <w:szCs w:val="28"/>
              </w:rPr>
              <w:t>评审因素</w:t>
            </w:r>
          </w:p>
        </w:tc>
        <w:tc>
          <w:tcPr>
            <w:tcW w:w="1080" w:type="dxa"/>
            <w:noWrap/>
            <w:vAlign w:val="center"/>
          </w:tcPr>
          <w:p>
            <w:pPr>
              <w:jc w:val="center"/>
              <w:rPr>
                <w:b/>
                <w:color w:val="000000"/>
                <w:sz w:val="28"/>
                <w:szCs w:val="28"/>
              </w:rPr>
            </w:pPr>
            <w:r>
              <w:rPr>
                <w:rFonts w:hint="eastAsia"/>
                <w:b/>
                <w:color w:val="000000"/>
                <w:sz w:val="28"/>
                <w:szCs w:val="28"/>
              </w:rPr>
              <w:t>权重</w:t>
            </w:r>
          </w:p>
        </w:tc>
        <w:tc>
          <w:tcPr>
            <w:tcW w:w="5400" w:type="dxa"/>
            <w:noWrap/>
            <w:vAlign w:val="center"/>
          </w:tcPr>
          <w:p>
            <w:pPr>
              <w:jc w:val="center"/>
              <w:rPr>
                <w:b/>
                <w:color w:val="000000"/>
                <w:sz w:val="28"/>
                <w:szCs w:val="28"/>
              </w:rPr>
            </w:pPr>
            <w:r>
              <w:rPr>
                <w:b/>
                <w:color w:val="000000"/>
                <w:sz w:val="28"/>
                <w:szCs w:val="28"/>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628" w:type="dxa"/>
            <w:gridSpan w:val="2"/>
            <w:noWrap/>
            <w:vAlign w:val="center"/>
          </w:tcPr>
          <w:p>
            <w:pPr>
              <w:ind w:left="-2" w:leftChars="-1"/>
              <w:jc w:val="center"/>
              <w:rPr>
                <w:rFonts w:hint="eastAsia"/>
                <w:sz w:val="24"/>
              </w:rPr>
            </w:pPr>
            <w:r>
              <w:rPr>
                <w:rFonts w:hint="eastAsia"/>
                <w:sz w:val="24"/>
              </w:rPr>
              <w:t>报价</w:t>
            </w:r>
          </w:p>
          <w:p>
            <w:pPr>
              <w:ind w:left="-2" w:leftChars="-1"/>
              <w:jc w:val="center"/>
              <w:rPr>
                <w:rFonts w:hint="eastAsia"/>
                <w:sz w:val="24"/>
              </w:rPr>
            </w:pPr>
            <w:r>
              <w:rPr>
                <w:rFonts w:hint="eastAsia"/>
                <w:sz w:val="24"/>
              </w:rPr>
              <w:t>（采用低价优先法）</w:t>
            </w:r>
          </w:p>
        </w:tc>
        <w:tc>
          <w:tcPr>
            <w:tcW w:w="1080" w:type="dxa"/>
            <w:noWrap/>
            <w:vAlign w:val="center"/>
          </w:tcPr>
          <w:p>
            <w:pPr>
              <w:ind w:left="-2" w:leftChars="-1"/>
              <w:rPr>
                <w:rFonts w:hint="default"/>
                <w:sz w:val="24"/>
                <w:lang w:val="en-US" w:eastAsia="zh-CN"/>
              </w:rPr>
            </w:pPr>
            <w:r>
              <w:rPr>
                <w:rFonts w:hint="eastAsia"/>
                <w:sz w:val="24"/>
                <w:lang w:val="en-US" w:eastAsia="zh-CN"/>
              </w:rPr>
              <w:t>10</w:t>
            </w:r>
          </w:p>
        </w:tc>
        <w:tc>
          <w:tcPr>
            <w:tcW w:w="5400" w:type="dxa"/>
            <w:noWrap/>
            <w:vAlign w:val="center"/>
          </w:tcPr>
          <w:p>
            <w:pPr>
              <w:ind w:left="-2" w:leftChars="-1"/>
              <w:rPr>
                <w:rFonts w:hint="eastAsia"/>
                <w:sz w:val="24"/>
              </w:rPr>
            </w:pPr>
            <w:r>
              <w:rPr>
                <w:rFonts w:hint="eastAsia"/>
                <w:sz w:val="24"/>
              </w:rPr>
              <w:t>1、价格评审满分为10分，为客观计算得分。</w:t>
            </w:r>
          </w:p>
          <w:p>
            <w:pPr>
              <w:ind w:left="-2" w:leftChars="-1"/>
              <w:rPr>
                <w:rFonts w:hint="eastAsia"/>
                <w:sz w:val="24"/>
              </w:rPr>
            </w:pPr>
            <w:r>
              <w:rPr>
                <w:rFonts w:hint="eastAsia"/>
                <w:sz w:val="24"/>
              </w:rPr>
              <w:t>2、以所有通过资格性与符合性审查的投标人的投标报价作为评审的依据，投标人价格得分评分方法如下：</w:t>
            </w:r>
          </w:p>
          <w:p>
            <w:pPr>
              <w:ind w:left="-2" w:leftChars="-1"/>
              <w:rPr>
                <w:rFonts w:hint="eastAsia"/>
                <w:sz w:val="24"/>
              </w:rPr>
            </w:pPr>
            <w:r>
              <w:rPr>
                <w:rFonts w:hint="eastAsia"/>
                <w:sz w:val="24"/>
              </w:rPr>
              <w:t>评标基准价＝实质性满足招标文件要求且投标价格最低的投标报价；</w:t>
            </w:r>
          </w:p>
          <w:p>
            <w:pPr>
              <w:ind w:left="-2" w:leftChars="-1"/>
              <w:rPr>
                <w:rFonts w:hint="eastAsia"/>
                <w:sz w:val="24"/>
              </w:rPr>
            </w:pPr>
            <w:r>
              <w:rPr>
                <w:rFonts w:hint="eastAsia"/>
                <w:sz w:val="24"/>
              </w:rPr>
              <w:t>价格得分＝（基准价÷评审价）×10。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48" w:type="dxa"/>
            <w:vMerge w:val="restart"/>
            <w:noWrap/>
            <w:textDirection w:val="tbRlV"/>
            <w:vAlign w:val="center"/>
          </w:tcPr>
          <w:p>
            <w:pPr>
              <w:ind w:left="-2" w:leftChars="-1"/>
              <w:rPr>
                <w:rFonts w:hint="eastAsia"/>
                <w:sz w:val="24"/>
              </w:rPr>
            </w:pPr>
            <w:r>
              <w:rPr>
                <w:rFonts w:hint="eastAsia"/>
                <w:sz w:val="24"/>
              </w:rPr>
              <w:t>技术因素</w:t>
            </w:r>
          </w:p>
        </w:tc>
        <w:tc>
          <w:tcPr>
            <w:tcW w:w="1980" w:type="dxa"/>
            <w:noWrap/>
            <w:vAlign w:val="center"/>
          </w:tcPr>
          <w:p>
            <w:pPr>
              <w:ind w:left="-2" w:leftChars="-1"/>
              <w:rPr>
                <w:rFonts w:hint="eastAsia"/>
                <w:sz w:val="24"/>
                <w:lang w:eastAsia="zh-CN"/>
              </w:rPr>
            </w:pPr>
            <w:r>
              <w:rPr>
                <w:rFonts w:hint="eastAsia"/>
                <w:sz w:val="24"/>
              </w:rPr>
              <w:t>重要技术参数响应情况</w:t>
            </w:r>
          </w:p>
        </w:tc>
        <w:tc>
          <w:tcPr>
            <w:tcW w:w="1080" w:type="dxa"/>
            <w:noWrap/>
            <w:vAlign w:val="center"/>
          </w:tcPr>
          <w:p>
            <w:pPr>
              <w:ind w:left="-2" w:leftChars="-1"/>
              <w:rPr>
                <w:rFonts w:hint="default"/>
                <w:sz w:val="24"/>
                <w:lang w:val="en-US" w:eastAsia="zh-CN"/>
              </w:rPr>
            </w:pPr>
            <w:r>
              <w:rPr>
                <w:rFonts w:hint="eastAsia"/>
                <w:sz w:val="24"/>
                <w:lang w:val="en-US" w:eastAsia="zh-CN"/>
              </w:rPr>
              <w:t>11</w:t>
            </w:r>
          </w:p>
        </w:tc>
        <w:tc>
          <w:tcPr>
            <w:tcW w:w="5400" w:type="dxa"/>
            <w:noWrap/>
            <w:vAlign w:val="center"/>
          </w:tcPr>
          <w:p>
            <w:pPr>
              <w:ind w:left="-2" w:leftChars="-1"/>
              <w:rPr>
                <w:rFonts w:hint="eastAsia"/>
                <w:sz w:val="24"/>
              </w:rPr>
            </w:pPr>
            <w:r>
              <w:rPr>
                <w:rFonts w:hint="eastAsia"/>
                <w:sz w:val="24"/>
              </w:rPr>
              <w:t>技术指标中用★标注项为实质性要求及重要技术指标，标★项不得负偏离，如果负偏离，则视为未实质满足招标文件，投标文件无效。</w:t>
            </w:r>
          </w:p>
          <w:p>
            <w:pPr>
              <w:ind w:left="-2" w:leftChars="-1"/>
              <w:rPr>
                <w:rFonts w:hint="eastAsia"/>
                <w:sz w:val="24"/>
              </w:rPr>
            </w:pPr>
            <w:r>
              <w:rPr>
                <w:rFonts w:hint="eastAsia"/>
                <w:sz w:val="24"/>
              </w:rPr>
              <w:t>技术指标中用▲标注项为</w:t>
            </w:r>
            <w:r>
              <w:rPr>
                <w:rFonts w:hint="eastAsia"/>
                <w:sz w:val="24"/>
                <w:lang w:val="en-US" w:eastAsia="zh-CN"/>
              </w:rPr>
              <w:t>重要技术指标，完全满足用户需求书中带</w:t>
            </w:r>
            <w:r>
              <w:rPr>
                <w:rFonts w:hint="eastAsia"/>
                <w:sz w:val="24"/>
              </w:rPr>
              <w:t>▲</w:t>
            </w:r>
            <w:r>
              <w:rPr>
                <w:rFonts w:hint="eastAsia"/>
                <w:sz w:val="24"/>
                <w:lang w:eastAsia="zh-CN"/>
              </w:rPr>
              <w:t>的重要参数，得分</w:t>
            </w:r>
            <w:r>
              <w:rPr>
                <w:rFonts w:hint="eastAsia"/>
                <w:sz w:val="24"/>
                <w:lang w:val="en-US" w:eastAsia="zh-CN"/>
              </w:rPr>
              <w:t>11分，</w:t>
            </w:r>
            <w:r>
              <w:rPr>
                <w:rFonts w:hint="eastAsia"/>
                <w:sz w:val="24"/>
              </w:rPr>
              <w:t>有一项负偏离扣</w:t>
            </w:r>
            <w:r>
              <w:rPr>
                <w:rFonts w:hint="eastAsia"/>
                <w:sz w:val="24"/>
                <w:lang w:val="en-US" w:eastAsia="zh-CN"/>
              </w:rPr>
              <w:t>1</w:t>
            </w:r>
            <w:r>
              <w:rPr>
                <w:rFonts w:hint="eastAsia"/>
                <w:sz w:val="24"/>
              </w:rPr>
              <w:t>分</w:t>
            </w:r>
            <w:r>
              <w:rPr>
                <w:rFonts w:hint="eastAsia"/>
                <w:sz w:val="24"/>
                <w:lang w:eastAsia="zh-CN"/>
              </w:rPr>
              <w:t>；</w:t>
            </w:r>
            <w:r>
              <w:rPr>
                <w:rFonts w:hint="eastAsia"/>
                <w:sz w:val="24"/>
              </w:rPr>
              <w:t>非★标注项为普通技术指标，有一项负偏离扣0.25分，最多扣至0分。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pPr>
              <w:ind w:left="-2" w:leftChars="-1"/>
              <w:rPr>
                <w:rFonts w:hint="eastAsia"/>
                <w:sz w:val="24"/>
              </w:rPr>
            </w:pPr>
          </w:p>
        </w:tc>
        <w:tc>
          <w:tcPr>
            <w:tcW w:w="1980" w:type="dxa"/>
            <w:noWrap/>
            <w:vAlign w:val="center"/>
          </w:tcPr>
          <w:p>
            <w:pPr>
              <w:ind w:left="-2" w:leftChars="-1"/>
              <w:rPr>
                <w:rFonts w:hint="eastAsia"/>
                <w:sz w:val="24"/>
              </w:rPr>
            </w:pPr>
            <w:r>
              <w:rPr>
                <w:rFonts w:hint="eastAsia"/>
                <w:sz w:val="24"/>
              </w:rPr>
              <w:t>项目管理设计方案</w:t>
            </w:r>
          </w:p>
        </w:tc>
        <w:tc>
          <w:tcPr>
            <w:tcW w:w="1080" w:type="dxa"/>
            <w:noWrap/>
            <w:vAlign w:val="center"/>
          </w:tcPr>
          <w:p>
            <w:pPr>
              <w:ind w:left="-2" w:leftChars="-1"/>
              <w:rPr>
                <w:rFonts w:hint="eastAsia"/>
                <w:sz w:val="24"/>
                <w:lang w:eastAsia="zh-CN"/>
              </w:rPr>
            </w:pPr>
            <w:r>
              <w:rPr>
                <w:rFonts w:hint="eastAsia"/>
                <w:sz w:val="24"/>
                <w:lang w:val="en-US" w:eastAsia="zh-CN"/>
              </w:rPr>
              <w:t>8</w:t>
            </w:r>
          </w:p>
        </w:tc>
        <w:tc>
          <w:tcPr>
            <w:tcW w:w="5400" w:type="dxa"/>
            <w:noWrap/>
            <w:vAlign w:val="center"/>
          </w:tcPr>
          <w:p>
            <w:pPr>
              <w:ind w:left="-2" w:leftChars="-1"/>
              <w:rPr>
                <w:rFonts w:hint="eastAsia"/>
                <w:sz w:val="24"/>
              </w:rPr>
            </w:pPr>
            <w:r>
              <w:rPr>
                <w:rFonts w:hint="eastAsia"/>
                <w:sz w:val="24"/>
              </w:rPr>
              <w:t>项目管理设计方案包括但不限于管理设计理解、设计思路、各环节的把控手段等内容，进行综合评分：</w:t>
            </w:r>
          </w:p>
          <w:p>
            <w:pPr>
              <w:ind w:left="-2" w:leftChars="-1"/>
              <w:rPr>
                <w:rFonts w:hint="eastAsia"/>
                <w:sz w:val="24"/>
              </w:rPr>
            </w:pPr>
            <w:r>
              <w:rPr>
                <w:rFonts w:hint="eastAsia"/>
                <w:sz w:val="24"/>
              </w:rPr>
              <w:t>具有明确的对管理设计的理解且清晰准确的，得2分；</w:t>
            </w:r>
          </w:p>
          <w:p>
            <w:pPr>
              <w:ind w:left="-2" w:leftChars="-1"/>
              <w:rPr>
                <w:rFonts w:hint="eastAsia"/>
                <w:sz w:val="24"/>
              </w:rPr>
            </w:pPr>
            <w:r>
              <w:rPr>
                <w:rFonts w:hint="eastAsia"/>
                <w:sz w:val="24"/>
              </w:rPr>
              <w:t>具有明确的设计思路且合理可行的，得2分；</w:t>
            </w:r>
          </w:p>
          <w:p>
            <w:pPr>
              <w:ind w:left="-2" w:leftChars="-1"/>
              <w:rPr>
                <w:rFonts w:hint="eastAsia"/>
                <w:sz w:val="24"/>
              </w:rPr>
            </w:pPr>
            <w:r>
              <w:rPr>
                <w:rFonts w:hint="eastAsia"/>
                <w:sz w:val="24"/>
              </w:rPr>
              <w:t>具有明确的各环节的把控手段且科学详细的，得2分；</w:t>
            </w:r>
          </w:p>
          <w:p>
            <w:pPr>
              <w:ind w:left="-2" w:leftChars="-1"/>
              <w:rPr>
                <w:rFonts w:hint="eastAsia"/>
                <w:sz w:val="24"/>
              </w:rPr>
            </w:pPr>
            <w:r>
              <w:rPr>
                <w:rFonts w:hint="eastAsia"/>
                <w:sz w:val="24"/>
              </w:rPr>
              <w:t>整体项目管理设计方案完整且与本项目服务需求相匹配的，得2分；其他不得分。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pPr>
              <w:ind w:left="-2" w:leftChars="-1"/>
              <w:rPr>
                <w:rFonts w:hint="eastAsia"/>
                <w:sz w:val="24"/>
              </w:rPr>
            </w:pPr>
          </w:p>
        </w:tc>
        <w:tc>
          <w:tcPr>
            <w:tcW w:w="1980" w:type="dxa"/>
            <w:noWrap/>
            <w:vAlign w:val="center"/>
          </w:tcPr>
          <w:p>
            <w:pPr>
              <w:ind w:left="-2" w:leftChars="-1"/>
              <w:rPr>
                <w:rFonts w:hint="eastAsia"/>
                <w:sz w:val="24"/>
              </w:rPr>
            </w:pPr>
            <w:r>
              <w:rPr>
                <w:rFonts w:hint="eastAsia"/>
                <w:sz w:val="24"/>
              </w:rPr>
              <w:t>项目组织实施方案</w:t>
            </w:r>
          </w:p>
        </w:tc>
        <w:tc>
          <w:tcPr>
            <w:tcW w:w="1080" w:type="dxa"/>
            <w:noWrap/>
            <w:vAlign w:val="center"/>
          </w:tcPr>
          <w:p>
            <w:pPr>
              <w:ind w:left="-2" w:leftChars="-1"/>
              <w:rPr>
                <w:rFonts w:hint="default"/>
                <w:sz w:val="24"/>
                <w:lang w:val="en-US" w:eastAsia="zh-CN"/>
              </w:rPr>
            </w:pPr>
            <w:r>
              <w:rPr>
                <w:rFonts w:hint="eastAsia"/>
                <w:sz w:val="24"/>
                <w:lang w:val="en-US" w:eastAsia="zh-CN"/>
              </w:rPr>
              <w:t>8</w:t>
            </w:r>
          </w:p>
        </w:tc>
        <w:tc>
          <w:tcPr>
            <w:tcW w:w="5400" w:type="dxa"/>
            <w:noWrap/>
            <w:vAlign w:val="center"/>
          </w:tcPr>
          <w:p>
            <w:pPr>
              <w:ind w:left="-2" w:leftChars="-1"/>
              <w:rPr>
                <w:rFonts w:hint="eastAsia"/>
                <w:sz w:val="24"/>
              </w:rPr>
            </w:pPr>
            <w:r>
              <w:rPr>
                <w:rFonts w:hint="eastAsia"/>
                <w:sz w:val="24"/>
              </w:rPr>
              <w:t>项目组织实施方案包括但不限于工作时间进度表（工作程序、步骤、管理）、协调方法、关键步骤的思路和要点等内容，进行综合评分：</w:t>
            </w:r>
          </w:p>
          <w:p>
            <w:pPr>
              <w:ind w:left="-2" w:leftChars="-1"/>
              <w:rPr>
                <w:rFonts w:hint="eastAsia"/>
                <w:sz w:val="24"/>
              </w:rPr>
            </w:pPr>
            <w:r>
              <w:rPr>
                <w:rFonts w:hint="eastAsia"/>
                <w:sz w:val="24"/>
              </w:rPr>
              <w:t>具有明确的工作时间进度表包括但不限于工作程序、步骤、管理等方面，以上流程完整可行的，得2分；</w:t>
            </w:r>
          </w:p>
          <w:p>
            <w:pPr>
              <w:ind w:left="-2" w:leftChars="-1"/>
              <w:rPr>
                <w:rFonts w:hint="eastAsia"/>
                <w:sz w:val="24"/>
              </w:rPr>
            </w:pPr>
            <w:r>
              <w:rPr>
                <w:rFonts w:hint="eastAsia"/>
                <w:sz w:val="24"/>
              </w:rPr>
              <w:t>具有明确的协调方法且科学完整的，得2分；</w:t>
            </w:r>
          </w:p>
          <w:p>
            <w:pPr>
              <w:ind w:left="-2" w:leftChars="-1"/>
              <w:rPr>
                <w:rFonts w:hint="eastAsia"/>
                <w:sz w:val="24"/>
              </w:rPr>
            </w:pPr>
            <w:r>
              <w:rPr>
                <w:rFonts w:hint="eastAsia"/>
                <w:sz w:val="24"/>
              </w:rPr>
              <w:t>具有明确的关键步骤且思路和要点清晰合理的，得2分；</w:t>
            </w:r>
          </w:p>
          <w:p>
            <w:pPr>
              <w:ind w:left="-2" w:leftChars="-1"/>
              <w:rPr>
                <w:rFonts w:hint="eastAsia"/>
                <w:sz w:val="24"/>
              </w:rPr>
            </w:pPr>
            <w:r>
              <w:rPr>
                <w:rFonts w:hint="eastAsia"/>
                <w:sz w:val="24"/>
              </w:rPr>
              <w:t>整体项目组织实施方案科学详细且与本项目服务需求相匹配的，得2分；</w:t>
            </w:r>
          </w:p>
          <w:p>
            <w:pPr>
              <w:ind w:left="-2" w:leftChars="-1"/>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pPr>
              <w:ind w:left="-2" w:leftChars="-1"/>
              <w:rPr>
                <w:rFonts w:hint="eastAsia"/>
                <w:sz w:val="24"/>
              </w:rPr>
            </w:pPr>
          </w:p>
        </w:tc>
        <w:tc>
          <w:tcPr>
            <w:tcW w:w="1980" w:type="dxa"/>
            <w:noWrap/>
            <w:vAlign w:val="center"/>
          </w:tcPr>
          <w:p>
            <w:pPr>
              <w:ind w:left="-2" w:leftChars="-1"/>
              <w:rPr>
                <w:rFonts w:hint="eastAsia"/>
                <w:sz w:val="24"/>
              </w:rPr>
            </w:pPr>
            <w:r>
              <w:rPr>
                <w:rFonts w:hint="eastAsia"/>
                <w:sz w:val="24"/>
              </w:rPr>
              <w:t>拍摄模式</w:t>
            </w:r>
          </w:p>
        </w:tc>
        <w:tc>
          <w:tcPr>
            <w:tcW w:w="1080" w:type="dxa"/>
            <w:noWrap/>
            <w:vAlign w:val="center"/>
          </w:tcPr>
          <w:p>
            <w:pPr>
              <w:ind w:left="-2" w:leftChars="-1"/>
              <w:rPr>
                <w:rFonts w:hint="default"/>
                <w:sz w:val="24"/>
                <w:lang w:val="en-US" w:eastAsia="zh-CN"/>
              </w:rPr>
            </w:pPr>
            <w:r>
              <w:rPr>
                <w:rFonts w:hint="eastAsia"/>
                <w:sz w:val="24"/>
                <w:lang w:val="en-US" w:eastAsia="zh-CN"/>
              </w:rPr>
              <w:t>4</w:t>
            </w:r>
          </w:p>
        </w:tc>
        <w:tc>
          <w:tcPr>
            <w:tcW w:w="5400" w:type="dxa"/>
            <w:noWrap/>
            <w:vAlign w:val="center"/>
          </w:tcPr>
          <w:p>
            <w:pPr>
              <w:ind w:left="-2" w:leftChars="-1"/>
              <w:rPr>
                <w:rFonts w:hint="eastAsia"/>
                <w:sz w:val="24"/>
              </w:rPr>
            </w:pPr>
            <w:r>
              <w:rPr>
                <w:rFonts w:hint="eastAsia"/>
                <w:sz w:val="24"/>
              </w:rPr>
              <w:t>根据课程性质，课程顾问团队与教师一起确定课程最合理拍摄方式。</w:t>
            </w:r>
          </w:p>
          <w:p>
            <w:pPr>
              <w:ind w:left="-2" w:leftChars="-1"/>
              <w:rPr>
                <w:rFonts w:hint="eastAsia"/>
                <w:sz w:val="24"/>
              </w:rPr>
            </w:pPr>
            <w:r>
              <w:rPr>
                <w:rFonts w:hint="eastAsia"/>
                <w:sz w:val="24"/>
              </w:rPr>
              <w:t>1.提供</w:t>
            </w:r>
            <w:r>
              <w:rPr>
                <w:rFonts w:hint="eastAsia"/>
                <w:sz w:val="24"/>
                <w:lang w:val="en-US" w:eastAsia="zh-CN"/>
              </w:rPr>
              <w:t>10</w:t>
            </w:r>
            <w:r>
              <w:rPr>
                <w:rFonts w:hint="eastAsia"/>
                <w:sz w:val="24"/>
              </w:rPr>
              <w:t>种及以上拍摄模式，得4分；</w:t>
            </w:r>
          </w:p>
          <w:p>
            <w:pPr>
              <w:ind w:left="-2" w:leftChars="-1"/>
              <w:rPr>
                <w:rFonts w:hint="eastAsia"/>
                <w:sz w:val="24"/>
              </w:rPr>
            </w:pPr>
            <w:r>
              <w:rPr>
                <w:rFonts w:hint="eastAsia"/>
                <w:sz w:val="24"/>
              </w:rPr>
              <w:t>2.提供</w:t>
            </w:r>
            <w:r>
              <w:rPr>
                <w:rFonts w:hint="eastAsia"/>
                <w:sz w:val="24"/>
                <w:lang w:val="en-US" w:eastAsia="zh-CN"/>
              </w:rPr>
              <w:t>5-8</w:t>
            </w:r>
            <w:r>
              <w:rPr>
                <w:rFonts w:hint="eastAsia"/>
                <w:sz w:val="24"/>
              </w:rPr>
              <w:t>种拍摄模式，得2分；</w:t>
            </w:r>
          </w:p>
          <w:p>
            <w:pPr>
              <w:ind w:left="-2" w:leftChars="-1"/>
              <w:rPr>
                <w:rFonts w:hint="eastAsia"/>
                <w:sz w:val="24"/>
              </w:rPr>
            </w:pPr>
            <w:r>
              <w:rPr>
                <w:rFonts w:hint="eastAsia"/>
                <w:sz w:val="24"/>
              </w:rPr>
              <w:t>3.提供</w:t>
            </w:r>
            <w:r>
              <w:rPr>
                <w:rFonts w:hint="eastAsia"/>
                <w:sz w:val="24"/>
                <w:lang w:val="en-US" w:eastAsia="zh-CN"/>
              </w:rPr>
              <w:t>3-5</w:t>
            </w:r>
            <w:r>
              <w:rPr>
                <w:rFonts w:hint="eastAsia"/>
                <w:sz w:val="24"/>
              </w:rPr>
              <w:t>种拍摄模式，得1分；</w:t>
            </w:r>
          </w:p>
          <w:p>
            <w:pPr>
              <w:ind w:left="-2" w:leftChars="-1"/>
              <w:rPr>
                <w:rFonts w:hint="eastAsia"/>
                <w:sz w:val="24"/>
              </w:rPr>
            </w:pPr>
            <w:r>
              <w:rPr>
                <w:rFonts w:hint="eastAsia"/>
                <w:sz w:val="24"/>
              </w:rPr>
              <w:t>不提供得0分。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pPr>
              <w:ind w:left="-2" w:leftChars="-1"/>
              <w:rPr>
                <w:rFonts w:hint="eastAsia"/>
                <w:sz w:val="24"/>
              </w:rPr>
            </w:pPr>
          </w:p>
        </w:tc>
        <w:tc>
          <w:tcPr>
            <w:tcW w:w="1980" w:type="dxa"/>
            <w:noWrap/>
            <w:vAlign w:val="center"/>
          </w:tcPr>
          <w:p>
            <w:pPr>
              <w:ind w:left="-2" w:leftChars="-1"/>
              <w:rPr>
                <w:rFonts w:hint="eastAsia"/>
                <w:sz w:val="24"/>
              </w:rPr>
            </w:pPr>
            <w:r>
              <w:rPr>
                <w:rFonts w:hint="eastAsia"/>
                <w:sz w:val="24"/>
              </w:rPr>
              <w:t>课程自助服务功能</w:t>
            </w:r>
          </w:p>
        </w:tc>
        <w:tc>
          <w:tcPr>
            <w:tcW w:w="1080" w:type="dxa"/>
            <w:noWrap/>
            <w:vAlign w:val="center"/>
          </w:tcPr>
          <w:p>
            <w:pPr>
              <w:ind w:left="-2" w:leftChars="-1"/>
              <w:rPr>
                <w:rFonts w:hint="default"/>
                <w:sz w:val="24"/>
                <w:lang w:val="en-US" w:eastAsia="zh-CN"/>
              </w:rPr>
            </w:pPr>
            <w:r>
              <w:rPr>
                <w:rFonts w:hint="eastAsia"/>
                <w:sz w:val="24"/>
                <w:lang w:val="en-US" w:eastAsia="zh-CN"/>
              </w:rPr>
              <w:t>3</w:t>
            </w:r>
          </w:p>
        </w:tc>
        <w:tc>
          <w:tcPr>
            <w:tcW w:w="5400" w:type="dxa"/>
            <w:noWrap/>
            <w:vAlign w:val="center"/>
          </w:tcPr>
          <w:p>
            <w:pPr>
              <w:ind w:left="-2" w:leftChars="-1"/>
              <w:rPr>
                <w:rFonts w:hint="eastAsia"/>
                <w:sz w:val="24"/>
              </w:rPr>
            </w:pPr>
            <w:r>
              <w:rPr>
                <w:rFonts w:hint="eastAsia"/>
                <w:sz w:val="24"/>
              </w:rPr>
              <w:t xml:space="preserve">课程运行平台企业提供具备课程建设自助服务功能的教师端app、具有自助学习功能学生端app和具有自助选课功能的管理端app的苹果和安卓APP手机端的软件，并提供相关软件著作权登记证书。每提供一个相关app软件著作权登记证书得1.5分，最多得 </w:t>
            </w:r>
            <w:r>
              <w:rPr>
                <w:rFonts w:hint="eastAsia"/>
                <w:sz w:val="24"/>
                <w:lang w:val="en-US" w:eastAsia="zh-CN"/>
              </w:rPr>
              <w:t>3</w:t>
            </w:r>
            <w:r>
              <w:rPr>
                <w:rFonts w:hint="eastAsia"/>
                <w:sz w:val="24"/>
              </w:rPr>
              <w:t xml:space="preserve">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pPr>
              <w:ind w:left="-2" w:leftChars="-1"/>
              <w:rPr>
                <w:rFonts w:hint="eastAsia"/>
                <w:sz w:val="24"/>
              </w:rPr>
            </w:pPr>
          </w:p>
        </w:tc>
        <w:tc>
          <w:tcPr>
            <w:tcW w:w="1980" w:type="dxa"/>
            <w:noWrap/>
            <w:vAlign w:val="center"/>
          </w:tcPr>
          <w:p>
            <w:pPr>
              <w:ind w:left="-2" w:leftChars="-1"/>
              <w:rPr>
                <w:rFonts w:hint="eastAsia"/>
                <w:sz w:val="24"/>
              </w:rPr>
            </w:pPr>
            <w:r>
              <w:rPr>
                <w:rFonts w:hint="eastAsia"/>
                <w:sz w:val="24"/>
              </w:rPr>
              <w:t>混合</w:t>
            </w:r>
            <w:r>
              <w:rPr>
                <w:rFonts w:hint="eastAsia"/>
                <w:sz w:val="24"/>
                <w:lang w:val="en-US" w:eastAsia="zh-CN"/>
              </w:rPr>
              <w:t>式</w:t>
            </w:r>
            <w:r>
              <w:rPr>
                <w:rFonts w:hint="eastAsia"/>
                <w:sz w:val="24"/>
              </w:rPr>
              <w:t>课</w:t>
            </w:r>
            <w:r>
              <w:rPr>
                <w:rFonts w:hint="eastAsia"/>
                <w:sz w:val="24"/>
                <w:lang w:val="en-US" w:eastAsia="zh-CN"/>
              </w:rPr>
              <w:t>程</w:t>
            </w:r>
            <w:r>
              <w:rPr>
                <w:rFonts w:hint="eastAsia"/>
                <w:sz w:val="24"/>
              </w:rPr>
              <w:t>设计能力</w:t>
            </w:r>
          </w:p>
        </w:tc>
        <w:tc>
          <w:tcPr>
            <w:tcW w:w="1080" w:type="dxa"/>
            <w:noWrap/>
            <w:vAlign w:val="center"/>
          </w:tcPr>
          <w:p>
            <w:pPr>
              <w:ind w:left="-2" w:leftChars="-1"/>
              <w:rPr>
                <w:rFonts w:hint="default"/>
                <w:sz w:val="24"/>
                <w:lang w:val="en-US" w:eastAsia="zh-CN"/>
              </w:rPr>
            </w:pPr>
            <w:r>
              <w:rPr>
                <w:rFonts w:hint="eastAsia"/>
                <w:sz w:val="24"/>
                <w:lang w:val="en-US" w:eastAsia="zh-CN"/>
              </w:rPr>
              <w:t>2</w:t>
            </w:r>
          </w:p>
        </w:tc>
        <w:tc>
          <w:tcPr>
            <w:tcW w:w="5400" w:type="dxa"/>
            <w:noWrap/>
            <w:vAlign w:val="center"/>
          </w:tcPr>
          <w:p>
            <w:pPr>
              <w:ind w:left="-2" w:leftChars="-1"/>
              <w:rPr>
                <w:rFonts w:hint="eastAsia"/>
                <w:sz w:val="24"/>
              </w:rPr>
            </w:pPr>
            <w:r>
              <w:rPr>
                <w:rFonts w:hint="eastAsia"/>
                <w:sz w:val="24"/>
              </w:rPr>
              <w:t>提供混合式课程设计方案且方案内容合理可行，得</w:t>
            </w:r>
            <w:r>
              <w:rPr>
                <w:rFonts w:hint="default"/>
                <w:sz w:val="24"/>
                <w:lang w:val="en-US"/>
              </w:rPr>
              <w:t>2</w:t>
            </w:r>
            <w:r>
              <w:rPr>
                <w:rFonts w:hint="eastAsia"/>
                <w:sz w:val="24"/>
              </w:rPr>
              <w:t>分；仅提供了方案但方案部分内容不可行得1分；不提供得0分。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pPr>
              <w:ind w:left="-2" w:leftChars="-1"/>
              <w:rPr>
                <w:rFonts w:hint="eastAsia"/>
                <w:sz w:val="24"/>
              </w:rPr>
            </w:pPr>
          </w:p>
        </w:tc>
        <w:tc>
          <w:tcPr>
            <w:tcW w:w="1980" w:type="dxa"/>
            <w:noWrap/>
            <w:vAlign w:val="center"/>
          </w:tcPr>
          <w:p>
            <w:pPr>
              <w:ind w:left="-2" w:leftChars="-1"/>
              <w:rPr>
                <w:rFonts w:hint="eastAsia"/>
                <w:sz w:val="24"/>
              </w:rPr>
            </w:pPr>
            <w:r>
              <w:rPr>
                <w:rFonts w:hint="eastAsia"/>
                <w:sz w:val="24"/>
              </w:rPr>
              <w:t>演示评价</w:t>
            </w:r>
          </w:p>
        </w:tc>
        <w:tc>
          <w:tcPr>
            <w:tcW w:w="1080" w:type="dxa"/>
            <w:noWrap/>
            <w:vAlign w:val="center"/>
          </w:tcPr>
          <w:p>
            <w:pPr>
              <w:ind w:left="-2" w:leftChars="-1"/>
              <w:rPr>
                <w:rFonts w:hint="default"/>
                <w:sz w:val="24"/>
                <w:lang w:val="en-US" w:eastAsia="zh-CN"/>
              </w:rPr>
            </w:pPr>
            <w:r>
              <w:rPr>
                <w:rFonts w:hint="eastAsia"/>
                <w:sz w:val="24"/>
                <w:lang w:val="en-US" w:eastAsia="zh-CN"/>
              </w:rPr>
              <w:t>9</w:t>
            </w:r>
          </w:p>
        </w:tc>
        <w:tc>
          <w:tcPr>
            <w:tcW w:w="5400" w:type="dxa"/>
            <w:noWrap/>
            <w:vAlign w:val="center"/>
          </w:tcPr>
          <w:p>
            <w:pPr>
              <w:ind w:left="-2" w:leftChars="-1"/>
              <w:rPr>
                <w:rFonts w:hint="eastAsia"/>
                <w:sz w:val="24"/>
              </w:rPr>
            </w:pPr>
            <w:r>
              <w:rPr>
                <w:rFonts w:hint="eastAsia"/>
                <w:sz w:val="24"/>
              </w:rPr>
              <w:t>演示内容</w:t>
            </w:r>
          </w:p>
          <w:p>
            <w:pPr>
              <w:ind w:left="-2" w:leftChars="-1"/>
              <w:rPr>
                <w:rFonts w:hint="eastAsia"/>
                <w:sz w:val="24"/>
              </w:rPr>
            </w:pPr>
            <w:r>
              <w:rPr>
                <w:rFonts w:hint="eastAsia"/>
                <w:sz w:val="24"/>
              </w:rPr>
              <w:t>1）供方提供已经拍摄完成的在线课程视频样片进行演示。</w:t>
            </w:r>
          </w:p>
          <w:p>
            <w:pPr>
              <w:ind w:left="-2" w:leftChars="-1"/>
              <w:rPr>
                <w:rFonts w:hint="eastAsia"/>
                <w:sz w:val="24"/>
              </w:rPr>
            </w:pPr>
            <w:r>
              <w:rPr>
                <w:rFonts w:hint="eastAsia"/>
                <w:sz w:val="24"/>
              </w:rPr>
              <w:t>2）供方提供课程的包装设计展示，包括：课程片头、封面、单分屏、双分屏、全屏、小头像模式等（图片方式）。</w:t>
            </w:r>
          </w:p>
          <w:p>
            <w:pPr>
              <w:ind w:left="-2" w:leftChars="-1"/>
              <w:rPr>
                <w:rFonts w:hint="eastAsia"/>
                <w:sz w:val="24"/>
              </w:rPr>
            </w:pPr>
            <w:r>
              <w:rPr>
                <w:rFonts w:hint="eastAsia"/>
                <w:sz w:val="24"/>
              </w:rPr>
              <w:t>3）供方对免费提供的网络教学平台功能演示，包括：课程运行学期、选课人次、选课学校、互动数据、概要设计、教学团队、在线教程、考核方法等。</w:t>
            </w:r>
          </w:p>
          <w:p>
            <w:pPr>
              <w:ind w:left="-2" w:leftChars="-1"/>
              <w:rPr>
                <w:rFonts w:hint="eastAsia"/>
                <w:sz w:val="24"/>
                <w:lang w:eastAsia="zh-CN"/>
              </w:rPr>
            </w:pPr>
            <w:r>
              <w:rPr>
                <w:rFonts w:hint="eastAsia"/>
                <w:sz w:val="24"/>
              </w:rPr>
              <w:t>演示评分</w:t>
            </w:r>
            <w:r>
              <w:rPr>
                <w:rFonts w:hint="eastAsia"/>
                <w:sz w:val="24"/>
                <w:lang w:eastAsia="zh-CN"/>
              </w:rPr>
              <w:t>：</w:t>
            </w:r>
          </w:p>
          <w:p>
            <w:pPr>
              <w:ind w:left="-2" w:leftChars="-1"/>
              <w:rPr>
                <w:rFonts w:hint="eastAsia"/>
                <w:sz w:val="24"/>
              </w:rPr>
            </w:pPr>
            <w:r>
              <w:rPr>
                <w:rFonts w:hint="eastAsia"/>
                <w:sz w:val="24"/>
              </w:rPr>
              <w:t>1）视频整体制作水平优秀，在线课程视频提供6种以上拍摄模式；提供5门以上课程包装设计，充分体现课程特色和课程元素，传播力及感染力强得</w:t>
            </w:r>
            <w:r>
              <w:rPr>
                <w:rFonts w:hint="eastAsia"/>
                <w:sz w:val="24"/>
                <w:lang w:val="en-US" w:eastAsia="zh-CN"/>
              </w:rPr>
              <w:t>9</w:t>
            </w:r>
            <w:r>
              <w:rPr>
                <w:rFonts w:hint="eastAsia"/>
                <w:sz w:val="24"/>
              </w:rPr>
              <w:t>分；</w:t>
            </w:r>
          </w:p>
          <w:p>
            <w:pPr>
              <w:ind w:left="-2" w:leftChars="-1"/>
              <w:rPr>
                <w:rFonts w:hint="eastAsia"/>
                <w:sz w:val="24"/>
              </w:rPr>
            </w:pPr>
            <w:r>
              <w:rPr>
                <w:rFonts w:hint="eastAsia"/>
                <w:sz w:val="24"/>
              </w:rPr>
              <w:t>2）视频整体制作水平良好，在线课程视频提供5种以上拍摄模式；提供4门以上课程包装设计，较好体现课程特色和课程元素，传播力及感染力较强，得</w:t>
            </w:r>
            <w:r>
              <w:rPr>
                <w:rFonts w:hint="default"/>
                <w:sz w:val="24"/>
                <w:lang w:val="en-US" w:eastAsia="zh-CN"/>
              </w:rPr>
              <w:t>6</w:t>
            </w:r>
            <w:r>
              <w:rPr>
                <w:rFonts w:hint="eastAsia"/>
                <w:sz w:val="24"/>
              </w:rPr>
              <w:t>分；</w:t>
            </w:r>
          </w:p>
          <w:p>
            <w:pPr>
              <w:ind w:left="-2" w:leftChars="-1"/>
              <w:rPr>
                <w:rFonts w:hint="eastAsia"/>
                <w:sz w:val="24"/>
              </w:rPr>
            </w:pPr>
            <w:r>
              <w:rPr>
                <w:rFonts w:hint="eastAsia"/>
                <w:sz w:val="24"/>
              </w:rPr>
              <w:t>3）视频整体制作水平一般，在线课程视频提供3种以上拍摄模式； 提供3门以上课程包装设计,课程特色和课程元素一般，传播力及感染力一般；平台功能、界面、操作一般；手机端功能一般，界面一般，操作一般，得</w:t>
            </w:r>
            <w:r>
              <w:rPr>
                <w:rFonts w:hint="eastAsia"/>
                <w:sz w:val="24"/>
                <w:lang w:val="en-US" w:eastAsia="zh-CN"/>
              </w:rPr>
              <w:t>3</w:t>
            </w:r>
            <w:r>
              <w:rPr>
                <w:rFonts w:hint="eastAsia"/>
                <w:sz w:val="24"/>
              </w:rPr>
              <w:t>分；</w:t>
            </w:r>
          </w:p>
          <w:p>
            <w:pPr>
              <w:ind w:left="-2" w:leftChars="-1"/>
              <w:rPr>
                <w:rFonts w:hint="eastAsia"/>
                <w:sz w:val="24"/>
              </w:rPr>
            </w:pPr>
            <w:r>
              <w:rPr>
                <w:rFonts w:hint="eastAsia"/>
                <w:sz w:val="24"/>
              </w:rPr>
              <w:t>上述演示</w:t>
            </w:r>
            <w:r>
              <w:rPr>
                <w:rFonts w:hint="eastAsia"/>
                <w:sz w:val="24"/>
                <w:lang w:val="en-US" w:eastAsia="zh-CN"/>
              </w:rPr>
              <w:t>通过U盘或者光盘</w:t>
            </w:r>
            <w:r>
              <w:rPr>
                <w:rFonts w:hint="eastAsia"/>
                <w:sz w:val="24"/>
              </w:rPr>
              <w:t>提供演示视频，未提供演示视频不得分。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pPr>
              <w:ind w:left="-2" w:leftChars="-1"/>
              <w:rPr>
                <w:rFonts w:hint="eastAsia"/>
                <w:sz w:val="24"/>
              </w:rPr>
            </w:pPr>
          </w:p>
        </w:tc>
        <w:tc>
          <w:tcPr>
            <w:tcW w:w="1980" w:type="dxa"/>
            <w:noWrap/>
            <w:vAlign w:val="center"/>
          </w:tcPr>
          <w:p>
            <w:pPr>
              <w:ind w:left="-2" w:leftChars="-1"/>
              <w:rPr>
                <w:rFonts w:hint="eastAsia"/>
                <w:sz w:val="24"/>
              </w:rPr>
            </w:pPr>
            <w:r>
              <w:rPr>
                <w:rFonts w:hint="eastAsia"/>
                <w:sz w:val="24"/>
              </w:rPr>
              <w:t>售后服务方案</w:t>
            </w:r>
          </w:p>
        </w:tc>
        <w:tc>
          <w:tcPr>
            <w:tcW w:w="1080" w:type="dxa"/>
            <w:noWrap/>
            <w:vAlign w:val="center"/>
          </w:tcPr>
          <w:p>
            <w:pPr>
              <w:ind w:left="-2" w:leftChars="-1"/>
              <w:rPr>
                <w:rFonts w:hint="default"/>
                <w:sz w:val="24"/>
                <w:lang w:val="en-US" w:eastAsia="zh-CN"/>
              </w:rPr>
            </w:pPr>
            <w:r>
              <w:rPr>
                <w:rFonts w:hint="eastAsia"/>
                <w:sz w:val="24"/>
                <w:lang w:val="en-US" w:eastAsia="zh-CN"/>
              </w:rPr>
              <w:t>5</w:t>
            </w:r>
          </w:p>
        </w:tc>
        <w:tc>
          <w:tcPr>
            <w:tcW w:w="5400" w:type="dxa"/>
            <w:noWrap/>
            <w:vAlign w:val="center"/>
          </w:tcPr>
          <w:p>
            <w:pPr>
              <w:ind w:left="-2" w:leftChars="-1"/>
              <w:rPr>
                <w:rFonts w:hint="eastAsia"/>
                <w:sz w:val="24"/>
              </w:rPr>
            </w:pPr>
            <w:r>
              <w:rPr>
                <w:rFonts w:hint="eastAsia"/>
                <w:sz w:val="24"/>
              </w:rPr>
              <w:t>售后服务方案包括但不限于售后服务体系、技术咨询路径、售后服务人员等内容，进行综合评分：</w:t>
            </w:r>
          </w:p>
          <w:p>
            <w:pPr>
              <w:ind w:left="-2" w:leftChars="-1"/>
              <w:rPr>
                <w:rFonts w:hint="eastAsia"/>
                <w:sz w:val="24"/>
              </w:rPr>
            </w:pPr>
            <w:r>
              <w:rPr>
                <w:rFonts w:hint="eastAsia"/>
                <w:sz w:val="24"/>
              </w:rPr>
              <w:t>具有明确的售后服务体系且科学完整的，得1分；</w:t>
            </w:r>
          </w:p>
          <w:p>
            <w:pPr>
              <w:ind w:left="-2" w:leftChars="-1"/>
              <w:rPr>
                <w:rFonts w:hint="eastAsia"/>
                <w:sz w:val="24"/>
              </w:rPr>
            </w:pPr>
            <w:r>
              <w:rPr>
                <w:rFonts w:hint="eastAsia"/>
                <w:sz w:val="24"/>
              </w:rPr>
              <w:t>具有明确的技术咨询路径且合理可行的，得1分；</w:t>
            </w:r>
          </w:p>
          <w:p>
            <w:pPr>
              <w:ind w:left="-2" w:leftChars="-1"/>
              <w:rPr>
                <w:rFonts w:hint="eastAsia"/>
                <w:sz w:val="24"/>
              </w:rPr>
            </w:pPr>
            <w:r>
              <w:rPr>
                <w:rFonts w:hint="eastAsia"/>
                <w:sz w:val="24"/>
              </w:rPr>
              <w:t>为本项目配有售后服务人员且科学合理的，得1分；</w:t>
            </w:r>
          </w:p>
          <w:p>
            <w:pPr>
              <w:ind w:left="-2" w:leftChars="-1"/>
              <w:rPr>
                <w:rFonts w:hint="eastAsia"/>
                <w:sz w:val="24"/>
              </w:rPr>
            </w:pPr>
            <w:r>
              <w:rPr>
                <w:rFonts w:hint="eastAsia"/>
                <w:sz w:val="24"/>
              </w:rPr>
              <w:t>整体售后服务方案完整且与本项目服务需求相匹配的，得2分；</w:t>
            </w:r>
          </w:p>
          <w:p>
            <w:pPr>
              <w:ind w:left="-2" w:leftChars="-1"/>
              <w:rPr>
                <w:rFonts w:hint="eastAsia"/>
                <w:sz w:val="24"/>
              </w:rPr>
            </w:pPr>
            <w:r>
              <w:rPr>
                <w:rFonts w:hint="eastAsia"/>
                <w:sz w:val="24"/>
              </w:rPr>
              <w:t>其他不得分。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648" w:type="dxa"/>
            <w:vMerge w:val="restart"/>
            <w:noWrap/>
            <w:textDirection w:val="tbRlV"/>
            <w:vAlign w:val="center"/>
          </w:tcPr>
          <w:p>
            <w:pPr>
              <w:ind w:left="-2" w:leftChars="-1"/>
              <w:rPr>
                <w:rFonts w:hint="eastAsia"/>
                <w:sz w:val="24"/>
              </w:rPr>
            </w:pPr>
            <w:r>
              <w:rPr>
                <w:rFonts w:hint="eastAsia"/>
                <w:sz w:val="24"/>
              </w:rPr>
              <w:t>商务因素</w:t>
            </w:r>
          </w:p>
        </w:tc>
        <w:tc>
          <w:tcPr>
            <w:tcW w:w="1980" w:type="dxa"/>
            <w:noWrap/>
            <w:vAlign w:val="center"/>
          </w:tcPr>
          <w:p>
            <w:pPr>
              <w:ind w:left="-2" w:leftChars="-1"/>
              <w:rPr>
                <w:rFonts w:hint="eastAsia"/>
                <w:sz w:val="24"/>
              </w:rPr>
            </w:pPr>
            <w:r>
              <w:rPr>
                <w:rFonts w:hint="eastAsia"/>
                <w:sz w:val="24"/>
              </w:rPr>
              <w:t>课程发布平台</w:t>
            </w:r>
          </w:p>
        </w:tc>
        <w:tc>
          <w:tcPr>
            <w:tcW w:w="1080" w:type="dxa"/>
            <w:noWrap/>
            <w:vAlign w:val="center"/>
          </w:tcPr>
          <w:p>
            <w:pPr>
              <w:ind w:left="-2" w:leftChars="-1"/>
              <w:rPr>
                <w:rFonts w:hint="eastAsia"/>
                <w:sz w:val="24"/>
                <w:lang w:eastAsia="zh-CN"/>
              </w:rPr>
            </w:pPr>
            <w:r>
              <w:rPr>
                <w:rFonts w:hint="eastAsia"/>
                <w:sz w:val="24"/>
                <w:lang w:val="en-US" w:eastAsia="zh-CN"/>
              </w:rPr>
              <w:t>1</w:t>
            </w:r>
          </w:p>
        </w:tc>
        <w:tc>
          <w:tcPr>
            <w:tcW w:w="5400" w:type="dxa"/>
            <w:noWrap/>
            <w:vAlign w:val="center"/>
          </w:tcPr>
          <w:p>
            <w:pPr>
              <w:ind w:left="-2" w:leftChars="-1"/>
              <w:rPr>
                <w:rFonts w:hint="eastAsia"/>
                <w:sz w:val="24"/>
              </w:rPr>
            </w:pPr>
            <w:r>
              <w:rPr>
                <w:rFonts w:hint="eastAsia"/>
                <w:sz w:val="24"/>
              </w:rPr>
              <w:t>提供慕课发布平台截图</w:t>
            </w:r>
            <w:r>
              <w:rPr>
                <w:rFonts w:hint="default"/>
                <w:sz w:val="24"/>
                <w:lang w:val="en-US"/>
              </w:rPr>
              <w:t>和相关计算机软件著作权登记证书</w:t>
            </w:r>
            <w:r>
              <w:rPr>
                <w:rFonts w:hint="eastAsia"/>
                <w:sz w:val="24"/>
              </w:rPr>
              <w:t>得1分，未提供得0分。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648" w:type="dxa"/>
            <w:vMerge w:val="continue"/>
            <w:noWrap/>
            <w:textDirection w:val="tbRlV"/>
            <w:vAlign w:val="center"/>
          </w:tcPr>
          <w:p>
            <w:pPr>
              <w:ind w:left="-2" w:leftChars="-1"/>
              <w:rPr>
                <w:rFonts w:hint="eastAsia"/>
                <w:sz w:val="24"/>
              </w:rPr>
            </w:pPr>
          </w:p>
        </w:tc>
        <w:tc>
          <w:tcPr>
            <w:tcW w:w="1980" w:type="dxa"/>
            <w:noWrap/>
            <w:vAlign w:val="center"/>
          </w:tcPr>
          <w:p>
            <w:pPr>
              <w:ind w:left="-2" w:leftChars="-1"/>
              <w:rPr>
                <w:rFonts w:hint="eastAsia"/>
                <w:sz w:val="24"/>
              </w:rPr>
            </w:pPr>
            <w:r>
              <w:rPr>
                <w:rFonts w:hint="eastAsia"/>
                <w:sz w:val="24"/>
              </w:rPr>
              <w:t>制作国家精品在线开放课实力</w:t>
            </w:r>
          </w:p>
        </w:tc>
        <w:tc>
          <w:tcPr>
            <w:tcW w:w="1080" w:type="dxa"/>
            <w:noWrap/>
            <w:vAlign w:val="center"/>
          </w:tcPr>
          <w:p>
            <w:pPr>
              <w:ind w:left="-2" w:leftChars="-1"/>
              <w:rPr>
                <w:rFonts w:hint="default"/>
                <w:sz w:val="24"/>
                <w:lang w:val="en-US" w:eastAsia="zh-CN"/>
              </w:rPr>
            </w:pPr>
            <w:r>
              <w:rPr>
                <w:rFonts w:hint="eastAsia"/>
                <w:sz w:val="24"/>
                <w:lang w:val="en-US" w:eastAsia="zh-CN"/>
              </w:rPr>
              <w:t>15</w:t>
            </w:r>
          </w:p>
        </w:tc>
        <w:tc>
          <w:tcPr>
            <w:tcW w:w="5400" w:type="dxa"/>
            <w:noWrap/>
            <w:vAlign w:val="center"/>
          </w:tcPr>
          <w:p>
            <w:pPr>
              <w:ind w:left="-2" w:leftChars="-1"/>
              <w:rPr>
                <w:rFonts w:hint="eastAsia"/>
                <w:sz w:val="24"/>
              </w:rPr>
            </w:pPr>
            <w:r>
              <w:rPr>
                <w:rFonts w:hint="eastAsia"/>
                <w:sz w:val="24"/>
              </w:rPr>
              <w:t>投标人所提供的课程平台，是教育部国家精品在线开放课程的主要申报平台之一</w:t>
            </w:r>
            <w:r>
              <w:rPr>
                <w:rFonts w:hint="eastAsia"/>
                <w:sz w:val="24"/>
                <w:lang w:eastAsia="zh-CN"/>
              </w:rPr>
              <w:t>，历年来，通过该平台申报并评上</w:t>
            </w:r>
            <w:r>
              <w:rPr>
                <w:rFonts w:hint="eastAsia"/>
                <w:sz w:val="24"/>
              </w:rPr>
              <w:t>国家级线上一流本科课程（含2017年、2018年国家精品在线开放课程）认定情况：</w:t>
            </w:r>
            <w:r>
              <w:rPr>
                <w:rFonts w:hint="eastAsia"/>
                <w:sz w:val="24"/>
                <w:lang w:val="en-US" w:eastAsia="zh-CN"/>
              </w:rPr>
              <w:t xml:space="preserve"> </w:t>
            </w:r>
            <w:r>
              <w:rPr>
                <w:rFonts w:hint="eastAsia"/>
                <w:sz w:val="24"/>
              </w:rPr>
              <w:t>按认定课程的数量进行打分，</w:t>
            </w:r>
            <w:r>
              <w:rPr>
                <w:rFonts w:hint="eastAsia"/>
                <w:sz w:val="24"/>
                <w:lang w:val="en-US" w:eastAsia="zh-CN"/>
              </w:rPr>
              <w:t>4</w:t>
            </w:r>
            <w:r>
              <w:rPr>
                <w:rFonts w:hint="eastAsia"/>
                <w:sz w:val="24"/>
              </w:rPr>
              <w:t>00门及以上得15分， 350-399门得12分， 300-349门得9分， 250-299门得6分， 200-249门得3分，200门及以下不得分。</w:t>
            </w:r>
          </w:p>
          <w:p>
            <w:pPr>
              <w:ind w:left="-2" w:leftChars="-1"/>
              <w:rPr>
                <w:rFonts w:hint="eastAsia"/>
                <w:sz w:val="24"/>
              </w:rPr>
            </w:pPr>
            <w:r>
              <w:rPr>
                <w:rFonts w:hint="eastAsia"/>
                <w:sz w:val="24"/>
              </w:rPr>
              <w:t>注</w:t>
            </w:r>
            <w:r>
              <w:rPr>
                <w:rFonts w:hint="eastAsia"/>
                <w:sz w:val="24"/>
                <w:lang w:eastAsia="zh-CN"/>
              </w:rPr>
              <w:t>：</w:t>
            </w:r>
            <w:r>
              <w:rPr>
                <w:rFonts w:hint="eastAsia"/>
                <w:sz w:val="24"/>
              </w:rPr>
              <w:t>提供符合要求的课程清单目录，同时附上教育部国家级线上一流本科课程（含2017年、2018年国家精品在线开放课程）正式发文文件（清单中对应课程需突出显示），以便核实，未提供不得分。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48" w:type="dxa"/>
            <w:vMerge w:val="continue"/>
            <w:noWrap/>
            <w:textDirection w:val="tbRlV"/>
            <w:vAlign w:val="center"/>
          </w:tcPr>
          <w:p>
            <w:pPr>
              <w:ind w:left="-2" w:leftChars="-1"/>
              <w:rPr>
                <w:rFonts w:hint="eastAsia"/>
                <w:sz w:val="24"/>
              </w:rPr>
            </w:pPr>
          </w:p>
        </w:tc>
        <w:tc>
          <w:tcPr>
            <w:tcW w:w="1980" w:type="dxa"/>
            <w:noWrap/>
            <w:vAlign w:val="center"/>
          </w:tcPr>
          <w:p>
            <w:pPr>
              <w:ind w:left="-2" w:leftChars="-1"/>
              <w:rPr>
                <w:rFonts w:hint="eastAsia"/>
                <w:sz w:val="24"/>
              </w:rPr>
            </w:pPr>
            <w:r>
              <w:rPr>
                <w:rFonts w:hint="eastAsia"/>
                <w:sz w:val="24"/>
              </w:rPr>
              <w:t>慕课制作能力</w:t>
            </w:r>
          </w:p>
        </w:tc>
        <w:tc>
          <w:tcPr>
            <w:tcW w:w="1080" w:type="dxa"/>
            <w:noWrap/>
            <w:vAlign w:val="center"/>
          </w:tcPr>
          <w:p>
            <w:pPr>
              <w:ind w:left="-2" w:leftChars="-1"/>
              <w:rPr>
                <w:rFonts w:hint="eastAsia"/>
                <w:sz w:val="24"/>
                <w:lang w:eastAsia="zh-CN"/>
              </w:rPr>
            </w:pPr>
            <w:r>
              <w:rPr>
                <w:rFonts w:hint="eastAsia"/>
                <w:sz w:val="24"/>
                <w:lang w:val="en-US" w:eastAsia="zh-CN"/>
              </w:rPr>
              <w:t>3</w:t>
            </w:r>
          </w:p>
        </w:tc>
        <w:tc>
          <w:tcPr>
            <w:tcW w:w="5400" w:type="dxa"/>
            <w:noWrap/>
            <w:vAlign w:val="center"/>
          </w:tcPr>
          <w:p>
            <w:pPr>
              <w:ind w:left="-2" w:leftChars="-1"/>
              <w:rPr>
                <w:rFonts w:hint="eastAsia"/>
                <w:sz w:val="24"/>
              </w:rPr>
            </w:pPr>
            <w:r>
              <w:rPr>
                <w:rFonts w:hint="eastAsia"/>
                <w:sz w:val="24"/>
              </w:rPr>
              <w:t>投标人具有视频录播系统类专利，满足得</w:t>
            </w:r>
            <w:r>
              <w:rPr>
                <w:rFonts w:hint="default"/>
                <w:sz w:val="24"/>
                <w:lang w:val="en-US" w:eastAsia="zh-CN"/>
              </w:rPr>
              <w:t>3</w:t>
            </w:r>
            <w:r>
              <w:rPr>
                <w:rFonts w:hint="eastAsia"/>
                <w:sz w:val="24"/>
              </w:rPr>
              <w:t>分，不提供不得分［要求提供有效的产权（专利）证书等证明材料作为得分依据。以上资料要求提供扫描件（或官方网站截图），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48" w:type="dxa"/>
            <w:vMerge w:val="continue"/>
            <w:noWrap/>
            <w:textDirection w:val="tbRlV"/>
            <w:vAlign w:val="center"/>
          </w:tcPr>
          <w:p>
            <w:pPr>
              <w:ind w:left="-2" w:leftChars="-1"/>
              <w:rPr>
                <w:rFonts w:hint="eastAsia"/>
                <w:sz w:val="24"/>
              </w:rPr>
            </w:pPr>
          </w:p>
        </w:tc>
        <w:tc>
          <w:tcPr>
            <w:tcW w:w="1980" w:type="dxa"/>
            <w:noWrap/>
            <w:vAlign w:val="center"/>
          </w:tcPr>
          <w:p>
            <w:pPr>
              <w:ind w:left="-2" w:leftChars="-1"/>
              <w:rPr>
                <w:rFonts w:hint="eastAsia"/>
                <w:sz w:val="24"/>
              </w:rPr>
            </w:pPr>
            <w:r>
              <w:rPr>
                <w:rFonts w:hint="eastAsia"/>
                <w:sz w:val="24"/>
              </w:rPr>
              <w:t>教育服务能力</w:t>
            </w:r>
          </w:p>
        </w:tc>
        <w:tc>
          <w:tcPr>
            <w:tcW w:w="1080" w:type="dxa"/>
            <w:noWrap/>
            <w:vAlign w:val="center"/>
          </w:tcPr>
          <w:p>
            <w:pPr>
              <w:ind w:left="-2" w:leftChars="-1"/>
              <w:rPr>
                <w:rFonts w:hint="eastAsia"/>
                <w:sz w:val="24"/>
                <w:lang w:val="en-US" w:eastAsia="zh-CN"/>
              </w:rPr>
            </w:pPr>
            <w:r>
              <w:rPr>
                <w:rFonts w:hint="eastAsia"/>
                <w:sz w:val="24"/>
                <w:lang w:val="en-US" w:eastAsia="zh-CN"/>
              </w:rPr>
              <w:t>6</w:t>
            </w:r>
          </w:p>
        </w:tc>
        <w:tc>
          <w:tcPr>
            <w:tcW w:w="5400" w:type="dxa"/>
            <w:noWrap/>
            <w:vAlign w:val="center"/>
          </w:tcPr>
          <w:p>
            <w:pPr>
              <w:ind w:left="-2" w:leftChars="-1"/>
              <w:rPr>
                <w:rFonts w:hint="eastAsia"/>
                <w:sz w:val="24"/>
              </w:rPr>
            </w:pPr>
            <w:r>
              <w:rPr>
                <w:rFonts w:hint="eastAsia"/>
                <w:sz w:val="24"/>
              </w:rPr>
              <w:t>投标人所提供的课程平台（具有相应的软件著作权登记证书以及软件产品证书，如：教学成果展示门户软件、教学数据中台、教学资源管理平台、课程资源库软件、在线协作集体备课平台软件、评审管理平台软件、课程思政数字展示平台软件）的，得</w:t>
            </w:r>
            <w:r>
              <w:rPr>
                <w:rFonts w:hint="eastAsia"/>
                <w:sz w:val="24"/>
                <w:lang w:val="en-US" w:eastAsia="zh-CN"/>
              </w:rPr>
              <w:t>6</w:t>
            </w:r>
            <w:r>
              <w:rPr>
                <w:rFonts w:hint="eastAsia"/>
                <w:sz w:val="24"/>
              </w:rPr>
              <w:t>分；每缺少一个软件著作权登记证书及产品证书的扣1分，扣完为止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48" w:type="dxa"/>
            <w:vMerge w:val="continue"/>
            <w:noWrap/>
            <w:textDirection w:val="tbRlV"/>
            <w:vAlign w:val="center"/>
          </w:tcPr>
          <w:p>
            <w:pPr>
              <w:ind w:left="-2" w:leftChars="-1"/>
              <w:rPr>
                <w:rFonts w:hint="eastAsia"/>
                <w:sz w:val="24"/>
              </w:rPr>
            </w:pPr>
          </w:p>
        </w:tc>
        <w:tc>
          <w:tcPr>
            <w:tcW w:w="1980" w:type="dxa"/>
            <w:noWrap/>
            <w:vAlign w:val="center"/>
          </w:tcPr>
          <w:p>
            <w:pPr>
              <w:ind w:left="-2" w:leftChars="-1"/>
              <w:rPr>
                <w:rFonts w:hint="eastAsia"/>
                <w:sz w:val="24"/>
              </w:rPr>
            </w:pPr>
            <w:r>
              <w:rPr>
                <w:rFonts w:hint="eastAsia"/>
                <w:sz w:val="24"/>
              </w:rPr>
              <w:t>课程运行能力</w:t>
            </w:r>
          </w:p>
        </w:tc>
        <w:tc>
          <w:tcPr>
            <w:tcW w:w="1080" w:type="dxa"/>
            <w:noWrap/>
            <w:vAlign w:val="center"/>
          </w:tcPr>
          <w:p>
            <w:pPr>
              <w:ind w:left="-2" w:leftChars="-1"/>
              <w:rPr>
                <w:rFonts w:hint="default"/>
                <w:sz w:val="24"/>
                <w:lang w:val="en-US" w:eastAsia="zh-CN"/>
              </w:rPr>
            </w:pPr>
            <w:r>
              <w:rPr>
                <w:rFonts w:hint="eastAsia"/>
                <w:sz w:val="24"/>
                <w:lang w:val="en-US" w:eastAsia="zh-CN"/>
              </w:rPr>
              <w:t>10</w:t>
            </w:r>
          </w:p>
        </w:tc>
        <w:tc>
          <w:tcPr>
            <w:tcW w:w="5400" w:type="dxa"/>
            <w:noWrap/>
            <w:vAlign w:val="center"/>
          </w:tcPr>
          <w:p>
            <w:pPr>
              <w:ind w:left="-2" w:leftChars="-1"/>
              <w:rPr>
                <w:rFonts w:hint="eastAsia"/>
                <w:sz w:val="24"/>
              </w:rPr>
            </w:pPr>
            <w:r>
              <w:rPr>
                <w:rFonts w:hint="eastAsia"/>
                <w:sz w:val="24"/>
              </w:rPr>
              <w:t>课程运行平台企业具备多校区直播互动共享课程直播运行能力。提供具备课程直播运行互动相关的软件，提供证书复印件并加盖供应商公章，提供一项得</w:t>
            </w:r>
            <w:r>
              <w:rPr>
                <w:rFonts w:hint="eastAsia"/>
                <w:sz w:val="24"/>
                <w:lang w:val="en-US" w:eastAsia="zh-CN"/>
              </w:rPr>
              <w:t>4</w:t>
            </w:r>
            <w:r>
              <w:rPr>
                <w:rFonts w:hint="eastAsia"/>
                <w:sz w:val="24"/>
              </w:rPr>
              <w:t>分，最多</w:t>
            </w:r>
            <w:r>
              <w:rPr>
                <w:rFonts w:hint="eastAsia"/>
                <w:sz w:val="24"/>
                <w:lang w:val="en-US" w:eastAsia="zh-CN"/>
              </w:rPr>
              <w:t>8</w:t>
            </w:r>
            <w:r>
              <w:rPr>
                <w:rFonts w:hint="eastAsia"/>
                <w:sz w:val="24"/>
              </w:rPr>
              <w:t>分，未提供得0分；提供至少 2 次见面课采风平台和微信报道案例截图。提供截图并加盖供应商公章得2 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48" w:type="dxa"/>
            <w:vMerge w:val="continue"/>
            <w:noWrap/>
            <w:textDirection w:val="tbRlV"/>
            <w:vAlign w:val="center"/>
          </w:tcPr>
          <w:p>
            <w:pPr>
              <w:ind w:left="-2" w:leftChars="-1"/>
              <w:rPr>
                <w:rFonts w:hint="eastAsia"/>
                <w:sz w:val="24"/>
              </w:rPr>
            </w:pPr>
          </w:p>
        </w:tc>
        <w:tc>
          <w:tcPr>
            <w:tcW w:w="1980" w:type="dxa"/>
            <w:noWrap/>
            <w:vAlign w:val="center"/>
          </w:tcPr>
          <w:p>
            <w:pPr>
              <w:ind w:left="-2" w:leftChars="-1"/>
              <w:rPr>
                <w:rFonts w:hint="eastAsia"/>
                <w:sz w:val="24"/>
              </w:rPr>
            </w:pPr>
            <w:r>
              <w:rPr>
                <w:rFonts w:hint="eastAsia"/>
                <w:sz w:val="24"/>
              </w:rPr>
              <w:t>平台可申报国家在线开放课程</w:t>
            </w:r>
          </w:p>
        </w:tc>
        <w:tc>
          <w:tcPr>
            <w:tcW w:w="1080" w:type="dxa"/>
            <w:noWrap/>
            <w:vAlign w:val="center"/>
          </w:tcPr>
          <w:p>
            <w:pPr>
              <w:ind w:left="-2" w:leftChars="-1"/>
              <w:rPr>
                <w:rFonts w:hint="default"/>
                <w:sz w:val="24"/>
                <w:lang w:val="en-US" w:eastAsia="zh-CN"/>
              </w:rPr>
            </w:pPr>
            <w:r>
              <w:rPr>
                <w:rFonts w:hint="eastAsia"/>
                <w:sz w:val="24"/>
                <w:lang w:val="en-US" w:eastAsia="zh-CN"/>
              </w:rPr>
              <w:t>3</w:t>
            </w:r>
          </w:p>
        </w:tc>
        <w:tc>
          <w:tcPr>
            <w:tcW w:w="5400" w:type="dxa"/>
            <w:noWrap/>
            <w:vAlign w:val="center"/>
          </w:tcPr>
          <w:p>
            <w:pPr>
              <w:ind w:left="-2" w:leftChars="-1"/>
              <w:rPr>
                <w:rFonts w:hint="eastAsia"/>
                <w:sz w:val="24"/>
              </w:rPr>
            </w:pPr>
            <w:r>
              <w:rPr>
                <w:rFonts w:hint="eastAsia"/>
                <w:sz w:val="24"/>
              </w:rPr>
              <w:t>投标人拥有自有或者被授权的课程发布平台是国家在线开放课程申报平台之一。提供证明材料并加盖公章，满足得3分，不满足得0分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48" w:type="dxa"/>
            <w:vMerge w:val="continue"/>
            <w:noWrap/>
            <w:textDirection w:val="tbRlV"/>
            <w:vAlign w:val="center"/>
          </w:tcPr>
          <w:p>
            <w:pPr>
              <w:ind w:left="-2" w:leftChars="-1"/>
              <w:rPr>
                <w:rFonts w:hint="eastAsia"/>
                <w:sz w:val="24"/>
              </w:rPr>
            </w:pPr>
          </w:p>
        </w:tc>
        <w:tc>
          <w:tcPr>
            <w:tcW w:w="1980" w:type="dxa"/>
            <w:noWrap/>
            <w:vAlign w:val="center"/>
          </w:tcPr>
          <w:p>
            <w:pPr>
              <w:ind w:left="-2" w:leftChars="-1"/>
              <w:rPr>
                <w:rFonts w:hint="eastAsia"/>
                <w:sz w:val="24"/>
              </w:rPr>
            </w:pPr>
            <w:r>
              <w:rPr>
                <w:rFonts w:hint="eastAsia"/>
                <w:sz w:val="24"/>
              </w:rPr>
              <w:t>知识产权</w:t>
            </w:r>
          </w:p>
        </w:tc>
        <w:tc>
          <w:tcPr>
            <w:tcW w:w="1080" w:type="dxa"/>
            <w:noWrap/>
            <w:vAlign w:val="center"/>
          </w:tcPr>
          <w:p>
            <w:pPr>
              <w:ind w:left="-2" w:leftChars="-1"/>
              <w:rPr>
                <w:rFonts w:hint="default"/>
                <w:sz w:val="24"/>
                <w:lang w:val="en-US" w:eastAsia="zh-CN"/>
              </w:rPr>
            </w:pPr>
            <w:r>
              <w:rPr>
                <w:rFonts w:hint="eastAsia"/>
                <w:sz w:val="24"/>
                <w:lang w:val="en-US" w:eastAsia="zh-CN"/>
              </w:rPr>
              <w:t>2</w:t>
            </w:r>
          </w:p>
        </w:tc>
        <w:tc>
          <w:tcPr>
            <w:tcW w:w="5400" w:type="dxa"/>
            <w:noWrap/>
            <w:vAlign w:val="center"/>
          </w:tcPr>
          <w:p>
            <w:pPr>
              <w:ind w:left="-2" w:leftChars="-1"/>
              <w:rPr>
                <w:rFonts w:hint="eastAsia"/>
                <w:sz w:val="24"/>
              </w:rPr>
            </w:pPr>
            <w:r>
              <w:rPr>
                <w:rFonts w:hint="eastAsia"/>
                <w:sz w:val="24"/>
              </w:rPr>
              <w:t>课程运行平台企业提供仍在有效期内，认证范围包含数字内容制作服务相关的知识产权管理体系认证证书及评测报告，提供证书复印件和测评报告复印件并加盖供应商公章，提供得</w:t>
            </w:r>
            <w:r>
              <w:rPr>
                <w:rFonts w:hint="eastAsia"/>
                <w:sz w:val="24"/>
                <w:lang w:val="en-US" w:eastAsia="zh-CN"/>
              </w:rPr>
              <w:t>2</w:t>
            </w:r>
            <w:r>
              <w:rPr>
                <w:rFonts w:hint="eastAsia"/>
                <w:sz w:val="24"/>
              </w:rPr>
              <w:t>分，未提供或提供不全得0分。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9108" w:type="dxa"/>
            <w:gridSpan w:val="4"/>
            <w:noWrap/>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备注：评分细则中如需要报价人提供证明材料的，供应商应在报价文件中提交证明材料。</w:t>
            </w:r>
          </w:p>
        </w:tc>
      </w:tr>
    </w:tbl>
    <w:p>
      <w:pPr>
        <w:spacing w:line="400" w:lineRule="exact"/>
        <w:ind w:firstLine="480" w:firstLineChars="200"/>
        <w:rPr>
          <w:rFonts w:ascii="宋体" w:hAnsi="宋体"/>
          <w:sz w:val="28"/>
          <w:szCs w:val="28"/>
        </w:rPr>
      </w:pPr>
      <w:r>
        <w:rPr>
          <w:rFonts w:hint="eastAsia" w:asciiTheme="minorEastAsia" w:hAnsiTheme="minorEastAsia" w:eastAsiaTheme="minorEastAsia"/>
          <w:color w:val="000000"/>
          <w:sz w:val="24"/>
        </w:rPr>
        <w:t>注：各评委按规定的范围内进行量化打分，并统计总分。</w:t>
      </w:r>
    </w:p>
    <w:p>
      <w:pPr>
        <w:pStyle w:val="2"/>
      </w:pPr>
      <w:bookmarkStart w:id="23" w:name="_Toc60236707"/>
      <w:r>
        <w:rPr>
          <w:rFonts w:hint="eastAsia"/>
        </w:rPr>
        <w:br w:type="page"/>
      </w:r>
      <w:bookmarkStart w:id="24" w:name="_Toc5254"/>
      <w:r>
        <w:rPr>
          <w:rFonts w:hint="eastAsia"/>
        </w:rPr>
        <w:t>第二部分</w:t>
      </w:r>
      <w:bookmarkEnd w:id="23"/>
      <w:r>
        <w:rPr>
          <w:rFonts w:hint="eastAsia"/>
        </w:rPr>
        <w:t xml:space="preserve">  采购需求书</w:t>
      </w:r>
      <w:bookmarkEnd w:id="24"/>
    </w:p>
    <w:p>
      <w:pPr>
        <w:pStyle w:val="3"/>
        <w:spacing w:line="560" w:lineRule="exact"/>
      </w:pPr>
      <w:bookmarkStart w:id="25" w:name="_Toc179"/>
      <w:r>
        <w:rPr>
          <w:rFonts w:hint="eastAsia"/>
        </w:rPr>
        <w:t>一、技术（服务）要求</w:t>
      </w:r>
      <w:bookmarkEnd w:id="25"/>
    </w:p>
    <w:p>
      <w:pPr>
        <w:spacing w:line="560" w:lineRule="exact"/>
        <w:ind w:firstLine="562" w:firstLineChars="200"/>
        <w:rPr>
          <w:rFonts w:ascii="宋体" w:hAnsi="宋体"/>
          <w:b/>
          <w:bCs/>
          <w:kern w:val="0"/>
          <w:sz w:val="28"/>
          <w:szCs w:val="28"/>
        </w:rPr>
      </w:pPr>
      <w:r>
        <w:rPr>
          <w:rFonts w:hint="eastAsia" w:ascii="宋体" w:hAnsi="宋体"/>
          <w:b/>
          <w:bCs/>
          <w:kern w:val="0"/>
          <w:sz w:val="28"/>
          <w:szCs w:val="28"/>
        </w:rPr>
        <w:t>（一）采购清单：</w:t>
      </w:r>
    </w:p>
    <w:tbl>
      <w:tblPr>
        <w:tblStyle w:val="28"/>
        <w:tblW w:w="5095"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818"/>
        <w:gridCol w:w="4946"/>
        <w:gridCol w:w="2378"/>
        <w:gridCol w:w="101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tblHeader/>
          <w:jc w:val="center"/>
        </w:trPr>
        <w:tc>
          <w:tcPr>
            <w:tcW w:w="447"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1"/>
                <w:rFonts w:hint="eastAsia" w:ascii="宋体" w:hAnsi="宋体" w:cs="宋体"/>
                <w:color w:val="333333"/>
                <w:kern w:val="0"/>
                <w:sz w:val="24"/>
              </w:rPr>
              <w:t>序号</w:t>
            </w:r>
          </w:p>
        </w:tc>
        <w:tc>
          <w:tcPr>
            <w:tcW w:w="2700"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1"/>
                <w:rFonts w:hint="eastAsia" w:ascii="宋体" w:hAnsi="宋体" w:cs="宋体"/>
                <w:color w:val="333333"/>
                <w:kern w:val="0"/>
                <w:sz w:val="24"/>
              </w:rPr>
              <w:t>物资名称</w:t>
            </w:r>
          </w:p>
        </w:tc>
        <w:tc>
          <w:tcPr>
            <w:tcW w:w="1298"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1"/>
                <w:rFonts w:hint="eastAsia" w:ascii="宋体" w:hAnsi="宋体" w:cs="宋体"/>
                <w:color w:val="333333"/>
                <w:kern w:val="0"/>
                <w:sz w:val="24"/>
              </w:rPr>
              <w:t>单位</w:t>
            </w:r>
          </w:p>
        </w:tc>
        <w:tc>
          <w:tcPr>
            <w:tcW w:w="554"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1"/>
                <w:rFonts w:hint="eastAsia" w:ascii="宋体" w:hAnsi="宋体" w:cs="宋体"/>
                <w:color w:val="333333"/>
                <w:kern w:val="0"/>
                <w:sz w:val="24"/>
              </w:rPr>
              <w:t>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7" w:type="pct"/>
            <w:tcBorders>
              <w:top w:val="nil"/>
              <w:left w:val="single" w:color="000000" w:sz="4" w:space="0"/>
              <w:bottom w:val="single" w:color="000000" w:sz="4" w:space="0"/>
              <w:right w:val="single" w:color="000000" w:sz="4" w:space="0"/>
            </w:tcBorders>
            <w:shd w:val="clear" w:color="auto" w:fill="auto"/>
            <w:tcMar>
              <w:left w:w="70" w:type="dxa"/>
              <w:right w:w="70" w:type="dxa"/>
            </w:tcMar>
          </w:tcPr>
          <w:p>
            <w:pPr>
              <w:widowControl/>
              <w:spacing w:line="560" w:lineRule="exact"/>
              <w:jc w:val="center"/>
              <w:rPr>
                <w:rFonts w:ascii="宋体" w:hAnsi="宋体" w:cs="宋体"/>
                <w:sz w:val="24"/>
              </w:rPr>
            </w:pPr>
            <w:r>
              <w:rPr>
                <w:rFonts w:hint="eastAsia" w:ascii="宋体" w:hAnsi="宋体" w:cs="宋体"/>
                <w:color w:val="333333"/>
                <w:kern w:val="0"/>
                <w:sz w:val="24"/>
              </w:rPr>
              <w:t>1</w:t>
            </w:r>
          </w:p>
        </w:tc>
        <w:tc>
          <w:tcPr>
            <w:tcW w:w="2700"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left"/>
              <w:rPr>
                <w:rFonts w:hint="default" w:ascii="宋体" w:hAnsi="宋体" w:eastAsia="宋体" w:cs="宋体"/>
                <w:sz w:val="24"/>
                <w:lang w:val="en-US" w:eastAsia="zh-CN"/>
              </w:rPr>
            </w:pPr>
            <w:r>
              <w:rPr>
                <w:rFonts w:hint="eastAsia" w:ascii="宋体" w:hAnsi="宋体" w:cs="宋体"/>
                <w:sz w:val="24"/>
                <w:lang w:val="en-US" w:eastAsia="zh-CN"/>
              </w:rPr>
              <w:t>在线开放课程建设</w:t>
            </w:r>
          </w:p>
        </w:tc>
        <w:tc>
          <w:tcPr>
            <w:tcW w:w="1298"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eastAsia" w:ascii="宋体" w:hAnsi="宋体" w:eastAsia="宋体" w:cs="宋体"/>
                <w:sz w:val="24"/>
                <w:lang w:val="en-US" w:eastAsia="zh-CN"/>
              </w:rPr>
            </w:pPr>
            <w:r>
              <w:rPr>
                <w:rFonts w:hint="eastAsia" w:ascii="宋体" w:hAnsi="宋体" w:cs="宋体"/>
                <w:sz w:val="24"/>
                <w:lang w:val="en-US" w:eastAsia="zh-CN"/>
              </w:rPr>
              <w:t>门</w:t>
            </w:r>
          </w:p>
        </w:tc>
        <w:tc>
          <w:tcPr>
            <w:tcW w:w="554"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eastAsia" w:ascii="宋体" w:hAnsi="宋体" w:eastAsia="宋体" w:cs="宋体"/>
                <w:sz w:val="24"/>
                <w:lang w:val="en-US" w:eastAsia="zh-CN"/>
              </w:rPr>
            </w:pPr>
            <w:r>
              <w:rPr>
                <w:rFonts w:hint="eastAsia" w:ascii="宋体" w:hAnsi="宋体" w:cs="宋体"/>
                <w:sz w:val="24"/>
                <w:lang w:val="en-US" w:eastAsia="zh-CN"/>
              </w:rPr>
              <w:t>1</w:t>
            </w:r>
          </w:p>
        </w:tc>
      </w:tr>
    </w:tbl>
    <w:p>
      <w:pPr>
        <w:spacing w:line="560" w:lineRule="exact"/>
        <w:ind w:firstLine="562" w:firstLineChars="200"/>
        <w:rPr>
          <w:rFonts w:ascii="宋体" w:hAnsi="宋体"/>
          <w:b/>
          <w:bCs/>
          <w:sz w:val="32"/>
          <w:szCs w:val="32"/>
        </w:rPr>
      </w:pPr>
      <w:r>
        <w:rPr>
          <w:rFonts w:hint="eastAsia" w:ascii="宋体" w:hAnsi="宋体"/>
          <w:b/>
          <w:bCs/>
          <w:kern w:val="0"/>
          <w:sz w:val="28"/>
          <w:szCs w:val="28"/>
        </w:rPr>
        <w:t>（二）具体技术指标及性能要求：</w:t>
      </w:r>
    </w:p>
    <w:tbl>
      <w:tblPr>
        <w:tblStyle w:val="28"/>
        <w:tblpPr w:leftFromText="180" w:rightFromText="180" w:vertAnchor="text" w:horzAnchor="page" w:tblpX="1903" w:tblpY="390"/>
        <w:tblOverlap w:val="never"/>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63"/>
        <w:gridCol w:w="2597"/>
        <w:gridCol w:w="530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09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序号</w:t>
            </w:r>
          </w:p>
        </w:tc>
        <w:tc>
          <w:tcPr>
            <w:tcW w:w="244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服务名称及内容</w:t>
            </w:r>
          </w:p>
        </w:tc>
        <w:tc>
          <w:tcPr>
            <w:tcW w:w="499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技术指标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3" w:hRule="atLeast"/>
        </w:trPr>
        <w:tc>
          <w:tcPr>
            <w:tcW w:w="1095"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2444"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制作团队要求</w:t>
            </w:r>
          </w:p>
        </w:tc>
        <w:tc>
          <w:tcPr>
            <w:tcW w:w="4990"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lang w:val="en-US" w:eastAsia="zh-CN"/>
              </w:rPr>
              <w:t>1.</w:t>
            </w:r>
            <w:r>
              <w:rPr>
                <w:rFonts w:hint="eastAsia" w:ascii="仿宋" w:hAnsi="仿宋" w:eastAsia="仿宋" w:cs="仿宋"/>
                <w:color w:val="auto"/>
                <w:sz w:val="21"/>
                <w:szCs w:val="21"/>
                <w:highlight w:val="none"/>
              </w:rPr>
              <w:t>提供</w:t>
            </w:r>
            <w:r>
              <w:rPr>
                <w:rFonts w:hint="eastAsia" w:ascii="仿宋" w:hAnsi="仿宋" w:eastAsia="仿宋" w:cs="仿宋"/>
                <w:color w:val="auto"/>
                <w:sz w:val="21"/>
                <w:szCs w:val="21"/>
                <w:highlight w:val="none"/>
                <w:lang w:eastAsia="zh-Hans"/>
              </w:rPr>
              <w:t>本</w:t>
            </w:r>
            <w:r>
              <w:rPr>
                <w:rFonts w:hint="eastAsia" w:ascii="仿宋" w:hAnsi="仿宋" w:eastAsia="仿宋" w:cs="仿宋"/>
                <w:color w:val="auto"/>
                <w:sz w:val="21"/>
                <w:szCs w:val="21"/>
                <w:highlight w:val="none"/>
              </w:rPr>
              <w:t>作团队人员名单，各岗位不能兼任。</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2</w:t>
            </w:r>
            <w:r>
              <w:rPr>
                <w:rFonts w:hint="eastAsia" w:ascii="仿宋" w:hAnsi="仿宋" w:eastAsia="仿宋" w:cs="仿宋"/>
                <w:b/>
                <w:bCs/>
                <w:color w:val="auto"/>
                <w:sz w:val="21"/>
                <w:szCs w:val="21"/>
                <w:highlight w:val="none"/>
                <w:lang w:eastAsia="zh-CN"/>
              </w:rPr>
              <w:t>.</w:t>
            </w:r>
            <w:r>
              <w:rPr>
                <w:rFonts w:hint="eastAsia" w:ascii="仿宋" w:hAnsi="仿宋" w:eastAsia="仿宋" w:cs="仿宋"/>
                <w:color w:val="auto"/>
                <w:sz w:val="21"/>
                <w:szCs w:val="21"/>
                <w:highlight w:val="none"/>
              </w:rPr>
              <w:t>制作团队人员在合作期间原则上不允许更换，由于特殊原因确需更换的，需向校方提出申请，校方同意后方可变更。新更换人员的技术职称、资历等条件必须不低于原来人员的技术职称、资历等。否则，按成交人违约处理。情节严重的采购人可以单方面解除合作协议和合同。</w:t>
            </w:r>
          </w:p>
          <w:p>
            <w:pPr>
              <w:keepNext w:val="0"/>
              <w:keepLines w:val="0"/>
              <w:pageBreakBefore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lang w:val="zh-CN"/>
              </w:rPr>
            </w:pPr>
            <w:r>
              <w:rPr>
                <w:rFonts w:hint="eastAsia" w:ascii="仿宋" w:hAnsi="仿宋" w:eastAsia="仿宋" w:cs="仿宋"/>
                <w:b/>
                <w:bCs/>
                <w:color w:val="auto"/>
                <w:sz w:val="21"/>
                <w:szCs w:val="21"/>
                <w:highlight w:val="none"/>
              </w:rPr>
              <w:t>3</w:t>
            </w:r>
            <w:r>
              <w:rPr>
                <w:rFonts w:hint="eastAsia" w:ascii="仿宋" w:hAnsi="仿宋" w:eastAsia="仿宋" w:cs="仿宋"/>
                <w:b/>
                <w:bCs/>
                <w:color w:val="auto"/>
                <w:sz w:val="21"/>
                <w:szCs w:val="21"/>
                <w:highlight w:val="none"/>
                <w:lang w:eastAsia="zh-CN"/>
              </w:rPr>
              <w:t>.</w:t>
            </w:r>
            <w:r>
              <w:rPr>
                <w:rFonts w:hint="eastAsia" w:ascii="仿宋" w:hAnsi="仿宋" w:eastAsia="仿宋" w:cs="仿宋"/>
                <w:color w:val="auto"/>
                <w:sz w:val="21"/>
                <w:szCs w:val="21"/>
                <w:highlight w:val="none"/>
              </w:rPr>
              <w:t>制作团队须按照学校进度要求，提供课程制作服务；如成交人同时承担多门课程制作工作，须保障人员及软硬件数量，达到学校进度要求。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3" w:hRule="atLeast"/>
        </w:trPr>
        <w:tc>
          <w:tcPr>
            <w:tcW w:w="1095"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2444"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软硬件设备配置要求</w:t>
            </w:r>
          </w:p>
        </w:tc>
        <w:tc>
          <w:tcPr>
            <w:tcW w:w="4990"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000000" w:themeColor="text1"/>
                <w:kern w:val="0"/>
                <w:szCs w:val="21"/>
                <w:highlight w:val="none"/>
                <w14:textFill>
                  <w14:solidFill>
                    <w14:schemeClr w14:val="tx1"/>
                  </w14:solidFill>
                </w14:textFill>
              </w:rPr>
              <w:t>★</w:t>
            </w:r>
            <w:r>
              <w:rPr>
                <w:rFonts w:hint="eastAsia" w:ascii="仿宋" w:hAnsi="仿宋" w:eastAsia="仿宋" w:cs="仿宋"/>
                <w:b/>
                <w:bCs/>
                <w:color w:val="auto"/>
                <w:sz w:val="21"/>
                <w:szCs w:val="21"/>
                <w:highlight w:val="none"/>
              </w:rPr>
              <w:t>1</w:t>
            </w:r>
            <w:r>
              <w:rPr>
                <w:rFonts w:hint="eastAsia" w:ascii="仿宋" w:hAnsi="仿宋" w:eastAsia="仿宋" w:cs="仿宋"/>
                <w:b/>
                <w:bCs/>
                <w:color w:val="auto"/>
                <w:sz w:val="21"/>
                <w:szCs w:val="21"/>
                <w:highlight w:val="none"/>
                <w:lang w:val="en-US" w:eastAsia="zh-CN"/>
              </w:rPr>
              <w:t>.</w:t>
            </w:r>
            <w:r>
              <w:rPr>
                <w:rFonts w:hint="eastAsia" w:ascii="仿宋" w:hAnsi="仿宋" w:eastAsia="仿宋" w:cs="仿宋"/>
                <w:color w:val="auto"/>
                <w:sz w:val="21"/>
                <w:szCs w:val="21"/>
                <w:highlight w:val="none"/>
              </w:rPr>
              <w:t>须配备2台以上4K全高清摄像机，多台高清摄像机拍摄设备要同型同款，保证录制效果一致，分辨率不低于4096×2160，25fps，</w:t>
            </w:r>
            <w:r>
              <w:rPr>
                <w:rFonts w:hint="eastAsia" w:ascii="仿宋" w:hAnsi="仿宋" w:eastAsia="仿宋" w:cs="仿宋"/>
                <w:color w:val="auto"/>
                <w:sz w:val="21"/>
                <w:szCs w:val="21"/>
                <w:highlight w:val="none"/>
                <w:lang w:eastAsia="zh-Hans"/>
              </w:rPr>
              <w:t>并</w:t>
            </w:r>
            <w:r>
              <w:rPr>
                <w:rFonts w:hint="eastAsia" w:ascii="仿宋" w:hAnsi="仿宋" w:eastAsia="仿宋" w:cs="仿宋"/>
                <w:color w:val="auto"/>
                <w:sz w:val="21"/>
                <w:szCs w:val="21"/>
                <w:highlight w:val="none"/>
              </w:rPr>
              <w:t>配备</w:t>
            </w:r>
            <w:r>
              <w:rPr>
                <w:rFonts w:hint="eastAsia" w:ascii="仿宋" w:hAnsi="仿宋" w:eastAsia="仿宋" w:cs="仿宋"/>
                <w:color w:val="auto"/>
                <w:sz w:val="21"/>
                <w:szCs w:val="21"/>
                <w:highlight w:val="none"/>
                <w:lang w:eastAsia="zh-Hans"/>
              </w:rPr>
              <w:t>其他辅助</w:t>
            </w:r>
            <w:r>
              <w:rPr>
                <w:rFonts w:hint="eastAsia" w:ascii="仿宋" w:hAnsi="仿宋" w:eastAsia="仿宋" w:cs="仿宋"/>
                <w:color w:val="auto"/>
                <w:sz w:val="21"/>
                <w:szCs w:val="21"/>
                <w:highlight w:val="none"/>
              </w:rPr>
              <w:t>设备。</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2.</w:t>
            </w:r>
            <w:r>
              <w:rPr>
                <w:rFonts w:hint="eastAsia" w:ascii="仿宋" w:hAnsi="仿宋" w:eastAsia="仿宋" w:cs="仿宋"/>
                <w:color w:val="auto"/>
                <w:sz w:val="21"/>
                <w:szCs w:val="21"/>
                <w:highlight w:val="none"/>
              </w:rPr>
              <w:t>配备广播级录音设备，电视台级别专业无线麦。</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3.</w:t>
            </w:r>
            <w:r>
              <w:rPr>
                <w:rFonts w:hint="eastAsia" w:ascii="仿宋" w:hAnsi="仿宋" w:eastAsia="仿宋" w:cs="仿宋"/>
                <w:color w:val="auto"/>
                <w:sz w:val="21"/>
                <w:szCs w:val="21"/>
                <w:highlight w:val="none"/>
              </w:rPr>
              <w:t>配备专业影视摄影镝灯，LED 面光灯等灯光设备。</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4.</w:t>
            </w:r>
            <w:r>
              <w:rPr>
                <w:rFonts w:hint="eastAsia" w:ascii="仿宋" w:hAnsi="仿宋" w:eastAsia="仿宋" w:cs="仿宋"/>
                <w:color w:val="auto"/>
                <w:sz w:val="21"/>
                <w:szCs w:val="21"/>
                <w:highlight w:val="none"/>
              </w:rPr>
              <w:t>配备辅助记忆设备(提词器)、后期编辑和包装制作软硬件设备等相关拍摄辅助设备1 套。</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5.</w:t>
            </w:r>
            <w:r>
              <w:rPr>
                <w:rFonts w:hint="eastAsia" w:ascii="仿宋" w:hAnsi="仿宋" w:eastAsia="仿宋" w:cs="仿宋"/>
                <w:color w:val="auto"/>
                <w:sz w:val="21"/>
                <w:szCs w:val="21"/>
                <w:highlight w:val="none"/>
              </w:rPr>
              <w:t>制作团队具备专业拍摄场地支撑。</w:t>
            </w:r>
          </w:p>
          <w:p>
            <w:pPr>
              <w:keepNext w:val="0"/>
              <w:keepLines w:val="0"/>
              <w:pageBreakBefore w:val="0"/>
              <w:kinsoku/>
              <w:wordWrap/>
              <w:overflowPunct/>
              <w:topLinePunct w:val="0"/>
              <w:bidi w:val="0"/>
              <w:snapToGrid/>
              <w:spacing w:line="360" w:lineRule="auto"/>
              <w:textAlignment w:val="auto"/>
              <w:rPr>
                <w:rFonts w:hint="eastAsia" w:ascii="仿宋" w:hAnsi="仿宋" w:eastAsia="仿宋" w:cs="仿宋"/>
                <w:b/>
                <w:bCs/>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3" w:hRule="atLeast"/>
        </w:trPr>
        <w:tc>
          <w:tcPr>
            <w:tcW w:w="1095"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2444"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课程发布平台要求</w:t>
            </w:r>
          </w:p>
        </w:tc>
        <w:tc>
          <w:tcPr>
            <w:tcW w:w="4990"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1.供应商自有或者被授权的慕课平台。</w:t>
            </w:r>
          </w:p>
          <w:p>
            <w:pPr>
              <w:pStyle w:val="6"/>
              <w:keepNext w:val="0"/>
              <w:keepLines w:val="0"/>
              <w:pageBreakBefore w:val="0"/>
              <w:kinsoku/>
              <w:wordWrap/>
              <w:overflowPunct/>
              <w:topLinePunct w:val="0"/>
              <w:bidi w:val="0"/>
              <w:snapToGrid/>
              <w:spacing w:line="360" w:lineRule="auto"/>
              <w:ind w:left="0" w:leftChars="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整合课程资源并协助课程负责老师在指定课程平台上线运行。原厂平台所运行课程认定情况需提供教育部官网课程网站截图和链接。</w:t>
            </w:r>
          </w:p>
          <w:p>
            <w:pPr>
              <w:pStyle w:val="6"/>
              <w:keepNext w:val="0"/>
              <w:keepLines w:val="0"/>
              <w:pageBreakBefore w:val="0"/>
              <w:kinsoku/>
              <w:wordWrap/>
              <w:overflowPunct/>
              <w:topLinePunct w:val="0"/>
              <w:bidi w:val="0"/>
              <w:snapToGrid/>
              <w:spacing w:line="360" w:lineRule="auto"/>
              <w:ind w:left="0" w:leftChars="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课程建设完毕后需要提供校内在线平台进行课程混合式教学运行，具备一键切换学生端、老师端功能：包含课程视频、习题、视频弹题、章节测试、见面课/直播课考核、期末考试、笔记回放、课程论坛等过程化管理模块和运行大数据分析,切实让课程运行起来。</w:t>
            </w:r>
          </w:p>
          <w:p>
            <w:pPr>
              <w:pStyle w:val="6"/>
              <w:keepNext w:val="0"/>
              <w:keepLines w:val="0"/>
              <w:pageBreakBefore w:val="0"/>
              <w:kinsoku/>
              <w:wordWrap/>
              <w:overflowPunct/>
              <w:topLinePunct w:val="0"/>
              <w:bidi w:val="0"/>
              <w:snapToGrid/>
              <w:spacing w:line="360" w:lineRule="auto"/>
              <w:ind w:left="0" w:leftChars="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课程平台需支持自主新建三种类型课程，具体包含：混合式课程、在线式课程、微课程。</w:t>
            </w:r>
          </w:p>
          <w:p>
            <w:pPr>
              <w:pStyle w:val="6"/>
              <w:keepNext w:val="0"/>
              <w:keepLines w:val="0"/>
              <w:pageBreakBefore w:val="0"/>
              <w:kinsoku/>
              <w:wordWrap/>
              <w:overflowPunct/>
              <w:topLinePunct w:val="0"/>
              <w:bidi w:val="0"/>
              <w:snapToGrid/>
              <w:spacing w:line="360" w:lineRule="auto"/>
              <w:ind w:left="0" w:leftChars="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为便于老师的线上教学要求具备课程建设功能和学习功能的苹果和安卓APP手机端的软件，并提供软件截图等证明材料。</w:t>
            </w:r>
          </w:p>
          <w:p>
            <w:pPr>
              <w:pStyle w:val="6"/>
              <w:keepNext w:val="0"/>
              <w:keepLines w:val="0"/>
              <w:pageBreakBefore w:val="0"/>
              <w:kinsoku/>
              <w:wordWrap/>
              <w:overflowPunct/>
              <w:topLinePunct w:val="0"/>
              <w:bidi w:val="0"/>
              <w:snapToGrid/>
              <w:spacing w:line="360" w:lineRule="auto"/>
              <w:ind w:left="0" w:leftChars="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▲6.中标单位具有课程共享联盟平台、教学资源管理平台、课程资源库软件等相关</w:t>
            </w:r>
            <w:r>
              <w:rPr>
                <w:rFonts w:hint="eastAsia" w:ascii="仿宋" w:hAnsi="仿宋" w:eastAsia="仿宋" w:cs="仿宋"/>
                <w:color w:val="auto"/>
                <w:sz w:val="21"/>
                <w:szCs w:val="21"/>
                <w:highlight w:val="none"/>
                <w:lang w:eastAsia="zh-CN"/>
              </w:rPr>
              <w:t>软件著作权</w:t>
            </w:r>
            <w:r>
              <w:rPr>
                <w:rFonts w:hint="eastAsia" w:ascii="仿宋" w:hAnsi="仿宋" w:eastAsia="仿宋" w:cs="仿宋"/>
                <w:color w:val="auto"/>
                <w:sz w:val="21"/>
                <w:szCs w:val="21"/>
                <w:highlight w:val="none"/>
              </w:rPr>
              <w:t>登记证书，所提供的平台需具备校内翻转、全国共享的能力，需提供原厂授权涵。</w:t>
            </w:r>
          </w:p>
          <w:p>
            <w:pPr>
              <w:pStyle w:val="6"/>
              <w:keepNext w:val="0"/>
              <w:keepLines w:val="0"/>
              <w:pageBreakBefore w:val="0"/>
              <w:kinsoku/>
              <w:wordWrap/>
              <w:overflowPunct/>
              <w:topLinePunct w:val="0"/>
              <w:bidi w:val="0"/>
              <w:snapToGrid/>
              <w:spacing w:line="360" w:lineRule="auto"/>
              <w:ind w:left="0" w:leftChars="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rPr>
              <w:t>支持选择多种图谱框架类型：支持多种图谱框架类型，包括：知识型图谱、问题型图谱、综合型图谱、技能型图谱等</w:t>
            </w:r>
          </w:p>
          <w:p>
            <w:pPr>
              <w:pStyle w:val="6"/>
              <w:keepNext w:val="0"/>
              <w:keepLines w:val="0"/>
              <w:pageBreakBefore w:val="0"/>
              <w:kinsoku/>
              <w:wordWrap/>
              <w:overflowPunct/>
              <w:topLinePunct w:val="0"/>
              <w:bidi w:val="0"/>
              <w:snapToGrid/>
              <w:spacing w:line="360" w:lineRule="auto"/>
              <w:ind w:left="0" w:leftChars="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rPr>
              <w:t>支持树状、网状图谱类型：支持创建侧重知识结构的树状知识图谱和侧重知识关系的网状知识图谱，支持根据实际需要创</w:t>
            </w:r>
          </w:p>
          <w:p>
            <w:pPr>
              <w:keepNext w:val="0"/>
              <w:keepLines w:val="0"/>
              <w:pageBreakBefore w:val="0"/>
              <w:kinsoku/>
              <w:wordWrap/>
              <w:overflowPunct/>
              <w:topLinePunct w:val="0"/>
              <w:bidi w:val="0"/>
              <w:snapToGrid/>
              <w:spacing w:line="360" w:lineRule="auto"/>
              <w:textAlignment w:val="auto"/>
              <w:rPr>
                <w:rFonts w:hint="eastAsia" w:ascii="仿宋" w:hAnsi="仿宋" w:eastAsia="仿宋" w:cs="仿宋"/>
                <w:b/>
                <w:bCs/>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3" w:hRule="atLeast"/>
        </w:trPr>
        <w:tc>
          <w:tcPr>
            <w:tcW w:w="1095"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2444"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课程建设技术要求</w:t>
            </w:r>
          </w:p>
        </w:tc>
        <w:tc>
          <w:tcPr>
            <w:tcW w:w="4990"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在线开放课程建设需要提供翻转课堂和混合式的课程设计，包括在线课程设计、互动直播课设计、在线论坛设计和翻转课堂教学设计。</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课程设计咨询：辅助教学团队完成课程概要设计，主要包括课程背景、课程目标、课程设计原则、学分学时及学时分配、教学大纲、内容框架、考核方式、教学团队、章、节、知识点、互动直播课教程等的开发与设计。</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在线教程制作服务：碎片化视频拍摄、视频编辑脚本制作、互动直播课教程设计咨询、共享课程质量评审、课程VI套件设计服务、课程介绍片花制作服务、中英文字幕、课程内容升级服务和组织资源进行课程上线等服务。</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4</w:t>
            </w:r>
            <w:r>
              <w:rPr>
                <w:rFonts w:hint="eastAsia" w:ascii="仿宋" w:hAnsi="仿宋" w:eastAsia="仿宋" w:cs="仿宋"/>
                <w:color w:val="auto"/>
                <w:sz w:val="21"/>
                <w:szCs w:val="21"/>
                <w:highlight w:val="none"/>
              </w:rPr>
              <w:t>提供混合式课程设计案例。</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根据课程性质，课程顾问团队与教师一起确定课程最合理拍摄方式。</w:t>
            </w:r>
          </w:p>
          <w:p>
            <w:pPr>
              <w:keepNext w:val="0"/>
              <w:keepLines w:val="0"/>
              <w:pageBreakBefore w:val="0"/>
              <w:kinsoku/>
              <w:wordWrap/>
              <w:overflowPunct/>
              <w:topLinePunct w:val="0"/>
              <w:bidi w:val="0"/>
              <w:snapToGrid/>
              <w:spacing w:line="360" w:lineRule="auto"/>
              <w:textAlignment w:val="auto"/>
              <w:rPr>
                <w:rFonts w:hint="eastAsia" w:ascii="仿宋" w:hAnsi="仿宋" w:eastAsia="仿宋" w:cs="仿宋"/>
                <w:b/>
                <w:bCs/>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3" w:hRule="atLeast"/>
        </w:trPr>
        <w:tc>
          <w:tcPr>
            <w:tcW w:w="1095"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2444"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制作参数要求</w:t>
            </w:r>
          </w:p>
        </w:tc>
        <w:tc>
          <w:tcPr>
            <w:tcW w:w="4990"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视频信号源：</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稳定性：全片图像同步性能稳定，不存在失帧现象，CTL同步控制信号必须连续，图像无抖动跳跃，色彩无突变，编辑点处图像稳定。</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信噪比：图像信噪比不低于55dB，无明显杂波。</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色调：白平衡正确，无明显偏色，多机拍摄的镜头衔接处无明显色差。</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视频电平：视频全讯号幅度为1Ⅴp-p，最大不超过1.1Ⅴp-p。其中，消隐电平为0V时，白电平幅度0.7Ⅴp-p，同步信号0.3Vp-p，色同步信号幅度0.3V p-p (以消隐线上下对称)，全片一致。</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2.颜色数：视频类素材每帧图像颜色数不低于256色或灰度级不低于128级。</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3.视频处理：</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视频压缩：采用H.264(MPEG-4Part10：profile=main,level=3.0)编码、使用二次编码、不包含字幕的 MP4格式。</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视频码流率：动态码流的最高码率不高于2500 Kbps，最低码率不得低于1024Kbps。</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视频分辨率：前期采用高清16:9拍摄，设定为 1920×1080。在同一课程中，各讲的视频分辨率统一，统一高清。</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视频画幅宽高比：分辨率设定为1920×1080的，选定为16:9。在同一课程中，各讲画幅的宽高比统一。</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视频帧率：不少于25帧/秒。扫描方式采用逐行扫描。</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4.音频：</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音频压缩：采用 AAC(MPEG4 Part3)格式。</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声道：必须是双声道，输出通道为立体声；</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音频码率：音频码流率128Kbps (恒定)；</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音频信噪比：不低于48db。</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音频采样率：采样率48KHz，量化位数至少为16位0；</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音频类型：音乐类、音效声、语音等；</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电平指标：2db-8db声音应无明显失真、放音过冲、过弱。</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5.声音效果：</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声音和画面同步</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声音清晰，无杂音，无干扰，无破音和电流音</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伴音清晰、饱满、圆润，无失真、无音量忽大忽小现象</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解说声与现场声无明显比例失调，解说声与背景音乐无明显比例失调。</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6.剪辑：剪辑衔接自然，景别丰富、组接流畅、色彩和曝光统一，无跳帧，无跳跃感。</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7.音频处理：</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必须使用电视台级专业话筒及音频处理设备，保证录音质量。音频信号源，声道：中文内容音频信号记录于第 1 声道，音乐、音效、同期声记录于第 2 声道，若有其他文字解说记录于第 3 声道（如录音设备无第 3 声道，则录于第 2 声道）。电平指标： -2db — -8db 声音应无明显失真、放音过冲、过弱。</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视音频课程交付文件要求：所有剪辑完成的课程视频文件及无压缩原码课程视频文件均采用移动硬盘或者U盘拷贝交付，硬盘上附课程内容清单（标记学校名称、课程名称，子文件夹按照章节命名，视频文件标记讲次及标题、主讲教师）；课程在供应商自有校内平台运行，可直接投入混合教学；课程在供应商自有或者被授权的课程平台以慕课形式发布，达到验收条件。</w:t>
            </w:r>
          </w:p>
          <w:p>
            <w:pPr>
              <w:keepNext w:val="0"/>
              <w:keepLines w:val="0"/>
              <w:pageBreakBefore w:val="0"/>
              <w:kinsoku/>
              <w:wordWrap/>
              <w:overflowPunct/>
              <w:topLinePunct w:val="0"/>
              <w:bidi w:val="0"/>
              <w:snapToGrid/>
              <w:spacing w:line="360" w:lineRule="auto"/>
              <w:textAlignment w:val="auto"/>
              <w:rPr>
                <w:rFonts w:hint="eastAsia" w:ascii="仿宋" w:hAnsi="仿宋" w:eastAsia="仿宋" w:cs="仿宋"/>
                <w:b/>
                <w:bCs/>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3" w:hRule="atLeast"/>
        </w:trPr>
        <w:tc>
          <w:tcPr>
            <w:tcW w:w="1095"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w:t>
            </w:r>
          </w:p>
        </w:tc>
        <w:tc>
          <w:tcPr>
            <w:tcW w:w="2444"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bidi w:val="0"/>
              <w:snapToGrid/>
              <w:spacing w:line="360" w:lineRule="auto"/>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课程样片</w:t>
            </w:r>
          </w:p>
        </w:tc>
        <w:tc>
          <w:tcPr>
            <w:tcW w:w="4990"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样片作为课程制作标准的体现，样片确定后，进行批量录制。相关要求如下：</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1.样片脚本须包含至少1000字文字、相关素材（动画或图片）、案例及科普趣味内容，侧重体现出导入式的知识点讲授及设计思路。</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录制场地应光线明亮充足、环境安静整洁、室内录制现场的背景噪声和混响时间都应达到广播电视演播室的相关规范标准。避免在镜头中出现有广告嫌疑或与课程无关的标识等内容。</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拍摄方式：根据授课内容，采用多机位拍摄（2机位以上），机位设置应满足完整记录课程教学活动的要求。视频可为演讲式、讨论式、采访式、PPT动画式、画中画式等形式，可实景拍摄或虚拟场景拍摄。画面以中景、近景为主，使用广播级话筒，保证录音质量。</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多媒体课件的制作及录制：针对实际情况选择适当的摄制方式，与后期制作统筹策划，确保成片中的人物、板书、实操环节完整清晰及素材呈现效果恰当。</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片头、片尾制作：片头时长不超过10秒，根据课程内容，以多种形式贴切设计制作片头，应包括采购方LOGO、课程名称、讲次、主讲教师姓名、专业技术职务、单位等信息；片尾时长不超过10秒，包括版权单位、录制时间等信息。片头与片尾中不得出现与成交人有关的任何信息。</w:t>
            </w:r>
          </w:p>
          <w:p>
            <w:pPr>
              <w:keepNext w:val="0"/>
              <w:keepLines w:val="0"/>
              <w:pageBreakBefore w:val="0"/>
              <w:kinsoku/>
              <w:wordWrap/>
              <w:overflowPunct/>
              <w:topLinePunct w:val="0"/>
              <w:bidi w:val="0"/>
              <w:snapToGrid/>
              <w:spacing w:line="360" w:lineRule="auto"/>
              <w:textAlignment w:val="auto"/>
              <w:rPr>
                <w:rFonts w:hint="eastAsia" w:ascii="仿宋" w:hAnsi="仿宋" w:eastAsia="仿宋" w:cs="仿宋"/>
                <w:b/>
                <w:bCs/>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3" w:hRule="atLeast"/>
        </w:trPr>
        <w:tc>
          <w:tcPr>
            <w:tcW w:w="1095"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w:t>
            </w:r>
          </w:p>
        </w:tc>
        <w:tc>
          <w:tcPr>
            <w:tcW w:w="2444"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bidi w:val="0"/>
              <w:snapToGrid/>
              <w:spacing w:line="360" w:lineRule="auto"/>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批量录制</w:t>
            </w:r>
          </w:p>
        </w:tc>
        <w:tc>
          <w:tcPr>
            <w:tcW w:w="4990"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按照样片标准进行课程批量录像与制作，确保课程视频总时长及单个碎片化知识点视频时长。录像与制作过程中，成交人制作团队须全面落实校方的审核修改意见。</w:t>
            </w:r>
          </w:p>
          <w:p>
            <w:pPr>
              <w:keepNext w:val="0"/>
              <w:keepLines w:val="0"/>
              <w:pageBreakBefore w:val="0"/>
              <w:kinsoku/>
              <w:wordWrap/>
              <w:overflowPunct/>
              <w:topLinePunct w:val="0"/>
              <w:bidi w:val="0"/>
              <w:snapToGrid/>
              <w:spacing w:line="360" w:lineRule="auto"/>
              <w:textAlignment w:val="auto"/>
              <w:rPr>
                <w:rFonts w:hint="eastAsia" w:ascii="仿宋" w:hAnsi="仿宋" w:eastAsia="仿宋" w:cs="仿宋"/>
                <w:b/>
                <w:bCs/>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3" w:hRule="atLeast"/>
        </w:trPr>
        <w:tc>
          <w:tcPr>
            <w:tcW w:w="1095"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w:t>
            </w:r>
          </w:p>
        </w:tc>
        <w:tc>
          <w:tcPr>
            <w:tcW w:w="2444"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bidi w:val="0"/>
              <w:snapToGrid/>
              <w:spacing w:line="360" w:lineRule="auto"/>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内容审核</w:t>
            </w:r>
          </w:p>
        </w:tc>
        <w:tc>
          <w:tcPr>
            <w:tcW w:w="4990"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bidi w:val="0"/>
              <w:snapToGrid/>
              <w:spacing w:line="360" w:lineRule="auto"/>
              <w:textAlignment w:val="auto"/>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成交人制作团队须协助校方授课老师严格审核视频内容，同时协助校方邀请相关领域专家就视频内容进行学术性与政策性审核；审核通过后，生成最终视频成片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3" w:hRule="atLeast"/>
        </w:trPr>
        <w:tc>
          <w:tcPr>
            <w:tcW w:w="1095"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w:t>
            </w:r>
          </w:p>
        </w:tc>
        <w:tc>
          <w:tcPr>
            <w:tcW w:w="2444"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bidi w:val="0"/>
              <w:snapToGrid/>
              <w:spacing w:line="360" w:lineRule="auto"/>
              <w:textAlignment w:val="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课程运行服务平台功能要求</w:t>
            </w:r>
          </w:p>
        </w:tc>
        <w:tc>
          <w:tcPr>
            <w:tcW w:w="4990"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b/>
                <w:bCs/>
                <w:color w:val="auto"/>
                <w:sz w:val="21"/>
                <w:szCs w:val="21"/>
                <w:highlight w:val="none"/>
              </w:rPr>
              <w:t>1.</w:t>
            </w:r>
            <w:r>
              <w:rPr>
                <w:rFonts w:hint="eastAsia" w:ascii="仿宋" w:hAnsi="仿宋" w:eastAsia="仿宋" w:cs="仿宋"/>
                <w:color w:val="auto"/>
                <w:sz w:val="21"/>
                <w:szCs w:val="21"/>
                <w:highlight w:val="none"/>
              </w:rPr>
              <w:t>供应商自有或者被授权的慕课平台须具备在全国运行推广的服务能力。</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b/>
                <w:bCs/>
                <w:color w:val="auto"/>
                <w:sz w:val="21"/>
                <w:szCs w:val="21"/>
                <w:highlight w:val="none"/>
              </w:rPr>
              <w:t>2.</w:t>
            </w:r>
            <w:r>
              <w:rPr>
                <w:rFonts w:hint="eastAsia" w:ascii="仿宋" w:hAnsi="仿宋" w:eastAsia="仿宋" w:cs="仿宋"/>
                <w:color w:val="auto"/>
                <w:sz w:val="21"/>
                <w:szCs w:val="21"/>
                <w:highlight w:val="none"/>
              </w:rPr>
              <w:t>课程建设完毕后须要提供自有校内在线平台进行线上线下混合（课程翻转）教学运行，</w:t>
            </w:r>
            <w:r>
              <w:rPr>
                <w:rFonts w:hint="eastAsia" w:ascii="仿宋" w:hAnsi="仿宋" w:eastAsia="仿宋" w:cs="仿宋"/>
                <w:color w:val="auto"/>
                <w:sz w:val="21"/>
                <w:szCs w:val="21"/>
                <w:highlight w:val="none"/>
                <w:lang w:bidi="ar"/>
              </w:rPr>
              <w:t>支持手机移动智慧教学工具，支持在线教学、课堂智慧教学等混合教学模式的数据统计、分析，可提供按国家在线课程和线上线下混合课程标准的数据支持；</w:t>
            </w:r>
            <w:r>
              <w:rPr>
                <w:rFonts w:hint="eastAsia" w:ascii="仿宋" w:hAnsi="仿宋" w:eastAsia="仿宋" w:cs="仿宋"/>
                <w:color w:val="auto"/>
                <w:sz w:val="21"/>
                <w:szCs w:val="21"/>
                <w:highlight w:val="none"/>
              </w:rPr>
              <w:t xml:space="preserve">具备一键切换学生端、老师端功能：包含课程视频、习题、视频弹题、章节测试、期末考试、笔记回放、课程论坛等过程化管理模块和运行大数据分析,切实让课程运行起来。 </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3.</w:t>
            </w:r>
            <w:r>
              <w:rPr>
                <w:rFonts w:hint="eastAsia" w:ascii="仿宋" w:hAnsi="仿宋" w:eastAsia="仿宋" w:cs="仿宋"/>
                <w:color w:val="auto"/>
                <w:sz w:val="21"/>
                <w:szCs w:val="21"/>
                <w:highlight w:val="none"/>
              </w:rPr>
              <w:t>老师端需提供：我的学堂、课程论坛、成绩管理、课程事务、学籍管理、我的题库、课程资料、招生管理、教学计划、教学运行、学情分析等功能模块；</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4.</w:t>
            </w:r>
            <w:r>
              <w:rPr>
                <w:rFonts w:hint="eastAsia" w:ascii="仿宋" w:hAnsi="仿宋" w:eastAsia="仿宋" w:cs="仿宋"/>
                <w:color w:val="auto"/>
                <w:sz w:val="21"/>
                <w:szCs w:val="21"/>
                <w:highlight w:val="none"/>
              </w:rPr>
              <w:t>学生端需提供：我的学堂、作业考试、课程论坛、学习分析、课程资料、学习笔记、我的成绩等功能模块。</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5.</w:t>
            </w:r>
            <w:r>
              <w:rPr>
                <w:rFonts w:hint="eastAsia" w:ascii="仿宋" w:hAnsi="仿宋" w:eastAsia="仿宋" w:cs="仿宋"/>
                <w:color w:val="auto"/>
                <w:sz w:val="21"/>
                <w:szCs w:val="21"/>
                <w:highlight w:val="none"/>
              </w:rPr>
              <w:t>课程平台需支持自主新建三种类型课程，具体包含：混合式课程、在线式课程、微课程。</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6.</w:t>
            </w:r>
            <w:r>
              <w:rPr>
                <w:rFonts w:hint="eastAsia" w:ascii="仿宋" w:hAnsi="仿宋" w:eastAsia="仿宋" w:cs="仿宋"/>
                <w:color w:val="auto"/>
                <w:sz w:val="21"/>
                <w:szCs w:val="21"/>
                <w:highlight w:val="none"/>
              </w:rPr>
              <w:t>运行平台需支持个性化设置，需有自主制定课程概要设计、师资介绍、知识点、内容计划、互动直播课、考核方式课程推广，减轻老师工作量提高效率。</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7.</w:t>
            </w:r>
            <w:r>
              <w:rPr>
                <w:rFonts w:hint="eastAsia" w:ascii="仿宋" w:hAnsi="仿宋" w:eastAsia="仿宋" w:cs="仿宋"/>
                <w:color w:val="auto"/>
                <w:sz w:val="21"/>
                <w:szCs w:val="21"/>
                <w:highlight w:val="none"/>
              </w:rPr>
              <w:t>平台需具备支持统一发布公告，下发通知或督促学生完成学习进度。</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8.</w:t>
            </w:r>
            <w:r>
              <w:rPr>
                <w:rFonts w:hint="eastAsia" w:ascii="仿宋" w:hAnsi="仿宋" w:eastAsia="仿宋" w:cs="仿宋"/>
                <w:color w:val="auto"/>
                <w:sz w:val="21"/>
                <w:szCs w:val="21"/>
                <w:highlight w:val="none"/>
              </w:rPr>
              <w:t>平台需支持分步骤创建混合式课程，操作简单易上手。</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9.</w:t>
            </w:r>
            <w:r>
              <w:rPr>
                <w:rFonts w:hint="eastAsia" w:ascii="仿宋" w:hAnsi="仿宋" w:eastAsia="仿宋" w:cs="仿宋"/>
                <w:color w:val="auto"/>
                <w:sz w:val="21"/>
                <w:szCs w:val="21"/>
                <w:highlight w:val="none"/>
              </w:rPr>
              <w:t>平台需具备根据教师在维护章节计划的设置情况自动生成逻辑清晰的学期混合式教学运行计划。</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10.</w:t>
            </w:r>
            <w:r>
              <w:rPr>
                <w:rFonts w:hint="eastAsia" w:ascii="仿宋" w:hAnsi="仿宋" w:eastAsia="仿宋" w:cs="仿宋"/>
                <w:color w:val="auto"/>
                <w:sz w:val="21"/>
                <w:szCs w:val="21"/>
                <w:highlight w:val="none"/>
              </w:rPr>
              <w:t>平台需支持自学辅导式的纯线上授课模式和混合式的线上线下模式招生，录取方式支持预报名、直接录取、验证码和入学考试以及报名表方式，满足各种招生需求。</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11.</w:t>
            </w:r>
            <w:r>
              <w:rPr>
                <w:rFonts w:hint="eastAsia" w:ascii="仿宋" w:hAnsi="仿宋" w:eastAsia="仿宋" w:cs="仿宋"/>
                <w:color w:val="auto"/>
                <w:sz w:val="21"/>
                <w:szCs w:val="21"/>
                <w:highlight w:val="none"/>
              </w:rPr>
              <w:t>平台需具备多种类型的成绩类型、多种方式的创建方式以及客观题自动批阅与选择的随机顺序；实现教师批阅，学生互评多种模式，作业内容可囊括多种题型，作业还可退回重做。</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12.</w:t>
            </w:r>
            <w:r>
              <w:rPr>
                <w:rFonts w:hint="eastAsia" w:ascii="仿宋" w:hAnsi="仿宋" w:eastAsia="仿宋" w:cs="仿宋"/>
                <w:color w:val="auto"/>
                <w:sz w:val="21"/>
                <w:szCs w:val="21"/>
                <w:highlight w:val="none"/>
              </w:rPr>
              <w:t>需支持建课进度提醒功能，显示进度完成情况，提示老师还余下多少课程项目未完成，防止遗漏，并提供证明材料。</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b/>
                <w:bCs/>
                <w:color w:val="auto"/>
                <w:sz w:val="21"/>
                <w:szCs w:val="21"/>
                <w:highlight w:val="none"/>
              </w:rPr>
              <w:t>13.</w:t>
            </w:r>
            <w:r>
              <w:rPr>
                <w:rFonts w:hint="eastAsia" w:ascii="仿宋" w:hAnsi="仿宋" w:eastAsia="仿宋" w:cs="仿宋"/>
                <w:color w:val="auto"/>
                <w:sz w:val="21"/>
                <w:szCs w:val="21"/>
                <w:highlight w:val="none"/>
              </w:rPr>
              <w:t>需支持互动直播课的多校区互动以及网上直播，不但学生可以参与课程，相关老师也可以观摩课程。</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14.</w:t>
            </w:r>
            <w:r>
              <w:rPr>
                <w:rFonts w:hint="eastAsia" w:ascii="仿宋" w:hAnsi="仿宋" w:eastAsia="仿宋" w:cs="仿宋"/>
                <w:color w:val="auto"/>
                <w:sz w:val="21"/>
                <w:szCs w:val="21"/>
                <w:highlight w:val="none"/>
              </w:rPr>
              <w:t>需支持个性化门户设计，包括课程、师资、内容的展示，提升课程价值感。</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15.</w:t>
            </w:r>
            <w:r>
              <w:rPr>
                <w:rFonts w:hint="eastAsia" w:ascii="仿宋" w:hAnsi="仿宋" w:eastAsia="仿宋" w:cs="仿宋"/>
                <w:color w:val="auto"/>
                <w:sz w:val="21"/>
                <w:szCs w:val="21"/>
                <w:highlight w:val="none"/>
              </w:rPr>
              <w:t>平台必须满足记录每一个学生在平台上的学习记录，作业考试、资料上传、课程问答、学习笔记以及课程学习进度，了解每一个学生的详细的学习情况。</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16.</w:t>
            </w:r>
            <w:r>
              <w:rPr>
                <w:rFonts w:hint="eastAsia" w:ascii="仿宋" w:hAnsi="仿宋" w:eastAsia="仿宋" w:cs="仿宋"/>
                <w:color w:val="auto"/>
                <w:sz w:val="21"/>
                <w:szCs w:val="21"/>
                <w:highlight w:val="none"/>
              </w:rPr>
              <w:t>有手机端实时查阅所建设课程的运行学情报告，包含学习人次、在线视频、教师情况、在线讨论、见面课参与度等数据分析功能。</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17.</w:t>
            </w:r>
            <w:r>
              <w:rPr>
                <w:rFonts w:hint="eastAsia" w:ascii="仿宋" w:hAnsi="仿宋" w:eastAsia="仿宋" w:cs="仿宋"/>
                <w:color w:val="auto"/>
                <w:sz w:val="21"/>
                <w:szCs w:val="21"/>
                <w:highlight w:val="none"/>
              </w:rPr>
              <w:t>平台必须提供以至少以月度为单位的学情大数据分析报告。</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18.</w:t>
            </w:r>
            <w:r>
              <w:rPr>
                <w:rFonts w:hint="eastAsia" w:ascii="仿宋" w:hAnsi="仿宋" w:eastAsia="仿宋" w:cs="仿宋"/>
                <w:color w:val="auto"/>
                <w:sz w:val="21"/>
                <w:szCs w:val="21"/>
                <w:highlight w:val="none"/>
              </w:rPr>
              <w:t>运行平台支持MOOC课程发布方式。</w:t>
            </w:r>
          </w:p>
          <w:p>
            <w:pPr>
              <w:keepNext w:val="0"/>
              <w:keepLines w:val="0"/>
              <w:pageBreakBefore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3" w:hRule="atLeast"/>
        </w:trPr>
        <w:tc>
          <w:tcPr>
            <w:tcW w:w="1095"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w:t>
            </w:r>
          </w:p>
        </w:tc>
        <w:tc>
          <w:tcPr>
            <w:tcW w:w="2444"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知识产权</w:t>
            </w:r>
          </w:p>
        </w:tc>
        <w:tc>
          <w:tcPr>
            <w:tcW w:w="4990"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b/>
                <w:color w:val="auto"/>
                <w:kern w:val="0"/>
                <w:sz w:val="21"/>
                <w:szCs w:val="21"/>
                <w:highlight w:val="none"/>
              </w:rPr>
              <w:t>★</w:t>
            </w: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参加本次采购所投标的服务活动及其成果（采购方提供的资料除外），须不得存在侵犯知识产权的问题。</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b/>
                <w:color w:val="auto"/>
                <w:kern w:val="0"/>
                <w:sz w:val="21"/>
                <w:szCs w:val="21"/>
                <w:highlight w:val="none"/>
              </w:rPr>
              <w:t>★</w:t>
            </w: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成片及拍摄素材归采购方所有，采购方拥有该片（包括所有动画设计）全部知识产权。课程拍摄制作完成后，成交人须将视频成片和全部素材存入硬盘交付采购方。</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需要在知识产权获取、维护、运用和保护等活动过程中，具备基本有效的运行和控制能力。</w:t>
            </w:r>
          </w:p>
          <w:p>
            <w:pPr>
              <w:keepNext w:val="0"/>
              <w:keepLines w:val="0"/>
              <w:pageBreakBefore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3" w:hRule="atLeast"/>
        </w:trPr>
        <w:tc>
          <w:tcPr>
            <w:tcW w:w="1095"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11</w:t>
            </w:r>
          </w:p>
        </w:tc>
        <w:tc>
          <w:tcPr>
            <w:tcW w:w="2444"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bidi w:val="0"/>
              <w:snapToGrid/>
              <w:spacing w:line="360" w:lineRule="auto"/>
              <w:textAlignment w:val="auto"/>
              <w:rPr>
                <w:rFonts w:hint="eastAsia" w:ascii="仿宋" w:hAnsi="仿宋" w:eastAsia="仿宋" w:cs="仿宋"/>
                <w:bCs/>
                <w:color w:val="auto"/>
                <w:sz w:val="21"/>
                <w:szCs w:val="21"/>
                <w:highlight w:val="none"/>
              </w:rPr>
            </w:pPr>
            <w:r>
              <w:rPr>
                <w:rFonts w:hint="eastAsia" w:ascii="仿宋" w:hAnsi="仿宋" w:eastAsia="仿宋" w:cs="仿宋"/>
                <w:color w:val="auto"/>
                <w:sz w:val="21"/>
                <w:szCs w:val="21"/>
                <w:highlight w:val="none"/>
              </w:rPr>
              <w:t>课程知识图谱建设培训</w:t>
            </w:r>
          </w:p>
        </w:tc>
        <w:tc>
          <w:tcPr>
            <w:tcW w:w="4990"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培训如何构建学科知识图谱基础知识层：包含课程下全部知识点、知识点之间的关联关系和知识点所属的内容领域等；</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培训如何构建学科知识图谱教学资源层：需要包含每个知识点完整的知识点内容画像、知识点基本信息、知识点属性介绍及相关的结构化教学资源等；</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培训多种图谱类型：支持按照实际需要创建课程类型的知识图谱，以用于不同教学场景；</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培训树状、网状图谱类型：支持创建侧重知识结构的树状知识图谱和侧重知识关系的网状知识图谱，支持根据实际需要创建不同类型的知识图谱；</w:t>
            </w:r>
          </w:p>
          <w:p>
            <w:pPr>
              <w:keepNext w:val="0"/>
              <w:keepLines w:val="0"/>
              <w:pageBreakBefore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培训文件导入知识图谱：如何本地导入xmind格式的思维导图文件，自动读取文件数据，生成课程知识图谱，导入的模板内容需要包含课程名称、教学主题、教学子主题、知识点、知识点类型等内容；</w:t>
            </w:r>
          </w:p>
        </w:tc>
      </w:tr>
    </w:tbl>
    <w:p>
      <w:pPr>
        <w:spacing w:line="560" w:lineRule="exact"/>
        <w:ind w:firstLine="560" w:firstLineChars="200"/>
        <w:rPr>
          <w:rFonts w:ascii="宋体" w:hAnsi="宋体"/>
          <w:sz w:val="32"/>
          <w:szCs w:val="32"/>
        </w:rPr>
      </w:pPr>
      <w:r>
        <w:rPr>
          <w:rFonts w:hint="eastAsia" w:ascii="宋体" w:hAnsi="宋体"/>
          <w:kern w:val="0"/>
          <w:sz w:val="28"/>
          <w:szCs w:val="28"/>
        </w:rPr>
        <w:t>注：产品技术指标/规格型号中带“</w:t>
      </w:r>
      <w:r>
        <w:rPr>
          <w:rFonts w:hint="eastAsia"/>
          <w:sz w:val="28"/>
        </w:rPr>
        <w:t>★</w:t>
      </w:r>
      <w:r>
        <w:rPr>
          <w:rFonts w:hint="eastAsia" w:ascii="宋体" w:hAnsi="宋体"/>
          <w:kern w:val="0"/>
          <w:sz w:val="28"/>
          <w:szCs w:val="28"/>
        </w:rPr>
        <w:t>”的为“</w:t>
      </w:r>
      <w:r>
        <w:rPr>
          <w:rFonts w:hint="eastAsia" w:ascii="宋体" w:hAnsi="宋体"/>
          <w:kern w:val="0"/>
          <w:sz w:val="28"/>
          <w:szCs w:val="28"/>
          <w:lang w:val="en-US" w:eastAsia="zh-CN"/>
        </w:rPr>
        <w:t>实质性响应指标</w:t>
      </w:r>
      <w:r>
        <w:rPr>
          <w:rFonts w:hint="eastAsia" w:ascii="宋体" w:hAnsi="宋体"/>
          <w:kern w:val="0"/>
          <w:sz w:val="28"/>
          <w:szCs w:val="28"/>
        </w:rPr>
        <w:t>”。“</w:t>
      </w:r>
      <w:r>
        <w:rPr>
          <w:rFonts w:hint="eastAsia" w:ascii="宋体" w:hAnsi="宋体"/>
          <w:kern w:val="0"/>
          <w:sz w:val="28"/>
          <w:szCs w:val="28"/>
          <w:lang w:val="en-US" w:eastAsia="zh-CN"/>
        </w:rPr>
        <w:t>实质性响应指标</w:t>
      </w:r>
      <w:r>
        <w:rPr>
          <w:rFonts w:hint="eastAsia" w:ascii="宋体" w:hAnsi="宋体"/>
          <w:kern w:val="0"/>
          <w:sz w:val="28"/>
          <w:szCs w:val="28"/>
        </w:rPr>
        <w:t>”不允许“负偏离”，否则报价无效；“非</w:t>
      </w:r>
      <w:r>
        <w:rPr>
          <w:rFonts w:hint="eastAsia" w:ascii="宋体" w:hAnsi="宋体"/>
          <w:kern w:val="0"/>
          <w:sz w:val="28"/>
          <w:szCs w:val="28"/>
          <w:lang w:val="en-US" w:eastAsia="zh-CN"/>
        </w:rPr>
        <w:t>实质性响应</w:t>
      </w:r>
      <w:r>
        <w:rPr>
          <w:rFonts w:hint="eastAsia" w:ascii="宋体" w:hAnsi="宋体"/>
          <w:kern w:val="0"/>
          <w:sz w:val="28"/>
          <w:szCs w:val="28"/>
        </w:rPr>
        <w:t>指标”允许“负偏离”，但不能超出偏离范围，否则报价无效</w:t>
      </w:r>
    </w:p>
    <w:p>
      <w:pPr>
        <w:pStyle w:val="3"/>
        <w:spacing w:line="560" w:lineRule="exact"/>
        <w:rPr>
          <w:rFonts w:ascii="宋体" w:hAnsi="宋体" w:cs="宋体"/>
          <w:sz w:val="24"/>
        </w:rPr>
      </w:pPr>
      <w:bookmarkStart w:id="26" w:name="_Toc17787"/>
      <w:bookmarkStart w:id="27" w:name="_Toc60236709"/>
      <w:r>
        <w:rPr>
          <w:rFonts w:hint="eastAsia"/>
        </w:rPr>
        <w:t>二、商务要求</w:t>
      </w:r>
      <w:bookmarkEnd w:id="26"/>
      <w:bookmarkEnd w:id="27"/>
    </w:p>
    <w:p>
      <w:pPr>
        <w:adjustRightInd w:val="0"/>
        <w:snapToGrid w:val="0"/>
        <w:spacing w:line="560" w:lineRule="exact"/>
        <w:ind w:firstLine="641" w:firstLineChars="228"/>
        <w:jc w:val="left"/>
        <w:rPr>
          <w:rFonts w:ascii="宋体" w:hAnsi="宋体" w:cs="宋体"/>
          <w:b/>
          <w:sz w:val="28"/>
          <w:szCs w:val="28"/>
        </w:rPr>
      </w:pPr>
      <w:r>
        <w:rPr>
          <w:rFonts w:hint="eastAsia" w:ascii="宋体" w:hAnsi="宋体" w:cs="宋体"/>
          <w:b/>
          <w:sz w:val="28"/>
          <w:szCs w:val="28"/>
        </w:rPr>
        <w:t>（一）交货期及地点</w:t>
      </w:r>
    </w:p>
    <w:p>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自合同签订之日起</w:t>
      </w:r>
      <w:r>
        <w:rPr>
          <w:rFonts w:hint="eastAsia" w:ascii="宋体" w:hAnsi="宋体"/>
          <w:bCs/>
          <w:sz w:val="28"/>
          <w:szCs w:val="28"/>
          <w:lang w:val="en-US" w:eastAsia="zh-CN"/>
        </w:rPr>
        <w:t>6个月</w:t>
      </w:r>
      <w:r>
        <w:rPr>
          <w:rFonts w:hint="eastAsia" w:ascii="宋体" w:hAnsi="宋体"/>
          <w:bCs/>
          <w:sz w:val="28"/>
          <w:szCs w:val="28"/>
        </w:rPr>
        <w:t>内完成交货，确保正常运行使用。</w:t>
      </w:r>
    </w:p>
    <w:p>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交付地点：广东财经大学</w:t>
      </w:r>
      <w:r>
        <w:rPr>
          <w:rFonts w:hint="eastAsia" w:ascii="宋体" w:hAnsi="宋体"/>
          <w:bCs/>
          <w:sz w:val="28"/>
          <w:szCs w:val="28"/>
          <w:lang w:val="en-US" w:eastAsia="zh-CN"/>
        </w:rPr>
        <w:t>广州</w:t>
      </w:r>
      <w:r>
        <w:rPr>
          <w:rFonts w:hint="eastAsia" w:ascii="宋体" w:hAnsi="宋体"/>
          <w:bCs/>
          <w:sz w:val="28"/>
          <w:szCs w:val="28"/>
        </w:rPr>
        <w:t>校区。</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(二)安装、调试与</w:t>
      </w:r>
      <w:r>
        <w:rPr>
          <w:rFonts w:hint="eastAsia" w:ascii="宋体" w:hAnsi="宋体" w:cs="宋体"/>
          <w:b/>
          <w:sz w:val="28"/>
          <w:szCs w:val="28"/>
        </w:rPr>
        <w:t>培训</w:t>
      </w:r>
      <w:r>
        <w:rPr>
          <w:rFonts w:hint="eastAsia" w:ascii="宋体" w:hAnsi="宋体"/>
          <w:b/>
          <w:sz w:val="28"/>
          <w:szCs w:val="28"/>
        </w:rPr>
        <w:t>要求</w:t>
      </w:r>
    </w:p>
    <w:p>
      <w:pPr>
        <w:adjustRightInd w:val="0"/>
        <w:snapToGrid w:val="0"/>
        <w:spacing w:line="560" w:lineRule="exact"/>
        <w:ind w:firstLine="638" w:firstLineChars="228"/>
        <w:rPr>
          <w:rFonts w:ascii="宋体" w:hAnsi="宋体" w:cs="宋体"/>
          <w:sz w:val="28"/>
          <w:szCs w:val="28"/>
        </w:rPr>
      </w:pPr>
      <w:r>
        <w:rPr>
          <w:rFonts w:hint="eastAsia" w:ascii="宋体" w:hAnsi="宋体"/>
          <w:sz w:val="28"/>
          <w:szCs w:val="28"/>
        </w:rPr>
        <w:t>本项目采购内容包括安装、调试和培训，于广东财经大学（</w:t>
      </w:r>
      <w:r>
        <w:rPr>
          <w:rFonts w:hint="eastAsia" w:ascii="宋体" w:hAnsi="宋体"/>
          <w:sz w:val="28"/>
          <w:szCs w:val="28"/>
          <w:lang w:val="en-US" w:eastAsia="zh-CN"/>
        </w:rPr>
        <w:t>广州</w:t>
      </w:r>
      <w:r>
        <w:rPr>
          <w:rFonts w:hint="eastAsia" w:ascii="宋体" w:hAnsi="宋体"/>
          <w:sz w:val="28"/>
          <w:szCs w:val="28"/>
        </w:rPr>
        <w:t>校区）完成</w:t>
      </w:r>
      <w:r>
        <w:rPr>
          <w:rFonts w:hint="eastAsia" w:ascii="宋体" w:hAnsi="宋体" w:cs="宋体"/>
          <w:sz w:val="28"/>
          <w:szCs w:val="28"/>
        </w:rPr>
        <w:t>。</w:t>
      </w:r>
    </w:p>
    <w:p>
      <w:pPr>
        <w:numPr>
          <w:ilvl w:val="0"/>
          <w:numId w:val="4"/>
        </w:num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项目质量与验收标准</w:t>
      </w:r>
    </w:p>
    <w:p>
      <w:pPr>
        <w:adjustRightInd w:val="0"/>
        <w:snapToGrid w:val="0"/>
        <w:spacing w:line="560" w:lineRule="exact"/>
        <w:ind w:firstLine="638" w:firstLineChars="228"/>
        <w:jc w:val="left"/>
        <w:rPr>
          <w:rFonts w:ascii="宋体" w:hAnsi="宋体"/>
          <w:b/>
          <w:sz w:val="28"/>
          <w:szCs w:val="28"/>
        </w:rPr>
      </w:pPr>
      <w:r>
        <w:rPr>
          <w:rFonts w:hint="eastAsia" w:ascii="宋体" w:hAnsi="宋体"/>
          <w:sz w:val="28"/>
          <w:szCs w:val="28"/>
        </w:rPr>
        <w:t>合同项目履约完毕，成交人应当及时向项目承办单位提供验收方案申请项目验收，验收合格后签署验收报告。验收报告的签署不能免除成交人在质量保证期内对合同项目应当承担的保证责任。</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（四）质保期</w:t>
      </w:r>
    </w:p>
    <w:p>
      <w:pPr>
        <w:adjustRightInd w:val="0"/>
        <w:snapToGrid w:val="0"/>
        <w:spacing w:line="560" w:lineRule="exact"/>
        <w:ind w:firstLine="638" w:firstLineChars="228"/>
        <w:rPr>
          <w:rFonts w:ascii="宋体" w:hAnsi="宋体" w:cs="宋体"/>
          <w:sz w:val="28"/>
          <w:szCs w:val="28"/>
        </w:rPr>
      </w:pPr>
      <w:r>
        <w:rPr>
          <w:rFonts w:hint="eastAsia" w:ascii="宋体" w:hAnsi="宋体"/>
          <w:sz w:val="28"/>
          <w:szCs w:val="28"/>
        </w:rPr>
        <w:t>质保期自安装验收合格之日起生效，时间为</w:t>
      </w:r>
      <w:r>
        <w:rPr>
          <w:rFonts w:hint="eastAsia" w:ascii="宋体" w:hAnsi="宋体"/>
          <w:sz w:val="28"/>
          <w:szCs w:val="28"/>
          <w:lang w:val="en-US" w:eastAsia="zh-CN"/>
        </w:rPr>
        <w:t xml:space="preserve"> 1年</w:t>
      </w:r>
      <w:r>
        <w:rPr>
          <w:rFonts w:hint="eastAsia" w:ascii="宋体" w:hAnsi="宋体" w:cs="宋体"/>
          <w:sz w:val="28"/>
          <w:szCs w:val="28"/>
        </w:rPr>
        <w:t>。</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（五）售后服务要求</w:t>
      </w:r>
    </w:p>
    <w:p>
      <w:pPr>
        <w:adjustRightInd w:val="0"/>
        <w:snapToGrid w:val="0"/>
        <w:spacing w:line="560" w:lineRule="exact"/>
        <w:ind w:firstLine="638" w:firstLineChars="228"/>
        <w:rPr>
          <w:rFonts w:ascii="宋体" w:hAnsi="宋体"/>
          <w:b/>
          <w:bCs/>
          <w:kern w:val="0"/>
          <w:sz w:val="28"/>
          <w:szCs w:val="28"/>
        </w:rPr>
      </w:pPr>
      <w:r>
        <w:rPr>
          <w:rFonts w:hint="eastAsia" w:ascii="宋体" w:hAnsi="宋体"/>
          <w:sz w:val="28"/>
          <w:szCs w:val="28"/>
        </w:rPr>
        <w:t>服务响应速度在</w:t>
      </w:r>
      <w:r>
        <w:rPr>
          <w:rFonts w:hint="eastAsia" w:ascii="宋体" w:hAnsi="宋体"/>
          <w:sz w:val="28"/>
          <w:szCs w:val="28"/>
          <w:lang w:val="en-US" w:eastAsia="zh-CN"/>
        </w:rPr>
        <w:t>1小时</w:t>
      </w:r>
      <w:r>
        <w:rPr>
          <w:rFonts w:hint="eastAsia" w:ascii="宋体" w:hAnsi="宋体"/>
          <w:sz w:val="28"/>
          <w:szCs w:val="28"/>
        </w:rPr>
        <w:t>之内,并在</w:t>
      </w:r>
      <w:r>
        <w:rPr>
          <w:rFonts w:hint="eastAsia" w:ascii="宋体" w:hAnsi="宋体"/>
          <w:sz w:val="28"/>
          <w:szCs w:val="28"/>
          <w:lang w:val="en-US" w:eastAsia="zh-CN"/>
        </w:rPr>
        <w:t>24小时</w:t>
      </w:r>
      <w:r>
        <w:rPr>
          <w:rFonts w:hint="eastAsia" w:ascii="宋体" w:hAnsi="宋体"/>
          <w:sz w:val="28"/>
          <w:szCs w:val="28"/>
        </w:rPr>
        <w:t>内解决故障。</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（六）结算与付款方式</w:t>
      </w:r>
    </w:p>
    <w:p>
      <w:pPr>
        <w:spacing w:line="560" w:lineRule="exact"/>
        <w:ind w:firstLine="638" w:firstLineChars="228"/>
        <w:rPr>
          <w:rFonts w:ascii="宋体" w:hAnsi="宋体"/>
          <w:sz w:val="28"/>
          <w:szCs w:val="28"/>
        </w:rPr>
      </w:pPr>
      <w:r>
        <w:rPr>
          <w:rFonts w:hint="eastAsia" w:ascii="宋体" w:hAnsi="宋体"/>
          <w:sz w:val="28"/>
          <w:szCs w:val="28"/>
        </w:rPr>
        <w:t>合同生效15日内，采购人凭中标人提供的正式发票，支付合同金额的50%；课程验收合格后，采购人凭中标人提供的正式发票，支付合同剩余金额的50%。</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（七）违约处罚</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1、成交人的违约责任：</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逾期交付使用的，从逾期之日起每日按合同总价3‰的数额向采购单位支付违约金；逾期15日以上的，采购单位有权终止合同，由此造成的采购单位经济损失由成交人承担。成交人支付合同金额30%的违约金。</w:t>
      </w:r>
    </w:p>
    <w:p>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(2)成交人</w:t>
      </w:r>
      <w:r>
        <w:rPr>
          <w:rFonts w:ascii="宋体" w:hAnsi="宋体"/>
          <w:sz w:val="28"/>
          <w:szCs w:val="28"/>
        </w:rPr>
        <w:t>交付</w:t>
      </w:r>
      <w:r>
        <w:rPr>
          <w:rFonts w:hint="eastAsia" w:ascii="宋体" w:hAnsi="宋体"/>
          <w:sz w:val="28"/>
          <w:szCs w:val="28"/>
        </w:rPr>
        <w:t>使用</w:t>
      </w:r>
      <w:r>
        <w:rPr>
          <w:rFonts w:ascii="宋体" w:hAnsi="宋体"/>
          <w:sz w:val="28"/>
          <w:szCs w:val="28"/>
        </w:rPr>
        <w:t>的服务不符合</w:t>
      </w:r>
      <w:r>
        <w:rPr>
          <w:rFonts w:hint="eastAsia" w:ascii="宋体" w:hAnsi="宋体"/>
          <w:sz w:val="28"/>
          <w:szCs w:val="28"/>
        </w:rPr>
        <w:t>采购书</w:t>
      </w:r>
      <w:r>
        <w:rPr>
          <w:rFonts w:ascii="宋体" w:hAnsi="宋体"/>
          <w:sz w:val="28"/>
          <w:szCs w:val="28"/>
        </w:rPr>
        <w:t>、</w:t>
      </w:r>
      <w:r>
        <w:rPr>
          <w:rFonts w:hint="eastAsia" w:ascii="宋体" w:hAnsi="宋体"/>
          <w:sz w:val="28"/>
          <w:szCs w:val="28"/>
        </w:rPr>
        <w:t>报价文件</w:t>
      </w:r>
      <w:r>
        <w:rPr>
          <w:rFonts w:ascii="宋体" w:hAnsi="宋体"/>
          <w:sz w:val="28"/>
          <w:szCs w:val="28"/>
        </w:rPr>
        <w:t>或合同规定的，</w:t>
      </w:r>
      <w:r>
        <w:rPr>
          <w:rFonts w:hint="eastAsia" w:ascii="宋体" w:hAnsi="宋体"/>
          <w:sz w:val="28"/>
          <w:szCs w:val="28"/>
        </w:rPr>
        <w:t>采购单位</w:t>
      </w:r>
      <w:r>
        <w:rPr>
          <w:rFonts w:ascii="宋体" w:hAnsi="宋体"/>
          <w:sz w:val="28"/>
          <w:szCs w:val="28"/>
        </w:rPr>
        <w:t>有权拒收，并且</w:t>
      </w:r>
      <w:r>
        <w:rPr>
          <w:rFonts w:hint="eastAsia" w:ascii="宋体" w:hAnsi="宋体"/>
          <w:sz w:val="28"/>
          <w:szCs w:val="28"/>
        </w:rPr>
        <w:t>成交</w:t>
      </w:r>
      <w:r>
        <w:rPr>
          <w:rFonts w:ascii="宋体" w:hAnsi="宋体"/>
          <w:sz w:val="28"/>
          <w:szCs w:val="28"/>
        </w:rPr>
        <w:t>人须向</w:t>
      </w:r>
      <w:r>
        <w:rPr>
          <w:rFonts w:hint="eastAsia" w:ascii="宋体" w:hAnsi="宋体"/>
          <w:sz w:val="28"/>
          <w:szCs w:val="28"/>
        </w:rPr>
        <w:t>采购单位</w:t>
      </w:r>
      <w:r>
        <w:rPr>
          <w:rFonts w:ascii="宋体" w:hAnsi="宋体"/>
          <w:sz w:val="28"/>
          <w:szCs w:val="28"/>
        </w:rPr>
        <w:t>支付合同总价5%的违约金。</w:t>
      </w:r>
    </w:p>
    <w:p>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(3)其它违约责任按《中华人民共和国民法典》处理。</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2、采购单位的违约责任：</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(1)采购单位逾期付款的，应按照每日合同总价的3‰的比例向</w:t>
      </w:r>
      <w:r>
        <w:rPr>
          <w:rFonts w:hint="eastAsia" w:ascii="宋体" w:hAnsi="宋体"/>
          <w:sz w:val="28"/>
          <w:szCs w:val="28"/>
          <w:lang w:eastAsia="zh-CN"/>
        </w:rPr>
        <w:t>成交人</w:t>
      </w:r>
      <w:r>
        <w:rPr>
          <w:rFonts w:hint="eastAsia" w:ascii="宋体" w:hAnsi="宋体"/>
          <w:sz w:val="28"/>
          <w:szCs w:val="28"/>
        </w:rPr>
        <w:t>偿付逾期付款的违约金；</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(2)采购单位违反合同规定拒绝接受服务的，应当承担由此对</w:t>
      </w:r>
      <w:r>
        <w:rPr>
          <w:rFonts w:hint="eastAsia" w:ascii="宋体" w:hAnsi="宋体"/>
          <w:sz w:val="28"/>
          <w:szCs w:val="28"/>
          <w:lang w:eastAsia="zh-CN"/>
        </w:rPr>
        <w:t>成交人</w:t>
      </w:r>
      <w:r>
        <w:rPr>
          <w:rFonts w:hint="eastAsia" w:ascii="宋体" w:hAnsi="宋体"/>
          <w:sz w:val="28"/>
          <w:szCs w:val="28"/>
        </w:rPr>
        <w:t>造成的损失。</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（八）其他要求</w:t>
      </w:r>
    </w:p>
    <w:p>
      <w:pPr>
        <w:spacing w:line="560" w:lineRule="exact"/>
        <w:ind w:firstLine="638" w:firstLineChars="228"/>
        <w:rPr>
          <w:rFonts w:ascii="宋体" w:hAnsi="宋体"/>
          <w:sz w:val="28"/>
          <w:szCs w:val="28"/>
        </w:rPr>
      </w:pPr>
      <w:r>
        <w:rPr>
          <w:rFonts w:hint="eastAsia" w:ascii="宋体" w:hAnsi="宋体"/>
          <w:sz w:val="28"/>
          <w:szCs w:val="28"/>
        </w:rPr>
        <w:t>有关“知识产权、专利权、软件著作权”等特别要求：</w:t>
      </w:r>
    </w:p>
    <w:p>
      <w:pPr>
        <w:numPr>
          <w:ilvl w:val="0"/>
          <w:numId w:val="5"/>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采购方在履行合同过程中提供给成交人使用保管的全部图纸、文件和其他含有数据和信息的资料，其知识产权属于采购方。</w:t>
      </w:r>
    </w:p>
    <w:p>
      <w:pPr>
        <w:numPr>
          <w:ilvl w:val="0"/>
          <w:numId w:val="5"/>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成交人提供的合同项目涉及知识产权、专利权、软件著作权的，则成交人在合同签订前应当提供产品原生产厂家针对本项目的签字盖章的授权销售及质保承诺书原件，并保证采购方在使用过程中免受第三方提出的有关知识产权、专利权、软件著作权等侵权的主张、索赔或诉讼的伤害，否则采购方有权拒签合同并取消成交人资格。</w:t>
      </w:r>
    </w:p>
    <w:p>
      <w:pPr>
        <w:numPr>
          <w:ilvl w:val="0"/>
          <w:numId w:val="5"/>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如果采购方收到任何第三方有关知识产权、专利权、软件著作权等的主张、索赔或诉讼，成交人在收到采购方通知后，应当自负费用处理与第三方的索赔或诉讼，并赔偿采购方因此发生的费用和遭受的损失。</w:t>
      </w:r>
    </w:p>
    <w:p>
      <w:pPr>
        <w:spacing w:line="560" w:lineRule="exact"/>
        <w:ind w:firstLine="641" w:firstLineChars="228"/>
        <w:rPr>
          <w:rFonts w:ascii="宋体" w:hAnsi="宋体"/>
          <w:sz w:val="28"/>
          <w:szCs w:val="28"/>
        </w:rPr>
      </w:pPr>
      <w:r>
        <w:rPr>
          <w:rFonts w:hint="eastAsia" w:ascii="宋体" w:hAnsi="宋体"/>
          <w:b/>
          <w:bCs/>
          <w:sz w:val="28"/>
          <w:szCs w:val="28"/>
        </w:rPr>
        <w:t>（九）争议解决</w:t>
      </w:r>
      <w:r>
        <w:rPr>
          <w:rFonts w:hint="eastAsia" w:ascii="宋体" w:hAnsi="宋体"/>
          <w:sz w:val="28"/>
          <w:szCs w:val="28"/>
        </w:rPr>
        <w:t>：双方因合同发生争议，应在采购方的主持下进行调解，协商不成，可按合同约定向人民法院起诉。</w:t>
      </w:r>
    </w:p>
    <w:p>
      <w:pPr>
        <w:spacing w:line="400" w:lineRule="exact"/>
        <w:ind w:firstLine="640" w:firstLineChars="200"/>
        <w:rPr>
          <w:rFonts w:ascii="宋体" w:hAnsi="宋体"/>
          <w:sz w:val="32"/>
          <w:szCs w:val="32"/>
        </w:rPr>
      </w:pPr>
    </w:p>
    <w:p>
      <w:pPr>
        <w:spacing w:line="400" w:lineRule="exact"/>
        <w:ind w:firstLine="420" w:firstLineChars="200"/>
        <w:rPr>
          <w:rFonts w:ascii="宋体" w:hAnsi="宋体"/>
          <w:sz w:val="28"/>
          <w:szCs w:val="28"/>
        </w:rPr>
      </w:pPr>
      <w:bookmarkStart w:id="28" w:name="_Toc13543213"/>
      <w:bookmarkStart w:id="29" w:name="_Toc60236710"/>
      <w:r>
        <w:rPr>
          <w:rFonts w:hint="eastAsia"/>
        </w:rPr>
        <w:br w:type="page"/>
      </w:r>
      <w:bookmarkEnd w:id="28"/>
      <w:bookmarkEnd w:id="29"/>
    </w:p>
    <w:p>
      <w:pPr>
        <w:pStyle w:val="2"/>
      </w:pPr>
      <w:bookmarkStart w:id="30" w:name="_Toc14310"/>
      <w:r>
        <w:rPr>
          <w:rFonts w:hint="eastAsia"/>
        </w:rPr>
        <w:t>第三部分  报价文件格式</w:t>
      </w:r>
      <w:bookmarkEnd w:id="30"/>
    </w:p>
    <w:p>
      <w:pPr>
        <w:jc w:val="center"/>
        <w:rPr>
          <w:color w:val="000000"/>
          <w:sz w:val="18"/>
          <w:szCs w:val="18"/>
        </w:rPr>
      </w:pPr>
      <w:r>
        <w:rPr>
          <w:rFonts w:hint="eastAsia"/>
          <w:b/>
          <w:color w:val="000000"/>
          <w:sz w:val="28"/>
          <w:szCs w:val="28"/>
        </w:rPr>
        <w:t>校内分散采购报价文件封面</w:t>
      </w: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Pr>
        <w:jc w:val="center"/>
      </w:pPr>
    </w:p>
    <w:p/>
    <w:p/>
    <w:p/>
    <w:p>
      <w:pPr>
        <w:ind w:left="425"/>
        <w:jc w:val="center"/>
        <w:rPr>
          <w:rFonts w:eastAsia="黑体"/>
          <w:b/>
          <w:sz w:val="72"/>
          <w:szCs w:val="56"/>
        </w:rPr>
      </w:pPr>
      <w:r>
        <w:rPr>
          <w:rFonts w:hint="eastAsia" w:eastAsia="黑体"/>
          <w:b/>
          <w:sz w:val="72"/>
          <w:szCs w:val="56"/>
        </w:rPr>
        <w:t>校内分散采购报价文件</w:t>
      </w:r>
    </w:p>
    <w:p>
      <w:pPr>
        <w:pStyle w:val="14"/>
        <w:rPr>
          <w:rFonts w:ascii="Calibri" w:hAnsi="Calibri"/>
          <w:b/>
          <w:sz w:val="32"/>
          <w:szCs w:val="32"/>
        </w:rPr>
      </w:pPr>
    </w:p>
    <w:p>
      <w:pPr>
        <w:pStyle w:val="14"/>
        <w:ind w:firstLine="1084" w:firstLineChars="300"/>
        <w:rPr>
          <w:rFonts w:ascii="楷体_GB2312" w:hAnsi="楷体" w:eastAsia="楷体_GB2312"/>
          <w:sz w:val="32"/>
        </w:rPr>
      </w:pPr>
      <w:r>
        <w:rPr>
          <w:rFonts w:hint="eastAsia" w:ascii="楷体_GB2312" w:hAnsi="楷体" w:eastAsia="楷体_GB2312"/>
          <w:b/>
          <w:bCs/>
          <w:sz w:val="36"/>
        </w:rPr>
        <w:t>项目名称:</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报价人名称：</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报价人地址：</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法人/委托代理人</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（签字或加盖私章）：</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联系邮箱： </w:t>
      </w:r>
    </w:p>
    <w:p>
      <w:pPr>
        <w:spacing w:line="600" w:lineRule="exact"/>
        <w:ind w:firstLine="1442" w:firstLineChars="399"/>
        <w:rPr>
          <w:rFonts w:ascii="楷体_GB2312" w:hAnsi="楷体" w:eastAsia="楷体_GB2312"/>
          <w:b/>
          <w:bCs/>
          <w:sz w:val="36"/>
          <w:u w:val="single"/>
        </w:rPr>
      </w:pPr>
    </w:p>
    <w:p>
      <w:pPr>
        <w:spacing w:line="400" w:lineRule="exact"/>
        <w:ind w:firstLine="961" w:firstLineChars="399"/>
        <w:rPr>
          <w:rFonts w:ascii="楷体_GB2312" w:hAnsi="楷体" w:eastAsia="楷体_GB2312"/>
          <w:b/>
          <w:bCs/>
          <w:sz w:val="24"/>
          <w:u w:val="single"/>
        </w:rPr>
      </w:pPr>
    </w:p>
    <w:p>
      <w:pPr>
        <w:spacing w:line="600" w:lineRule="exact"/>
        <w:jc w:val="center"/>
        <w:rPr>
          <w:rFonts w:ascii="楷体_GB2312" w:hAnsi="楷体" w:eastAsia="楷体_GB2312"/>
          <w:b/>
          <w:bCs/>
          <w:sz w:val="32"/>
        </w:rPr>
      </w:pPr>
      <w:r>
        <w:rPr>
          <w:rFonts w:hint="eastAsia" w:ascii="楷体_GB2312" w:hAnsi="楷体" w:eastAsia="楷体_GB2312"/>
          <w:b/>
          <w:bCs/>
          <w:sz w:val="32"/>
        </w:rPr>
        <w:t>报价人单位（盖章）</w:t>
      </w:r>
    </w:p>
    <w:p>
      <w:pPr>
        <w:jc w:val="center"/>
        <w:rPr>
          <w:b/>
          <w:sz w:val="36"/>
          <w:szCs w:val="36"/>
        </w:rPr>
      </w:pPr>
    </w:p>
    <w:p>
      <w:pPr>
        <w:spacing w:line="400" w:lineRule="exact"/>
        <w:rPr>
          <w:rFonts w:ascii="宋体" w:hAnsi="宋体"/>
          <w:bCs/>
          <w:sz w:val="28"/>
          <w:szCs w:val="28"/>
        </w:rPr>
      </w:pPr>
    </w:p>
    <w:p>
      <w:pPr>
        <w:rPr>
          <w:rFonts w:ascii="宋体" w:hAnsi="宋体" w:cs="宋体"/>
          <w:b/>
          <w:bCs/>
          <w:spacing w:val="30"/>
          <w:sz w:val="44"/>
          <w:szCs w:val="44"/>
        </w:rPr>
      </w:pPr>
      <w:r>
        <w:rPr>
          <w:rFonts w:hint="eastAsia" w:ascii="宋体" w:hAnsi="宋体" w:cs="宋体"/>
          <w:b/>
          <w:bCs/>
          <w:spacing w:val="30"/>
          <w:sz w:val="44"/>
          <w:szCs w:val="44"/>
        </w:rPr>
        <w:br w:type="page"/>
      </w:r>
    </w:p>
    <w:p>
      <w:pPr>
        <w:jc w:val="center"/>
        <w:rPr>
          <w:b/>
          <w:sz w:val="44"/>
          <w:szCs w:val="44"/>
        </w:rPr>
      </w:pPr>
      <w:r>
        <w:rPr>
          <w:rFonts w:hint="eastAsia"/>
          <w:sz w:val="44"/>
          <w:szCs w:val="44"/>
        </w:rPr>
        <w:t>目录</w:t>
      </w:r>
    </w:p>
    <w:p>
      <w:pPr>
        <w:jc w:val="left"/>
        <w:rPr>
          <w:rFonts w:ascii="宋体" w:hAnsi="宋体"/>
          <w:sz w:val="28"/>
          <w:szCs w:val="28"/>
        </w:rPr>
      </w:pP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营业执照（或事业法人登记证等相关证明）副本复印件</w:t>
      </w:r>
    </w:p>
    <w:p>
      <w:pPr>
        <w:jc w:val="left"/>
        <w:rPr>
          <w:rFonts w:ascii="宋体" w:hAnsi="宋体" w:cs="宋体"/>
          <w:b/>
          <w:bCs/>
          <w:spacing w:val="30"/>
          <w:sz w:val="28"/>
          <w:szCs w:val="28"/>
        </w:rPr>
      </w:pPr>
      <w:r>
        <w:rPr>
          <w:rFonts w:hint="eastAsia" w:ascii="宋体" w:hAnsi="宋体" w:cs="宋体"/>
          <w:b/>
          <w:bCs/>
          <w:spacing w:val="30"/>
          <w:sz w:val="28"/>
          <w:szCs w:val="28"/>
        </w:rPr>
        <w:t xml:space="preserve">                                       XX页</w:t>
      </w:r>
    </w:p>
    <w:p>
      <w:pPr>
        <w:numPr>
          <w:ilvl w:val="0"/>
          <w:numId w:val="6"/>
        </w:numPr>
        <w:jc w:val="left"/>
        <w:rPr>
          <w:rFonts w:ascii="宋体" w:hAnsi="宋体" w:cs="宋体"/>
          <w:b/>
          <w:bCs/>
          <w:spacing w:val="30"/>
          <w:sz w:val="28"/>
          <w:szCs w:val="28"/>
        </w:rPr>
      </w:pPr>
      <w:r>
        <w:rPr>
          <w:rFonts w:ascii="宋体" w:hAnsi="宋体" w:cs="宋体"/>
          <w:b/>
          <w:bCs/>
          <w:spacing w:val="30"/>
          <w:sz w:val="28"/>
          <w:szCs w:val="28"/>
        </w:rPr>
        <w:t>法人</w:t>
      </w:r>
      <w:r>
        <w:rPr>
          <w:rFonts w:hint="eastAsia" w:ascii="宋体" w:hAnsi="宋体" w:cs="宋体"/>
          <w:b/>
          <w:bCs/>
          <w:spacing w:val="30"/>
          <w:sz w:val="28"/>
          <w:szCs w:val="28"/>
        </w:rPr>
        <w:t>或负责人</w:t>
      </w:r>
      <w:r>
        <w:rPr>
          <w:rFonts w:ascii="宋体" w:hAnsi="宋体" w:cs="宋体"/>
          <w:b/>
          <w:bCs/>
          <w:spacing w:val="30"/>
          <w:sz w:val="28"/>
          <w:szCs w:val="28"/>
        </w:rPr>
        <w:t>资格证明</w:t>
      </w:r>
      <w:r>
        <w:rPr>
          <w:rFonts w:hint="eastAsia" w:ascii="宋体" w:hAnsi="宋体" w:cs="宋体"/>
          <w:b/>
          <w:bCs/>
          <w:spacing w:val="30"/>
          <w:sz w:val="28"/>
          <w:szCs w:val="28"/>
        </w:rPr>
        <w:t xml:space="preserve">                 XX页</w:t>
      </w:r>
    </w:p>
    <w:p>
      <w:pPr>
        <w:numPr>
          <w:ilvl w:val="0"/>
          <w:numId w:val="6"/>
        </w:numPr>
        <w:jc w:val="left"/>
        <w:rPr>
          <w:rFonts w:ascii="宋体" w:hAnsi="宋体" w:cs="宋体"/>
          <w:b/>
          <w:bCs/>
          <w:spacing w:val="30"/>
          <w:sz w:val="28"/>
          <w:szCs w:val="28"/>
        </w:rPr>
      </w:pPr>
      <w:r>
        <w:rPr>
          <w:rFonts w:ascii="宋体" w:hAnsi="宋体" w:cs="宋体"/>
          <w:b/>
          <w:bCs/>
          <w:spacing w:val="30"/>
          <w:sz w:val="28"/>
          <w:szCs w:val="28"/>
        </w:rPr>
        <w:t>授权委托书</w:t>
      </w:r>
      <w:r>
        <w:rPr>
          <w:rFonts w:hint="eastAsia" w:ascii="宋体" w:hAnsi="宋体" w:cs="宋体"/>
          <w:b/>
          <w:bCs/>
          <w:spacing w:val="30"/>
          <w:sz w:val="28"/>
          <w:szCs w:val="28"/>
        </w:rPr>
        <w:t xml:space="preserve">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报价一览表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报价明细表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技术（服务）条款响应表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商务条款响应表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报价人声明及承诺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证明材料                              XX页</w:t>
      </w:r>
    </w:p>
    <w:p>
      <w:pPr>
        <w:rPr>
          <w:rFonts w:ascii="宋体" w:hAnsi="宋体"/>
          <w:szCs w:val="21"/>
        </w:rPr>
      </w:pPr>
      <w:r>
        <w:rPr>
          <w:rFonts w:ascii="宋体" w:hAnsi="宋体"/>
          <w:szCs w:val="21"/>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营业执照（或事业法人登记证等相关证明）副本复印件</w:t>
      </w:r>
    </w:p>
    <w:p>
      <w:pPr>
        <w:rPr>
          <w:rFonts w:ascii="宋体" w:hAnsi="宋体" w:cs="宋体"/>
          <w:b/>
          <w:bCs/>
          <w:spacing w:val="30"/>
          <w:sz w:val="44"/>
          <w:szCs w:val="44"/>
        </w:rPr>
      </w:pPr>
      <w:r>
        <w:rPr>
          <w:rFonts w:hint="eastAsia" w:ascii="宋体" w:hAnsi="宋体" w:cs="宋体"/>
          <w:b/>
          <w:bCs/>
          <w:spacing w:val="30"/>
          <w:sz w:val="44"/>
          <w:szCs w:val="44"/>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t>法人</w:t>
      </w:r>
      <w:r>
        <w:rPr>
          <w:rFonts w:hint="eastAsia" w:ascii="宋体" w:hAnsi="宋体" w:cs="宋体"/>
          <w:b/>
          <w:bCs/>
          <w:spacing w:val="30"/>
          <w:sz w:val="44"/>
          <w:szCs w:val="44"/>
        </w:rPr>
        <w:t>或负责人</w:t>
      </w:r>
      <w:r>
        <w:rPr>
          <w:rFonts w:ascii="宋体" w:hAnsi="宋体" w:cs="宋体"/>
          <w:b/>
          <w:bCs/>
          <w:spacing w:val="30"/>
          <w:sz w:val="44"/>
          <w:szCs w:val="44"/>
        </w:rPr>
        <w:t>资格证明（</w:t>
      </w:r>
      <w:r>
        <w:rPr>
          <w:rFonts w:hint="eastAsia" w:ascii="宋体" w:hAnsi="宋体" w:cs="宋体"/>
          <w:b/>
          <w:bCs/>
          <w:spacing w:val="30"/>
          <w:sz w:val="44"/>
          <w:szCs w:val="44"/>
        </w:rPr>
        <w:t>固定格式）</w:t>
      </w:r>
    </w:p>
    <w:p>
      <w:pPr>
        <w:spacing w:line="520" w:lineRule="exact"/>
        <w:rPr>
          <w:rFonts w:ascii="宋体" w:hAnsi="宋体"/>
          <w:bCs/>
          <w:sz w:val="28"/>
          <w:szCs w:val="28"/>
        </w:rPr>
      </w:pPr>
    </w:p>
    <w:p>
      <w:pPr>
        <w:spacing w:line="520" w:lineRule="exact"/>
        <w:ind w:firstLine="560" w:firstLineChars="200"/>
        <w:rPr>
          <w:rFonts w:ascii="宋体" w:hAnsi="宋体"/>
          <w:bCs/>
          <w:sz w:val="28"/>
          <w:szCs w:val="28"/>
        </w:rPr>
      </w:pPr>
      <w:r>
        <w:rPr>
          <w:rFonts w:hint="eastAsia" w:ascii="宋体" w:hAnsi="宋体"/>
          <w:bCs/>
          <w:sz w:val="28"/>
          <w:szCs w:val="28"/>
        </w:rPr>
        <w:t>报价人单位</w:t>
      </w:r>
      <w:r>
        <w:rPr>
          <w:rFonts w:ascii="宋体" w:hAnsi="宋体"/>
          <w:bCs/>
          <w:sz w:val="28"/>
          <w:szCs w:val="28"/>
        </w:rPr>
        <w:t>名称：</w:t>
      </w:r>
    </w:p>
    <w:p>
      <w:pPr>
        <w:spacing w:line="520" w:lineRule="exact"/>
        <w:ind w:firstLine="560" w:firstLineChars="200"/>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ind w:firstLine="560" w:firstLineChars="200"/>
        <w:rPr>
          <w:rFonts w:ascii="宋体" w:hAnsi="宋体"/>
          <w:bCs/>
          <w:sz w:val="28"/>
          <w:szCs w:val="28"/>
        </w:rPr>
      </w:pPr>
      <w:r>
        <w:rPr>
          <w:rFonts w:ascii="宋体" w:hAnsi="宋体"/>
          <w:bCs/>
          <w:sz w:val="28"/>
          <w:szCs w:val="28"/>
        </w:rPr>
        <w:t>联系方式：</w:t>
      </w:r>
    </w:p>
    <w:p>
      <w:pPr>
        <w:spacing w:line="520" w:lineRule="exact"/>
        <w:ind w:firstLine="548" w:firstLineChars="196"/>
        <w:rPr>
          <w:rFonts w:ascii="宋体" w:hAnsi="宋体"/>
          <w:bCs/>
          <w:sz w:val="28"/>
          <w:szCs w:val="28"/>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520" w:lineRule="exact"/>
        <w:ind w:firstLine="548" w:firstLineChars="196"/>
        <w:rPr>
          <w:rFonts w:ascii="宋体" w:hAnsi="宋体"/>
          <w:bCs/>
          <w:sz w:val="28"/>
          <w:szCs w:val="28"/>
        </w:rPr>
      </w:pPr>
      <w:r>
        <w:rPr>
          <w:rFonts w:hint="eastAsia" w:ascii="宋体" w:hAnsi="宋体"/>
          <w:bCs/>
          <w:sz w:val="28"/>
          <w:szCs w:val="28"/>
        </w:rPr>
        <w:t>报价人单位（</w:t>
      </w:r>
      <w:r>
        <w:rPr>
          <w:rFonts w:ascii="宋体" w:hAnsi="宋体"/>
          <w:bCs/>
          <w:sz w:val="28"/>
          <w:szCs w:val="28"/>
        </w:rPr>
        <w:t>盖章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440" w:lineRule="exact"/>
        <w:ind w:firstLine="548" w:firstLineChars="196"/>
        <w:rPr>
          <w:rFonts w:ascii="宋体" w:hAnsi="宋体"/>
          <w:bCs/>
          <w:sz w:val="28"/>
          <w:szCs w:val="28"/>
        </w:rPr>
      </w:pPr>
    </w:p>
    <w:p>
      <w:pPr>
        <w:spacing w:line="44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报价</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rPr>
        <w:t>报价的，须将本人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rPr>
        <w:t>报价不需提供</w:t>
      </w:r>
      <w:r>
        <w:rPr>
          <w:rFonts w:ascii="宋体" w:hAnsi="宋体"/>
          <w:bCs/>
          <w:sz w:val="28"/>
          <w:szCs w:val="28"/>
        </w:rPr>
        <w:t>）。</w:t>
      </w:r>
      <w:r>
        <w:rPr>
          <w:rFonts w:hint="eastAsia" w:ascii="宋体" w:hAnsi="宋体"/>
          <w:bCs/>
          <w:sz w:val="28"/>
          <w:szCs w:val="28"/>
        </w:rPr>
        <w:t>该资格证明为实质性响应内容。</w:t>
      </w:r>
    </w:p>
    <w:p>
      <w:pPr>
        <w:rPr>
          <w:b/>
          <w:bCs/>
          <w:sz w:val="32"/>
          <w:szCs w:val="21"/>
        </w:rPr>
      </w:pPr>
      <w:r>
        <w:rPr>
          <w:rFonts w:hint="eastAsia"/>
          <w:b/>
          <w:bCs/>
          <w:sz w:val="32"/>
          <w:szCs w:val="21"/>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授</w:t>
      </w:r>
      <w:r>
        <w:rPr>
          <w:rFonts w:ascii="宋体" w:hAnsi="宋体" w:cs="宋体"/>
          <w:b/>
          <w:bCs/>
          <w:spacing w:val="30"/>
          <w:sz w:val="44"/>
          <w:szCs w:val="44"/>
        </w:rPr>
        <w:t>权委托书（</w:t>
      </w:r>
      <w:r>
        <w:rPr>
          <w:rFonts w:hint="eastAsia" w:ascii="宋体" w:hAnsi="宋体" w:cs="宋体"/>
          <w:b/>
          <w:bCs/>
          <w:spacing w:val="30"/>
          <w:sz w:val="44"/>
          <w:szCs w:val="44"/>
        </w:rPr>
        <w:t>固定格式</w:t>
      </w:r>
      <w:r>
        <w:rPr>
          <w:rFonts w:ascii="宋体" w:hAnsi="宋体" w:cs="宋体"/>
          <w:b/>
          <w:bCs/>
          <w:spacing w:val="30"/>
          <w:sz w:val="44"/>
          <w:szCs w:val="44"/>
        </w:rPr>
        <w:t>）</w:t>
      </w:r>
    </w:p>
    <w:p>
      <w:pPr>
        <w:spacing w:line="520" w:lineRule="exact"/>
        <w:rPr>
          <w:bCs/>
          <w:szCs w:val="21"/>
        </w:rPr>
      </w:pPr>
    </w:p>
    <w:p>
      <w:pPr>
        <w:spacing w:line="520" w:lineRule="exact"/>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w:t>
      </w:r>
      <w:r>
        <w:rPr>
          <w:rFonts w:hint="eastAsia" w:ascii="宋体" w:hAnsi="宋体"/>
          <w:b/>
          <w:bCs/>
          <w:sz w:val="28"/>
          <w:szCs w:val="28"/>
        </w:rPr>
        <w:t>本人签字或加盖私章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人在</w:t>
      </w:r>
      <w:r>
        <w:rPr>
          <w:rFonts w:hint="eastAsia" w:ascii="宋体" w:hAnsi="宋体"/>
          <w:bCs/>
          <w:sz w:val="28"/>
          <w:szCs w:val="28"/>
        </w:rPr>
        <w:t>本</w:t>
      </w:r>
      <w:r>
        <w:rPr>
          <w:rFonts w:ascii="宋体" w:hAnsi="宋体"/>
          <w:bCs/>
          <w:sz w:val="28"/>
          <w:szCs w:val="28"/>
        </w:rPr>
        <w:t>单位职务：</w:t>
      </w:r>
    </w:p>
    <w:p>
      <w:pPr>
        <w:spacing w:line="520" w:lineRule="exact"/>
        <w:rPr>
          <w:rFonts w:ascii="宋体" w:hAnsi="宋体"/>
          <w:bCs/>
          <w:sz w:val="28"/>
          <w:szCs w:val="28"/>
        </w:rPr>
      </w:pPr>
    </w:p>
    <w:p>
      <w:pPr>
        <w:spacing w:line="520" w:lineRule="exact"/>
        <w:ind w:firstLine="548" w:firstLineChars="196"/>
        <w:rPr>
          <w:rFonts w:ascii="宋体" w:hAnsi="宋体"/>
          <w:bCs/>
          <w:sz w:val="28"/>
          <w:szCs w:val="28"/>
        </w:rPr>
      </w:pPr>
      <w:r>
        <w:rPr>
          <w:rFonts w:ascii="宋体" w:hAnsi="宋体"/>
          <w:bCs/>
          <w:sz w:val="28"/>
          <w:szCs w:val="28"/>
        </w:rPr>
        <w:t>兹委托代表我单位参加</w:t>
      </w:r>
      <w:r>
        <w:rPr>
          <w:rFonts w:hint="eastAsia" w:ascii="宋体" w:hAnsi="宋体"/>
          <w:bCs/>
          <w:sz w:val="28"/>
          <w:szCs w:val="28"/>
        </w:rPr>
        <w:t>贵单位</w:t>
      </w:r>
      <w:r>
        <w:rPr>
          <w:rFonts w:ascii="宋体" w:hAnsi="宋体"/>
          <w:bCs/>
          <w:sz w:val="28"/>
          <w:szCs w:val="28"/>
        </w:rPr>
        <w:t>组织的项目的采购活动，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“报价一览表”</w:t>
      </w:r>
      <w:r>
        <w:rPr>
          <w:rFonts w:ascii="宋体" w:hAnsi="宋体"/>
          <w:bCs/>
          <w:sz w:val="28"/>
          <w:szCs w:val="28"/>
        </w:rPr>
        <w:t>和</w:t>
      </w:r>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pPr>
        <w:spacing w:line="520" w:lineRule="exact"/>
        <w:ind w:firstLine="548" w:firstLineChars="196"/>
        <w:rPr>
          <w:rFonts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pPr>
        <w:spacing w:line="520" w:lineRule="exact"/>
        <w:ind w:firstLine="548" w:firstLineChars="196"/>
        <w:rPr>
          <w:rFonts w:ascii="宋体" w:hAnsi="宋体"/>
          <w:bCs/>
          <w:sz w:val="28"/>
          <w:szCs w:val="28"/>
        </w:rPr>
      </w:pPr>
      <w:r>
        <w:rPr>
          <w:rFonts w:ascii="宋体" w:hAnsi="宋体"/>
          <w:bCs/>
          <w:sz w:val="28"/>
          <w:szCs w:val="28"/>
        </w:rPr>
        <w:t>委托期限：至上述事宜处理完毕止。</w:t>
      </w:r>
    </w:p>
    <w:p>
      <w:pPr>
        <w:spacing w:line="520" w:lineRule="exact"/>
        <w:ind w:firstLine="548" w:firstLineChars="196"/>
        <w:rPr>
          <w:rFonts w:ascii="宋体" w:hAnsi="宋体"/>
          <w:bCs/>
          <w:sz w:val="28"/>
          <w:szCs w:val="28"/>
        </w:rPr>
      </w:pPr>
    </w:p>
    <w:p>
      <w:pPr>
        <w:spacing w:line="520" w:lineRule="exact"/>
        <w:ind w:firstLine="4748" w:firstLineChars="1696"/>
        <w:rPr>
          <w:rFonts w:ascii="宋体" w:hAnsi="宋体"/>
          <w:bCs/>
          <w:sz w:val="28"/>
          <w:szCs w:val="28"/>
        </w:rPr>
      </w:pPr>
      <w:r>
        <w:rPr>
          <w:rFonts w:hint="eastAsia" w:ascii="宋体" w:hAnsi="宋体"/>
          <w:bCs/>
          <w:sz w:val="28"/>
          <w:szCs w:val="28"/>
        </w:rPr>
        <w:t>报价人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rPr>
          <w:rFonts w:ascii="宋体" w:hAnsi="宋体"/>
          <w:bCs/>
          <w:sz w:val="28"/>
          <w:szCs w:val="28"/>
        </w:rPr>
      </w:pPr>
      <w:r>
        <w:rPr>
          <w:rFonts w:hint="eastAsia" w:ascii="宋体" w:hAnsi="宋体"/>
          <w:bCs/>
          <w:sz w:val="28"/>
          <w:szCs w:val="28"/>
        </w:rPr>
        <w:br w:type="page"/>
      </w:r>
    </w:p>
    <w:p>
      <w:pPr>
        <w:spacing w:line="400" w:lineRule="exact"/>
        <w:ind w:firstLine="630" w:firstLineChars="196"/>
        <w:rPr>
          <w:rFonts w:ascii="宋体" w:hAnsi="宋体"/>
          <w:b/>
          <w:sz w:val="32"/>
          <w:szCs w:val="32"/>
        </w:rPr>
      </w:pPr>
      <w:r>
        <w:rPr>
          <w:rFonts w:hint="eastAsia" w:ascii="宋体" w:hAnsi="宋体"/>
          <w:b/>
          <w:sz w:val="32"/>
          <w:szCs w:val="32"/>
        </w:rPr>
        <w:t>附：委托代理</w:t>
      </w:r>
      <w:r>
        <w:rPr>
          <w:rFonts w:ascii="宋体" w:hAnsi="宋体"/>
          <w:b/>
          <w:sz w:val="32"/>
          <w:szCs w:val="32"/>
        </w:rPr>
        <w:t>人</w:t>
      </w:r>
      <w:r>
        <w:rPr>
          <w:rFonts w:hint="eastAsia" w:ascii="宋体" w:hAnsi="宋体"/>
          <w:b/>
          <w:sz w:val="32"/>
          <w:szCs w:val="32"/>
        </w:rPr>
        <w:t>身份证复印件</w:t>
      </w:r>
    </w:p>
    <w:p>
      <w:pPr>
        <w:spacing w:line="520" w:lineRule="exact"/>
        <w:ind w:firstLine="548" w:firstLineChars="196"/>
        <w:rPr>
          <w:rFonts w:ascii="宋体" w:hAnsi="宋体"/>
          <w:bCs/>
          <w:sz w:val="28"/>
          <w:szCs w:val="28"/>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pStyle w:val="14"/>
        <w:jc w:val="left"/>
        <w:rPr>
          <w:rFonts w:hAnsi="宋体" w:cs="宋体"/>
          <w:bCs/>
          <w:color w:val="000000"/>
          <w:sz w:val="30"/>
          <w:szCs w:val="30"/>
        </w:rPr>
      </w:pPr>
    </w:p>
    <w:p>
      <w:pPr>
        <w:pStyle w:val="14"/>
        <w:jc w:val="left"/>
        <w:rPr>
          <w:rFonts w:hAnsi="宋体" w:cs="宋体"/>
          <w:bCs/>
          <w:color w:val="000000"/>
          <w:sz w:val="30"/>
          <w:szCs w:val="30"/>
        </w:rPr>
      </w:pPr>
    </w:p>
    <w:p>
      <w:pPr>
        <w:pStyle w:val="14"/>
        <w:jc w:val="left"/>
        <w:rPr>
          <w:rFonts w:hAnsi="宋体" w:cs="宋体"/>
          <w:bCs/>
          <w:color w:val="000000"/>
          <w:sz w:val="30"/>
          <w:szCs w:val="30"/>
        </w:rPr>
      </w:pPr>
    </w:p>
    <w:p>
      <w:pPr>
        <w:pStyle w:val="14"/>
        <w:jc w:val="left"/>
        <w:rPr>
          <w:rFonts w:hAnsi="宋体" w:cs="宋体"/>
          <w:bCs/>
          <w:color w:val="000000"/>
          <w:sz w:val="30"/>
          <w:szCs w:val="30"/>
        </w:rPr>
      </w:pPr>
    </w:p>
    <w:p>
      <w:pPr>
        <w:rPr>
          <w:rFonts w:ascii="宋体" w:hAnsi="宋体"/>
          <w:bCs/>
          <w:sz w:val="28"/>
          <w:szCs w:val="28"/>
        </w:rPr>
      </w:pPr>
      <w:r>
        <w:rPr>
          <w:rFonts w:hint="eastAsia" w:ascii="宋体" w:hAnsi="宋体"/>
          <w:bCs/>
          <w:sz w:val="28"/>
          <w:szCs w:val="28"/>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报价一览表</w:t>
      </w:r>
    </w:p>
    <w:p>
      <w:pPr>
        <w:spacing w:line="520" w:lineRule="exact"/>
        <w:jc w:val="center"/>
        <w:rPr>
          <w:rFonts w:ascii="宋体" w:hAnsi="宋体" w:cs="宋体"/>
          <w:b/>
          <w:bCs/>
          <w:spacing w:val="30"/>
          <w:sz w:val="44"/>
          <w:szCs w:val="44"/>
        </w:rPr>
      </w:pPr>
      <w:r>
        <w:rPr>
          <w:rFonts w:hAnsi="宋体" w:cs="宋体"/>
          <w:b/>
          <w:bCs/>
          <w:spacing w:val="30"/>
          <w:sz w:val="44"/>
          <w:szCs w:val="44"/>
        </w:rPr>
        <w:t>（</w:t>
      </w:r>
      <w:r>
        <w:rPr>
          <w:rFonts w:hint="eastAsia" w:hAnsi="宋体" w:cs="宋体"/>
          <w:b/>
          <w:bCs/>
          <w:spacing w:val="30"/>
          <w:sz w:val="44"/>
          <w:szCs w:val="44"/>
        </w:rPr>
        <w:t>参考样式，根据采购项目自行设计）</w:t>
      </w:r>
    </w:p>
    <w:p>
      <w:pPr>
        <w:adjustRightInd w:val="0"/>
        <w:snapToGrid w:val="0"/>
        <w:jc w:val="right"/>
        <w:rPr>
          <w:rFonts w:ascii="宋体" w:hAnsi="宋体"/>
          <w:sz w:val="24"/>
        </w:rPr>
      </w:pPr>
      <w:r>
        <w:rPr>
          <w:rFonts w:hint="eastAsia" w:ascii="宋体" w:hAnsi="宋体"/>
          <w:sz w:val="24"/>
        </w:rPr>
        <w:t>货币单位：人民币元</w:t>
      </w:r>
    </w:p>
    <w:tbl>
      <w:tblPr>
        <w:tblStyle w:val="28"/>
        <w:tblW w:w="9348" w:type="dxa"/>
        <w:jc w:val="center"/>
        <w:tblLayout w:type="fixed"/>
        <w:tblCellMar>
          <w:top w:w="0" w:type="dxa"/>
          <w:left w:w="30" w:type="dxa"/>
          <w:bottom w:w="0" w:type="dxa"/>
          <w:right w:w="30" w:type="dxa"/>
        </w:tblCellMar>
      </w:tblPr>
      <w:tblGrid>
        <w:gridCol w:w="2229"/>
        <w:gridCol w:w="7119"/>
      </w:tblGrid>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r>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rPr>
                <w:rFonts w:ascii="宋体" w:hAns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ind w:firstLine="843" w:firstLineChars="350"/>
              <w:rPr>
                <w:rFonts w:asci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bl>
    <w:p>
      <w:pPr>
        <w:pStyle w:val="14"/>
        <w:spacing w:line="480" w:lineRule="exact"/>
        <w:rPr>
          <w:rFonts w:hAnsi="宋体"/>
          <w:sz w:val="28"/>
          <w:szCs w:val="28"/>
        </w:rPr>
      </w:pPr>
      <w:r>
        <w:rPr>
          <w:rFonts w:hint="eastAsia" w:hAnsi="宋体"/>
          <w:sz w:val="28"/>
          <w:szCs w:val="28"/>
        </w:rPr>
        <w:t>注：</w:t>
      </w:r>
    </w:p>
    <w:p>
      <w:pPr>
        <w:pStyle w:val="14"/>
        <w:numPr>
          <w:ilvl w:val="0"/>
          <w:numId w:val="8"/>
        </w:numPr>
        <w:spacing w:line="0" w:lineRule="atLeast"/>
        <w:rPr>
          <w:rFonts w:hAnsi="宋体"/>
          <w:sz w:val="28"/>
          <w:szCs w:val="28"/>
        </w:rPr>
      </w:pPr>
      <w:r>
        <w:rPr>
          <w:rFonts w:hint="eastAsia" w:hAnsi="宋体"/>
          <w:sz w:val="28"/>
          <w:szCs w:val="28"/>
        </w:rPr>
        <w:t>本表报价包含完成本项目应预见和不可预见的一切含税费用。</w:t>
      </w:r>
    </w:p>
    <w:p>
      <w:pPr>
        <w:pStyle w:val="14"/>
        <w:numPr>
          <w:ilvl w:val="0"/>
          <w:numId w:val="8"/>
        </w:numPr>
        <w:spacing w:line="0" w:lineRule="atLeast"/>
        <w:rPr>
          <w:rFonts w:hAnsi="宋体"/>
          <w:sz w:val="28"/>
          <w:szCs w:val="28"/>
        </w:rPr>
      </w:pPr>
      <w:r>
        <w:rPr>
          <w:rFonts w:hint="eastAsia" w:hAnsi="宋体"/>
          <w:sz w:val="28"/>
          <w:szCs w:val="28"/>
        </w:rPr>
        <w:t>表中报价总价小写金额与大写金额不一致的，以大写金额为准。</w:t>
      </w:r>
    </w:p>
    <w:p>
      <w:pPr>
        <w:pStyle w:val="14"/>
        <w:numPr>
          <w:ilvl w:val="0"/>
          <w:numId w:val="8"/>
        </w:numPr>
        <w:spacing w:line="0" w:lineRule="atLeast"/>
        <w:rPr>
          <w:rFonts w:hAnsi="宋体"/>
          <w:sz w:val="28"/>
          <w:szCs w:val="28"/>
        </w:rPr>
      </w:pPr>
      <w:r>
        <w:rPr>
          <w:rFonts w:hint="eastAsia"/>
          <w:sz w:val="28"/>
          <w:szCs w:val="28"/>
        </w:rPr>
        <w:t>填写此表时不得改变表格的形式。</w:t>
      </w:r>
    </w:p>
    <w:p>
      <w:pPr>
        <w:pStyle w:val="14"/>
        <w:numPr>
          <w:ilvl w:val="0"/>
          <w:numId w:val="8"/>
        </w:numPr>
        <w:spacing w:line="0" w:lineRule="atLeast"/>
        <w:rPr>
          <w:rFonts w:hAnsi="宋体"/>
          <w:sz w:val="28"/>
          <w:szCs w:val="28"/>
        </w:rPr>
      </w:pPr>
      <w:r>
        <w:rPr>
          <w:rFonts w:hint="eastAsia"/>
          <w:sz w:val="28"/>
          <w:szCs w:val="28"/>
        </w:rPr>
        <w:t>以上表中内容必须计算机录入、填写、打印。手写按无效报价处理。</w:t>
      </w:r>
    </w:p>
    <w:p>
      <w:pPr>
        <w:adjustRightInd w:val="0"/>
        <w:snapToGrid w:val="0"/>
        <w:rPr>
          <w:rFonts w:ascii="宋体" w:hAnsi="宋体"/>
          <w:b/>
          <w:sz w:val="28"/>
          <w:szCs w:val="28"/>
        </w:rPr>
      </w:pP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Lines="50" w:line="400" w:lineRule="exact"/>
        <w:rPr>
          <w:rFonts w:ascii="宋体" w:hAnsi="宋体"/>
          <w:sz w:val="32"/>
          <w:szCs w:val="32"/>
        </w:rPr>
      </w:pPr>
      <w:r>
        <w:rPr>
          <w:rFonts w:hint="eastAsia" w:ascii="宋体" w:hAnsi="宋体"/>
          <w:sz w:val="32"/>
          <w:szCs w:val="32"/>
        </w:rPr>
        <w:t>报价人单位（盖章）：</w:t>
      </w:r>
    </w:p>
    <w:p>
      <w:pPr>
        <w:spacing w:line="480" w:lineRule="exact"/>
        <w:ind w:left="4599" w:leftChars="2190"/>
        <w:rPr>
          <w:rFonts w:ascii="宋体"/>
          <w:sz w:val="28"/>
          <w:szCs w:val="28"/>
        </w:rPr>
      </w:pPr>
    </w:p>
    <w:p>
      <w:pPr>
        <w:rPr>
          <w:sz w:val="28"/>
          <w:szCs w:val="28"/>
        </w:rPr>
      </w:pPr>
    </w:p>
    <w:p>
      <w:pPr>
        <w:rPr>
          <w:sz w:val="24"/>
        </w:rPr>
      </w:pPr>
    </w:p>
    <w:p>
      <w:pPr>
        <w:rPr>
          <w:sz w:val="24"/>
        </w:rPr>
      </w:pPr>
      <w:r>
        <w:rPr>
          <w:sz w:val="24"/>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hAnsi="宋体" w:cs="宋体"/>
          <w:b/>
          <w:bCs/>
          <w:spacing w:val="30"/>
          <w:sz w:val="44"/>
          <w:szCs w:val="44"/>
        </w:rPr>
        <w:t>报价明细表</w:t>
      </w:r>
    </w:p>
    <w:p>
      <w:pPr>
        <w:pStyle w:val="14"/>
        <w:jc w:val="center"/>
        <w:rPr>
          <w:rFonts w:ascii="Times New Roman" w:hAnsi="Times New Roman"/>
          <w:szCs w:val="21"/>
        </w:rPr>
      </w:pPr>
      <w:r>
        <w:rPr>
          <w:rFonts w:hAnsi="宋体" w:cs="宋体"/>
          <w:b/>
          <w:bCs/>
          <w:spacing w:val="30"/>
          <w:sz w:val="44"/>
          <w:szCs w:val="44"/>
        </w:rPr>
        <w:t>（</w:t>
      </w:r>
      <w:r>
        <w:rPr>
          <w:rFonts w:hint="eastAsia" w:hAnsi="宋体" w:cs="宋体"/>
          <w:b/>
          <w:bCs/>
          <w:spacing w:val="30"/>
          <w:sz w:val="44"/>
          <w:szCs w:val="44"/>
        </w:rPr>
        <w:t>参考样式，根据采购项目自行设计）</w:t>
      </w:r>
    </w:p>
    <w:p>
      <w:pPr>
        <w:pStyle w:val="14"/>
        <w:jc w:val="left"/>
        <w:rPr>
          <w:rFonts w:ascii="Times New Roman" w:hAnsi="Times New Roman"/>
          <w:szCs w:val="21"/>
        </w:rPr>
      </w:pPr>
    </w:p>
    <w:tbl>
      <w:tblPr>
        <w:tblStyle w:val="28"/>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kern w:val="2"/>
                <w:sz w:val="24"/>
              </w:rPr>
            </w:pPr>
            <w:r>
              <w:rPr>
                <w:rFonts w:hint="eastAsia" w:hAnsi="宋体"/>
                <w:b/>
                <w:kern w:val="2"/>
                <w:sz w:val="24"/>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kern w:val="2"/>
                <w:sz w:val="24"/>
              </w:rPr>
            </w:pPr>
            <w:r>
              <w:rPr>
                <w:rFonts w:hint="eastAsia" w:hAnsi="宋体"/>
                <w:b/>
                <w:kern w:val="2"/>
                <w:sz w:val="24"/>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kern w:val="2"/>
                <w:sz w:val="24"/>
              </w:rPr>
            </w:pPr>
            <w:r>
              <w:rPr>
                <w:rFonts w:hint="eastAsia" w:hAnsi="宋体"/>
                <w:b/>
                <w:kern w:val="2"/>
                <w:sz w:val="24"/>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kern w:val="2"/>
                <w:sz w:val="24"/>
              </w:rPr>
            </w:pPr>
            <w:r>
              <w:rPr>
                <w:rFonts w:hint="eastAsia" w:hAnsi="宋体"/>
                <w:b/>
                <w:kern w:val="2"/>
                <w:sz w:val="24"/>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kern w:val="2"/>
                <w:sz w:val="24"/>
              </w:rPr>
            </w:pPr>
            <w:r>
              <w:rPr>
                <w:rFonts w:hint="eastAsia" w:hAnsi="宋体"/>
                <w:b/>
                <w:kern w:val="2"/>
                <w:sz w:val="24"/>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kern w:val="2"/>
                <w:sz w:val="24"/>
              </w:rPr>
            </w:pPr>
            <w:r>
              <w:rPr>
                <w:rFonts w:hint="eastAsia" w:hAnsi="宋体"/>
                <w:b/>
                <w:kern w:val="2"/>
                <w:sz w:val="24"/>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kern w:val="2"/>
                <w:sz w:val="24"/>
              </w:rPr>
            </w:pPr>
            <w:r>
              <w:rPr>
                <w:rFonts w:hint="eastAsia" w:hAnsi="宋体"/>
                <w:b/>
                <w:kern w:val="2"/>
                <w:sz w:val="24"/>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kern w:val="2"/>
                <w:sz w:val="24"/>
              </w:rPr>
            </w:pPr>
            <w:r>
              <w:rPr>
                <w:rFonts w:hint="eastAsia" w:hAnsi="宋体"/>
                <w:b/>
                <w:kern w:val="2"/>
                <w:sz w:val="24"/>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kern w:val="2"/>
                <w:sz w:val="24"/>
              </w:rPr>
            </w:pPr>
            <w:r>
              <w:rPr>
                <w:rFonts w:hint="eastAsia" w:hAnsi="宋体"/>
                <w:b/>
                <w:kern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pPr>
              <w:pStyle w:val="14"/>
              <w:jc w:val="left"/>
              <w:rPr>
                <w:rFonts w:hAnsi="宋体"/>
                <w:kern w:val="2"/>
                <w:sz w:val="24"/>
              </w:rPr>
            </w:pPr>
            <w:r>
              <w:rPr>
                <w:rFonts w:hint="eastAsia" w:hAnsi="宋体"/>
                <w:kern w:val="2"/>
                <w:sz w:val="24"/>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pPr>
              <w:pStyle w:val="14"/>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pPr>
              <w:pStyle w:val="14"/>
              <w:jc w:val="center"/>
              <w:rPr>
                <w:rFonts w:hAnsi="宋体"/>
                <w:kern w:val="2"/>
                <w:sz w:val="24"/>
              </w:rPr>
            </w:pPr>
            <w:r>
              <w:rPr>
                <w:rFonts w:hint="eastAsia" w:hAnsi="宋体"/>
                <w:b/>
                <w:kern w:val="2"/>
                <w:sz w:val="24"/>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
              <w:jc w:val="center"/>
              <w:rPr>
                <w:rFonts w:hAnsi="宋体"/>
                <w:kern w:val="2"/>
                <w:sz w:val="24"/>
              </w:rPr>
            </w:pPr>
            <w:r>
              <w:rPr>
                <w:rFonts w:hint="eastAsia" w:hAnsi="宋体"/>
                <w:b/>
                <w:kern w:val="2"/>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4"/>
              <w:ind w:firstLine="241" w:firstLineChars="100"/>
              <w:rPr>
                <w:rFonts w:hAnsi="宋体"/>
                <w:b/>
                <w:kern w:val="2"/>
                <w:sz w:val="24"/>
              </w:rPr>
            </w:pPr>
            <w:r>
              <w:rPr>
                <w:rFonts w:hint="eastAsia" w:hAnsi="宋体"/>
                <w:b/>
                <w:kern w:val="2"/>
                <w:sz w:val="24"/>
              </w:rPr>
              <w:t>¥：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
              <w:jc w:val="center"/>
              <w:rPr>
                <w:rFonts w:hAnsi="宋体"/>
                <w:kern w:val="2"/>
                <w:sz w:val="24"/>
              </w:rPr>
            </w:pPr>
            <w:r>
              <w:rPr>
                <w:rFonts w:hint="eastAsia" w:hAnsi="宋体"/>
                <w:b/>
                <w:kern w:val="2"/>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kern w:val="2"/>
                <w:sz w:val="24"/>
              </w:rPr>
            </w:pPr>
            <w:r>
              <w:rPr>
                <w:rFonts w:hint="eastAsia" w:hAnsi="宋体"/>
                <w:b/>
                <w:kern w:val="2"/>
                <w:sz w:val="24"/>
              </w:rPr>
              <w:t xml:space="preserve"> 人民币：</w:t>
            </w:r>
          </w:p>
        </w:tc>
      </w:tr>
    </w:tbl>
    <w:p>
      <w:pPr>
        <w:pStyle w:val="14"/>
        <w:spacing w:line="0" w:lineRule="atLeast"/>
        <w:ind w:left="336"/>
        <w:rPr>
          <w:rFonts w:hAnsi="宋体"/>
          <w:sz w:val="28"/>
          <w:szCs w:val="28"/>
        </w:rPr>
      </w:pPr>
      <w:r>
        <w:rPr>
          <w:rFonts w:hint="eastAsia" w:hAnsi="宋体"/>
          <w:sz w:val="28"/>
          <w:szCs w:val="28"/>
        </w:rPr>
        <w:t>注：1、本《报价明细表》由报价人根据采购书及项目需求，结合自身认识和判断，自行制定。</w:t>
      </w:r>
    </w:p>
    <w:p>
      <w:pPr>
        <w:pStyle w:val="14"/>
        <w:spacing w:line="0" w:lineRule="atLeast"/>
        <w:ind w:left="336"/>
        <w:rPr>
          <w:rFonts w:hAnsi="宋体"/>
          <w:sz w:val="28"/>
          <w:szCs w:val="28"/>
        </w:rPr>
      </w:pPr>
      <w:r>
        <w:rPr>
          <w:rFonts w:hint="eastAsia" w:hAnsi="宋体"/>
          <w:sz w:val="28"/>
          <w:szCs w:val="28"/>
        </w:rPr>
        <w:t>2、本表“报价总价”必须与《报价一览表》中的“报价总价”一致。</w:t>
      </w:r>
    </w:p>
    <w:p>
      <w:pPr>
        <w:pStyle w:val="14"/>
        <w:spacing w:line="0" w:lineRule="atLeast"/>
        <w:ind w:left="336"/>
        <w:rPr>
          <w:rFonts w:hAnsi="宋体"/>
          <w:sz w:val="28"/>
          <w:szCs w:val="28"/>
        </w:rPr>
      </w:pPr>
      <w:r>
        <w:rPr>
          <w:rFonts w:hint="eastAsia" w:hAnsi="宋体"/>
          <w:sz w:val="28"/>
          <w:szCs w:val="28"/>
        </w:rPr>
        <w:t>3、对于报价免费的项目必须标明“免费”。</w:t>
      </w:r>
    </w:p>
    <w:p>
      <w:pPr>
        <w:pStyle w:val="14"/>
        <w:spacing w:line="0" w:lineRule="atLeast"/>
        <w:ind w:left="336"/>
        <w:rPr>
          <w:rFonts w:hAnsi="宋体"/>
          <w:sz w:val="28"/>
          <w:szCs w:val="28"/>
        </w:rPr>
      </w:pPr>
      <w:r>
        <w:rPr>
          <w:rFonts w:hint="eastAsia" w:hAnsi="宋体"/>
          <w:sz w:val="28"/>
          <w:szCs w:val="28"/>
        </w:rPr>
        <w:t>4、所有根据采购书、合同以及其它原因应由成交人支付的税款和其它应交纳的费用都要包括在报价人提交的报价总价中。</w:t>
      </w:r>
    </w:p>
    <w:p>
      <w:pPr>
        <w:pStyle w:val="14"/>
        <w:jc w:val="left"/>
        <w:rPr>
          <w:rFonts w:ascii="Times New Roman" w:hAnsi="Times New Roman"/>
          <w:szCs w:val="21"/>
        </w:rPr>
      </w:pPr>
    </w:p>
    <w:p>
      <w:pPr>
        <w:pStyle w:val="14"/>
        <w:jc w:val="left"/>
        <w:rPr>
          <w:rFonts w:ascii="Times New Roman" w:hAnsi="Times New Roman"/>
          <w:szCs w:val="21"/>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Lines="50" w:line="400" w:lineRule="exact"/>
        <w:rPr>
          <w:rFonts w:ascii="宋体" w:hAnsi="宋体" w:cs="宋体"/>
          <w:bCs/>
          <w:color w:val="000000"/>
          <w:szCs w:val="21"/>
        </w:rPr>
      </w:pPr>
      <w:r>
        <w:rPr>
          <w:rFonts w:hint="eastAsia" w:ascii="宋体" w:hAnsi="宋体"/>
          <w:sz w:val="32"/>
          <w:szCs w:val="32"/>
        </w:rPr>
        <w:t>报价人单位（盖章）：</w:t>
      </w:r>
    </w:p>
    <w:p>
      <w:pPr>
        <w:rPr>
          <w:rFonts w:ascii="宋体" w:hAnsi="宋体" w:cs="宋体"/>
          <w:bCs/>
          <w:color w:val="000000"/>
          <w:szCs w:val="21"/>
        </w:rPr>
      </w:pPr>
      <w:r>
        <w:rPr>
          <w:rFonts w:hint="eastAsia" w:ascii="宋体" w:hAnsi="宋体" w:cs="宋体"/>
          <w:bCs/>
          <w:color w:val="000000"/>
          <w:szCs w:val="21"/>
        </w:rPr>
        <w:br w:type="page"/>
      </w:r>
    </w:p>
    <w:p>
      <w:pPr>
        <w:numPr>
          <w:ilvl w:val="0"/>
          <w:numId w:val="7"/>
        </w:numPr>
        <w:tabs>
          <w:tab w:val="left" w:pos="210"/>
        </w:tabs>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cs="宋体"/>
          <w:b/>
          <w:bCs/>
          <w:spacing w:val="30"/>
          <w:sz w:val="44"/>
          <w:szCs w:val="44"/>
        </w:rPr>
        <w:t>技术（服务）条款响应表（固定格式）</w:t>
      </w:r>
    </w:p>
    <w:tbl>
      <w:tblPr>
        <w:tblStyle w:val="2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b/>
                <w:szCs w:val="21"/>
              </w:rPr>
            </w:pPr>
            <w:r>
              <w:rPr>
                <w:rFonts w:hint="eastAsia" w:ascii="宋体" w:hAnsi="宋体"/>
                <w:b/>
                <w:szCs w:val="21"/>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见报价文件__页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pPr>
        <w:rPr>
          <w:rFonts w:ascii="宋体" w:hAnsi="宋体"/>
          <w:sz w:val="24"/>
        </w:rPr>
      </w:pPr>
    </w:p>
    <w:p>
      <w:pPr>
        <w:spacing w:line="400" w:lineRule="exact"/>
        <w:ind w:firstLine="320" w:firstLineChars="100"/>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rPr>
          <w:b/>
          <w:bCs/>
          <w:sz w:val="32"/>
        </w:rPr>
      </w:pPr>
      <w:r>
        <w:rPr>
          <w:rFonts w:hint="eastAsia"/>
          <w:b/>
          <w:bCs/>
          <w:sz w:val="32"/>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商务条款响应表（固定格式）</w:t>
      </w:r>
    </w:p>
    <w:tbl>
      <w:tblPr>
        <w:tblStyle w:val="28"/>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商务条款偏离情况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rPr>
          <w:rFonts w:ascii="宋体" w:hAnsi="宋体"/>
          <w:sz w:val="24"/>
        </w:rPr>
      </w:pPr>
      <w:r>
        <w:rPr>
          <w:rFonts w:hint="eastAsia" w:ascii="宋体" w:hAnsi="宋体"/>
          <w:sz w:val="24"/>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b/>
          <w:sz w:val="44"/>
          <w:szCs w:val="44"/>
        </w:rPr>
        <w:t>报价人声明及承诺（固定格式）</w:t>
      </w:r>
    </w:p>
    <w:p>
      <w:pPr>
        <w:spacing w:line="560" w:lineRule="exact"/>
        <w:rPr>
          <w:rFonts w:ascii="宋体" w:hAnsi="宋体"/>
          <w:sz w:val="28"/>
          <w:szCs w:val="28"/>
        </w:rPr>
      </w:pPr>
    </w:p>
    <w:p>
      <w:pPr>
        <w:spacing w:line="400" w:lineRule="exact"/>
        <w:rPr>
          <w:rFonts w:ascii="宋体" w:hAnsi="宋体"/>
          <w:b/>
          <w:sz w:val="24"/>
        </w:rPr>
      </w:pPr>
      <w:r>
        <w:rPr>
          <w:rFonts w:hint="eastAsia" w:ascii="宋体" w:hAnsi="宋体"/>
          <w:sz w:val="24"/>
        </w:rPr>
        <w:t xml:space="preserve">致: </w:t>
      </w:r>
      <w:r>
        <w:rPr>
          <w:rFonts w:hint="eastAsia" w:ascii="宋体" w:hAnsi="宋体"/>
          <w:b/>
          <w:kern w:val="28"/>
          <w:sz w:val="24"/>
          <w:u w:val="double"/>
        </w:rPr>
        <w:t>（采购单位名称）</w:t>
      </w:r>
    </w:p>
    <w:p>
      <w:pPr>
        <w:spacing w:line="400" w:lineRule="exact"/>
        <w:ind w:firstLine="410" w:firstLineChars="171"/>
        <w:rPr>
          <w:rFonts w:ascii="宋体" w:hAnsi="宋体"/>
          <w:sz w:val="24"/>
        </w:rPr>
      </w:pPr>
      <w:r>
        <w:rPr>
          <w:rFonts w:hint="eastAsia" w:ascii="宋体" w:hAnsi="宋体"/>
          <w:sz w:val="24"/>
        </w:rPr>
        <w:t>我方确认收到贵方提供的</w:t>
      </w:r>
      <w:r>
        <w:rPr>
          <w:rFonts w:hint="eastAsia" w:ascii="宋体" w:hAnsi="宋体"/>
          <w:b/>
          <w:kern w:val="28"/>
          <w:sz w:val="24"/>
          <w:u w:val="single"/>
        </w:rPr>
        <w:t xml:space="preserve">                采购项目（项目编号：     ）</w:t>
      </w:r>
      <w:r>
        <w:rPr>
          <w:rFonts w:hint="eastAsia" w:ascii="宋体" w:hAnsi="宋体"/>
          <w:sz w:val="24"/>
        </w:rPr>
        <w:t>的采购书的全部内容，我方：</w:t>
      </w:r>
      <w:r>
        <w:rPr>
          <w:rFonts w:hint="eastAsia" w:ascii="宋体" w:hAnsi="宋体"/>
          <w:b/>
          <w:sz w:val="24"/>
          <w:u w:val="single"/>
        </w:rPr>
        <w:t xml:space="preserve">(报价人名称)                 </w:t>
      </w:r>
      <w:r>
        <w:rPr>
          <w:rFonts w:hint="eastAsia" w:ascii="宋体" w:hAnsi="宋体"/>
          <w:sz w:val="24"/>
        </w:rPr>
        <w:t>作为报价人正式授权</w:t>
      </w:r>
      <w:r>
        <w:rPr>
          <w:rFonts w:hint="eastAsia" w:ascii="宋体" w:hAnsi="宋体"/>
          <w:b/>
          <w:sz w:val="24"/>
          <w:u w:val="single"/>
        </w:rPr>
        <w:t xml:space="preserve"> (代理人全名、职务、身份证号码)              </w:t>
      </w:r>
      <w:r>
        <w:rPr>
          <w:rFonts w:hint="eastAsia" w:ascii="宋体" w:hAnsi="宋体"/>
          <w:sz w:val="24"/>
        </w:rPr>
        <w:t>代表我方进行有关本报价的一切事宜。</w:t>
      </w:r>
    </w:p>
    <w:p>
      <w:pPr>
        <w:spacing w:line="400" w:lineRule="exact"/>
        <w:ind w:firstLine="570"/>
        <w:rPr>
          <w:rFonts w:ascii="宋体" w:hAnsi="宋体"/>
          <w:b/>
          <w:sz w:val="24"/>
        </w:rPr>
      </w:pPr>
      <w:r>
        <w:rPr>
          <w:rFonts w:hint="eastAsia" w:ascii="宋体" w:hAnsi="宋体"/>
          <w:b/>
          <w:sz w:val="24"/>
        </w:rPr>
        <w:t>我方已完全明白采购书的所有条款要求，并重申以下几点：</w:t>
      </w:r>
    </w:p>
    <w:p>
      <w:pPr>
        <w:numPr>
          <w:ilvl w:val="0"/>
          <w:numId w:val="9"/>
        </w:numPr>
        <w:spacing w:line="400" w:lineRule="exact"/>
        <w:rPr>
          <w:rFonts w:ascii="宋体" w:hAnsi="宋体"/>
          <w:sz w:val="24"/>
        </w:rPr>
      </w:pPr>
      <w:r>
        <w:rPr>
          <w:rFonts w:hint="eastAsia" w:ascii="宋体" w:hAnsi="宋体"/>
          <w:sz w:val="24"/>
        </w:rPr>
        <w:t>按采购书要求提供的报价总价详见《报价一览表》。</w:t>
      </w:r>
    </w:p>
    <w:p>
      <w:pPr>
        <w:numPr>
          <w:ilvl w:val="0"/>
          <w:numId w:val="9"/>
        </w:numPr>
        <w:spacing w:line="400" w:lineRule="exact"/>
        <w:rPr>
          <w:rFonts w:ascii="宋体" w:hAnsi="宋体"/>
          <w:sz w:val="24"/>
        </w:rPr>
      </w:pPr>
      <w:r>
        <w:rPr>
          <w:rFonts w:hint="eastAsia" w:ascii="宋体" w:hAnsi="宋体"/>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pPr>
        <w:numPr>
          <w:ilvl w:val="0"/>
          <w:numId w:val="9"/>
        </w:numPr>
        <w:spacing w:line="400" w:lineRule="exact"/>
        <w:rPr>
          <w:rFonts w:ascii="宋体" w:hAnsi="宋体"/>
          <w:sz w:val="24"/>
        </w:rPr>
      </w:pPr>
      <w:r>
        <w:rPr>
          <w:rFonts w:hint="eastAsia" w:ascii="宋体" w:hAnsi="宋体"/>
          <w:sz w:val="24"/>
        </w:rPr>
        <w:t>我方同意按照贵方可能提出的要求而提供与报价有关的其它任何数据、信息或资料。</w:t>
      </w:r>
    </w:p>
    <w:p>
      <w:pPr>
        <w:numPr>
          <w:ilvl w:val="0"/>
          <w:numId w:val="9"/>
        </w:numPr>
        <w:spacing w:line="400" w:lineRule="exact"/>
        <w:rPr>
          <w:rFonts w:ascii="宋体" w:hAnsi="宋体"/>
          <w:sz w:val="24"/>
        </w:rPr>
      </w:pPr>
      <w:r>
        <w:rPr>
          <w:rFonts w:hint="eastAsia" w:ascii="宋体" w:hAnsi="宋体"/>
          <w:sz w:val="24"/>
        </w:rPr>
        <w:t>我方理解贵方不一定接受最低报价。</w:t>
      </w:r>
    </w:p>
    <w:p>
      <w:pPr>
        <w:numPr>
          <w:ilvl w:val="0"/>
          <w:numId w:val="9"/>
        </w:numPr>
        <w:spacing w:line="400" w:lineRule="exact"/>
        <w:rPr>
          <w:rFonts w:ascii="宋体" w:hAnsi="宋体"/>
          <w:sz w:val="24"/>
        </w:rPr>
      </w:pPr>
      <w:r>
        <w:rPr>
          <w:rFonts w:hint="eastAsia" w:ascii="宋体" w:hAnsi="宋体"/>
          <w:sz w:val="24"/>
        </w:rPr>
        <w:t>我方如果成交，将保证履行采购书及其澄清、修改文件（如果有）中的全部责任和义务，按质、按量、按期履行好合同。</w:t>
      </w:r>
    </w:p>
    <w:p>
      <w:pPr>
        <w:numPr>
          <w:ilvl w:val="0"/>
          <w:numId w:val="9"/>
        </w:numPr>
        <w:spacing w:line="400" w:lineRule="exact"/>
        <w:rPr>
          <w:rFonts w:ascii="宋体" w:hAnsi="宋体"/>
          <w:sz w:val="24"/>
        </w:rPr>
      </w:pPr>
      <w:r>
        <w:rPr>
          <w:rFonts w:hint="eastAsia" w:ascii="宋体" w:hAnsi="宋体"/>
          <w:sz w:val="24"/>
        </w:rPr>
        <w:t>我方作为</w:t>
      </w:r>
      <w:r>
        <w:rPr>
          <w:rFonts w:hint="eastAsia" w:ascii="宋体" w:hAnsi="宋体"/>
          <w:b/>
          <w:sz w:val="24"/>
          <w:u w:val="single"/>
        </w:rPr>
        <w:t>（</w:t>
      </w:r>
      <w:r>
        <w:rPr>
          <w:rFonts w:hint="eastAsia" w:ascii="宋体" w:hAnsi="宋体"/>
          <w:b/>
          <w:i/>
          <w:sz w:val="24"/>
          <w:u w:val="single"/>
        </w:rPr>
        <w:t>制造商/代理商）</w:t>
      </w:r>
      <w:r>
        <w:rPr>
          <w:rFonts w:hint="eastAsia" w:ascii="宋体" w:hAnsi="宋体"/>
          <w:sz w:val="24"/>
        </w:rPr>
        <w:t>是在法律、财务和运作上独立于采购人的报价人，在此保证所提交的所有文件和全部说明是真实的、准确的、有效的。</w:t>
      </w:r>
    </w:p>
    <w:p>
      <w:pPr>
        <w:numPr>
          <w:ilvl w:val="0"/>
          <w:numId w:val="9"/>
        </w:numPr>
        <w:spacing w:line="400" w:lineRule="exact"/>
        <w:rPr>
          <w:rFonts w:ascii="宋体" w:hAnsi="宋体"/>
          <w:sz w:val="24"/>
        </w:rPr>
      </w:pPr>
      <w:r>
        <w:rPr>
          <w:rFonts w:hint="eastAsia" w:ascii="宋体" w:hAnsi="宋体"/>
          <w:sz w:val="24"/>
        </w:rPr>
        <w:t>我方报价已包含应向知识产权所有权人支付的所有相关税费。并保证，招标人在中国使用我方提供的货物时，如有第三方提出侵犯其知识产权主张的，责任由我方承担。</w:t>
      </w:r>
    </w:p>
    <w:p>
      <w:pPr>
        <w:numPr>
          <w:ilvl w:val="0"/>
          <w:numId w:val="10"/>
        </w:numPr>
        <w:tabs>
          <w:tab w:val="left" w:pos="0"/>
        </w:tabs>
        <w:spacing w:line="440" w:lineRule="exact"/>
        <w:rPr>
          <w:rFonts w:ascii="宋体" w:hAnsi="宋体"/>
          <w:sz w:val="24"/>
        </w:rPr>
      </w:pPr>
      <w:r>
        <w:rPr>
          <w:rFonts w:hint="eastAsia" w:ascii="宋体" w:hAnsi="宋体"/>
          <w:sz w:val="24"/>
        </w:rPr>
        <w:t>我方对在采购响应文件及采购过程中所作出的所有承诺承担法律责任。</w:t>
      </w:r>
    </w:p>
    <w:p>
      <w:pPr>
        <w:numPr>
          <w:ilvl w:val="0"/>
          <w:numId w:val="9"/>
        </w:numPr>
        <w:spacing w:line="400" w:lineRule="exact"/>
        <w:rPr>
          <w:rFonts w:ascii="宋体" w:hAnsi="宋体"/>
          <w:sz w:val="24"/>
        </w:rPr>
      </w:pPr>
      <w:r>
        <w:rPr>
          <w:rFonts w:hint="eastAsia" w:ascii="宋体" w:hAnsi="宋体"/>
          <w:snapToGrid w:val="0"/>
          <w:kern w:val="0"/>
          <w:sz w:val="24"/>
        </w:rPr>
        <w:t>我方在近三年没有违法行为，在以往政府招标采购活动中没有违规和违约行为，并保证所供货物及服务来源合法，否则由我方承担因此产生的法律责任和经济责任。</w:t>
      </w:r>
    </w:p>
    <w:p>
      <w:pPr>
        <w:numPr>
          <w:ilvl w:val="0"/>
          <w:numId w:val="9"/>
        </w:numPr>
        <w:spacing w:line="400" w:lineRule="exact"/>
        <w:rPr>
          <w:rFonts w:ascii="宋体" w:hAnsi="宋体"/>
          <w:sz w:val="24"/>
        </w:rPr>
      </w:pPr>
      <w:r>
        <w:rPr>
          <w:rFonts w:hint="eastAsia" w:ascii="宋体" w:hAnsi="宋体"/>
          <w:sz w:val="24"/>
        </w:rPr>
        <w:t>所有与本采购项目有关的函件请发往下列地址：</w:t>
      </w:r>
    </w:p>
    <w:p>
      <w:pPr>
        <w:spacing w:line="400" w:lineRule="exact"/>
        <w:rPr>
          <w:rFonts w:ascii="宋体" w:hAnsi="宋体"/>
          <w:sz w:val="24"/>
        </w:rPr>
      </w:pPr>
    </w:p>
    <w:p>
      <w:pPr>
        <w:spacing w:line="440" w:lineRule="exact"/>
        <w:rPr>
          <w:rFonts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p>
    <w:p>
      <w:pPr>
        <w:spacing w:line="440" w:lineRule="exact"/>
        <w:ind w:firstLine="240" w:firstLineChars="100"/>
        <w:rPr>
          <w:rFonts w:ascii="宋体" w:hAnsi="宋体"/>
          <w:sz w:val="24"/>
          <w:u w:val="single"/>
        </w:rPr>
      </w:pPr>
      <w:r>
        <w:rPr>
          <w:rFonts w:hint="eastAsia" w:ascii="宋体" w:hAnsi="宋体"/>
          <w:sz w:val="24"/>
        </w:rPr>
        <w:t>地    址：.邮政编码：.</w:t>
      </w:r>
    </w:p>
    <w:p>
      <w:pPr>
        <w:spacing w:line="440" w:lineRule="exact"/>
        <w:rPr>
          <w:rFonts w:ascii="宋体" w:hAnsi="宋体"/>
          <w:sz w:val="24"/>
          <w:u w:val="single"/>
        </w:rPr>
      </w:pPr>
      <w:r>
        <w:rPr>
          <w:rFonts w:hint="eastAsia" w:ascii="宋体" w:hAnsi="宋体"/>
          <w:sz w:val="24"/>
        </w:rPr>
        <w:t xml:space="preserve">  代表姓名：.职    务：.</w:t>
      </w:r>
    </w:p>
    <w:p>
      <w:pPr>
        <w:spacing w:line="560" w:lineRule="exact"/>
        <w:ind w:firstLine="280" w:firstLineChars="100"/>
        <w:rPr>
          <w:rFonts w:ascii="宋体" w:hAnsi="宋体"/>
          <w:sz w:val="28"/>
          <w:szCs w:val="28"/>
        </w:rPr>
      </w:pPr>
      <w:r>
        <w:rPr>
          <w:rFonts w:hint="eastAsia" w:ascii="宋体" w:hAnsi="宋体"/>
          <w:sz w:val="28"/>
          <w:szCs w:val="28"/>
        </w:rPr>
        <w:t>特此声明。</w:t>
      </w:r>
    </w:p>
    <w:p>
      <w:pPr>
        <w:spacing w:line="480" w:lineRule="exact"/>
        <w:rPr>
          <w:rFonts w:ascii="宋体" w:hAnsi="宋体"/>
          <w:sz w:val="32"/>
          <w:szCs w:val="32"/>
        </w:rPr>
      </w:pPr>
    </w:p>
    <w:p>
      <w:pPr>
        <w:spacing w:line="48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年  月  日</w:t>
      </w:r>
    </w:p>
    <w:p>
      <w:pPr>
        <w:spacing w:line="320" w:lineRule="exact"/>
        <w:jc w:val="center"/>
        <w:rPr>
          <w:rFonts w:ascii="宋体" w:hAnsi="宋体"/>
          <w:b/>
          <w:sz w:val="28"/>
          <w:szCs w:val="28"/>
        </w:rPr>
      </w:pPr>
    </w:p>
    <w:p>
      <w:pPr>
        <w:spacing w:line="320" w:lineRule="exact"/>
        <w:jc w:val="center"/>
        <w:rPr>
          <w:rFonts w:ascii="宋体" w:hAnsi="宋体"/>
          <w:b/>
          <w:sz w:val="28"/>
          <w:szCs w:val="28"/>
        </w:rPr>
      </w:pPr>
    </w:p>
    <w:p>
      <w:pPr>
        <w:rPr>
          <w:rFonts w:ascii="宋体" w:hAnsi="宋体"/>
          <w:b/>
          <w:sz w:val="44"/>
          <w:szCs w:val="44"/>
        </w:rPr>
      </w:pPr>
      <w:r>
        <w:rPr>
          <w:rFonts w:hint="eastAsia" w:ascii="宋体" w:hAnsi="宋体"/>
          <w:b/>
          <w:sz w:val="44"/>
          <w:szCs w:val="44"/>
        </w:rPr>
        <w:br w:type="page"/>
      </w:r>
    </w:p>
    <w:p>
      <w:pPr>
        <w:numPr>
          <w:ilvl w:val="0"/>
          <w:numId w:val="7"/>
        </w:numPr>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b/>
          <w:sz w:val="44"/>
          <w:szCs w:val="44"/>
        </w:rPr>
        <w:t>证明材料</w:t>
      </w:r>
    </w:p>
    <w:p>
      <w:pPr>
        <w:rPr>
          <w:b/>
          <w:sz w:val="44"/>
          <w:szCs w:val="44"/>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4B4954F-AF35-4DAF-A582-4E4450C8704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1E160CA-BC49-4243-9AC8-23C5BF27E738}"/>
  </w:font>
  <w:font w:name="Cambria">
    <w:panose1 w:val="02040503050406030204"/>
    <w:charset w:val="00"/>
    <w:family w:val="roman"/>
    <w:pitch w:val="default"/>
    <w:sig w:usb0="E00006FF" w:usb1="420024FF" w:usb2="02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embedRegular r:id="rId3" w:fontKey="{C9EEB0C4-8371-4683-BCDD-62A870B3AC16}"/>
  </w:font>
  <w:font w:name="方正小标宋_GBK">
    <w:panose1 w:val="02000000000000000000"/>
    <w:charset w:val="86"/>
    <w:family w:val="auto"/>
    <w:pitch w:val="default"/>
    <w:sig w:usb0="A00002BF" w:usb1="38CF7CFA" w:usb2="00082016" w:usb3="00000000" w:csb0="00040001" w:csb1="00000000"/>
    <w:embedRegular r:id="rId4" w:fontKey="{73704D57-2699-4FF7-9AA4-0521300CC7E4}"/>
  </w:font>
  <w:font w:name="楷体_GB2312">
    <w:altName w:val="楷体"/>
    <w:panose1 w:val="00000000000000000000"/>
    <w:charset w:val="86"/>
    <w:family w:val="modern"/>
    <w:pitch w:val="default"/>
    <w:sig w:usb0="00000000" w:usb1="00000000" w:usb2="00000000" w:usb3="00000000" w:csb0="00040000" w:csb1="00000000"/>
    <w:embedRegular r:id="rId5" w:fontKey="{E0576402-510A-4EA1-8A61-0014FA4EA052}"/>
  </w:font>
  <w:font w:name="楷体">
    <w:panose1 w:val="02010609060101010101"/>
    <w:charset w:val="86"/>
    <w:family w:val="auto"/>
    <w:pitch w:val="default"/>
    <w:sig w:usb0="800002BF" w:usb1="38CF7CFA" w:usb2="00000016" w:usb3="00000000" w:csb0="00040001" w:csb1="00000000"/>
    <w:embedRegular r:id="rId6" w:fontKey="{5C3525B7-3AF5-4C4D-98F3-4C42F321443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rPr>
        <w:u w:val="single"/>
      </w:rPr>
    </w:pPr>
  </w:p>
  <w:p>
    <w:pPr>
      <w:pStyle w:val="1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8"/>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0</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AD9D038A"/>
    <w:multiLevelType w:val="singleLevel"/>
    <w:tmpl w:val="AD9D038A"/>
    <w:lvl w:ilvl="0" w:tentative="0">
      <w:start w:val="1"/>
      <w:numFmt w:val="decimal"/>
      <w:lvlText w:val="%1."/>
      <w:lvlJc w:val="left"/>
      <w:pPr>
        <w:ind w:left="425" w:hanging="425"/>
      </w:pPr>
      <w:rPr>
        <w:rFonts w:hint="default"/>
      </w:rPr>
    </w:lvl>
  </w:abstractNum>
  <w:abstractNum w:abstractNumId="2">
    <w:nsid w:val="B103DA9E"/>
    <w:multiLevelType w:val="singleLevel"/>
    <w:tmpl w:val="B103DA9E"/>
    <w:lvl w:ilvl="0" w:tentative="0">
      <w:start w:val="3"/>
      <w:numFmt w:val="chineseCounting"/>
      <w:suff w:val="nothing"/>
      <w:lvlText w:val="（%1）"/>
      <w:lvlJc w:val="left"/>
      <w:rPr>
        <w:rFonts w:hint="eastAsia"/>
      </w:rPr>
    </w:lvl>
  </w:abstractNum>
  <w:abstractNum w:abstractNumId="3">
    <w:nsid w:val="E91F1F3E"/>
    <w:multiLevelType w:val="singleLevel"/>
    <w:tmpl w:val="E91F1F3E"/>
    <w:lvl w:ilvl="0" w:tentative="0">
      <w:start w:val="7"/>
      <w:numFmt w:val="chineseCounting"/>
      <w:suff w:val="nothing"/>
      <w:lvlText w:val="%1、"/>
      <w:lvlJc w:val="left"/>
      <w:rPr>
        <w:rFonts w:hint="eastAsia"/>
      </w:rPr>
    </w:lvl>
  </w:abstractNum>
  <w:abstractNum w:abstractNumId="4">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5">
    <w:nsid w:val="407E65F9"/>
    <w:multiLevelType w:val="multilevel"/>
    <w:tmpl w:val="407E65F9"/>
    <w:lvl w:ilvl="0" w:tentative="0">
      <w:start w:val="0"/>
      <w:numFmt w:val="decimal"/>
      <w:pStyle w:val="94"/>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C3C74AC"/>
    <w:multiLevelType w:val="singleLevel"/>
    <w:tmpl w:val="5C3C74AC"/>
    <w:lvl w:ilvl="0" w:tentative="0">
      <w:start w:val="1"/>
      <w:numFmt w:val="chineseCounting"/>
      <w:suff w:val="nothing"/>
      <w:lvlText w:val="%1、"/>
      <w:lvlJc w:val="left"/>
      <w:rPr>
        <w:rFonts w:hint="eastAsia"/>
      </w:rPr>
    </w:lvl>
  </w:abstractNum>
  <w:abstractNum w:abstractNumId="8">
    <w:nsid w:val="5D1ACA94"/>
    <w:multiLevelType w:val="singleLevel"/>
    <w:tmpl w:val="5D1ACA94"/>
    <w:lvl w:ilvl="0" w:tentative="0">
      <w:start w:val="3"/>
      <w:numFmt w:val="decimal"/>
      <w:suff w:val="nothing"/>
      <w:lvlText w:val="%1、"/>
      <w:lvlJc w:val="left"/>
    </w:lvl>
  </w:abstractNum>
  <w:num w:numId="1">
    <w:abstractNumId w:val="5"/>
  </w:num>
  <w:num w:numId="2">
    <w:abstractNumId w:val="8"/>
  </w:num>
  <w:num w:numId="3">
    <w:abstractNumId w:val="3"/>
  </w:num>
  <w:num w:numId="4">
    <w:abstractNumId w:val="2"/>
  </w:num>
  <w:num w:numId="5">
    <w:abstractNumId w:val="1"/>
  </w:num>
  <w:num w:numId="6">
    <w:abstractNumId w:val="7"/>
  </w:num>
  <w:num w:numId="7">
    <w:abstractNumId w:val="0"/>
  </w:num>
  <w:num w:numId="8">
    <w:abstractNumId w:val="4"/>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NotTrackMoves/>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yOGVkNDc0NjU2ODUzYjRmMTgzMmQxNTlkZTcyOTY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29C7941"/>
    <w:rsid w:val="0338148D"/>
    <w:rsid w:val="03AD1858"/>
    <w:rsid w:val="03D568F0"/>
    <w:rsid w:val="05940418"/>
    <w:rsid w:val="07654F6A"/>
    <w:rsid w:val="079E325C"/>
    <w:rsid w:val="0A2F4D76"/>
    <w:rsid w:val="0BEE41F8"/>
    <w:rsid w:val="0D0015C5"/>
    <w:rsid w:val="0E6949B3"/>
    <w:rsid w:val="0F666038"/>
    <w:rsid w:val="0FEF4AD0"/>
    <w:rsid w:val="11FA2096"/>
    <w:rsid w:val="12254861"/>
    <w:rsid w:val="12B4052F"/>
    <w:rsid w:val="12EC524A"/>
    <w:rsid w:val="13071F04"/>
    <w:rsid w:val="13C52591"/>
    <w:rsid w:val="14A66120"/>
    <w:rsid w:val="14E23522"/>
    <w:rsid w:val="168532DC"/>
    <w:rsid w:val="173373DC"/>
    <w:rsid w:val="1753107A"/>
    <w:rsid w:val="18DC1D83"/>
    <w:rsid w:val="18DD33E1"/>
    <w:rsid w:val="18EE0C00"/>
    <w:rsid w:val="1AE42B15"/>
    <w:rsid w:val="20BC39CA"/>
    <w:rsid w:val="213E5304"/>
    <w:rsid w:val="21E00F42"/>
    <w:rsid w:val="245F6E0F"/>
    <w:rsid w:val="24905418"/>
    <w:rsid w:val="263B5217"/>
    <w:rsid w:val="27192484"/>
    <w:rsid w:val="27C423D8"/>
    <w:rsid w:val="28E13EA5"/>
    <w:rsid w:val="291150CE"/>
    <w:rsid w:val="2E2429AD"/>
    <w:rsid w:val="2E7F096C"/>
    <w:rsid w:val="2E950643"/>
    <w:rsid w:val="2EE571B2"/>
    <w:rsid w:val="300E29BD"/>
    <w:rsid w:val="305B2BFC"/>
    <w:rsid w:val="311763F2"/>
    <w:rsid w:val="3237724D"/>
    <w:rsid w:val="32C61B83"/>
    <w:rsid w:val="344B05CF"/>
    <w:rsid w:val="34683033"/>
    <w:rsid w:val="35B77661"/>
    <w:rsid w:val="36583023"/>
    <w:rsid w:val="3713274F"/>
    <w:rsid w:val="376027F7"/>
    <w:rsid w:val="39A6093D"/>
    <w:rsid w:val="3AD13AD5"/>
    <w:rsid w:val="3BF75747"/>
    <w:rsid w:val="3D832EB5"/>
    <w:rsid w:val="3EB43B95"/>
    <w:rsid w:val="3F0535D6"/>
    <w:rsid w:val="401A05CF"/>
    <w:rsid w:val="40652603"/>
    <w:rsid w:val="42532A81"/>
    <w:rsid w:val="42966345"/>
    <w:rsid w:val="442F0A64"/>
    <w:rsid w:val="44FE771E"/>
    <w:rsid w:val="453D2E2E"/>
    <w:rsid w:val="455B5F6E"/>
    <w:rsid w:val="4678338B"/>
    <w:rsid w:val="476B2D91"/>
    <w:rsid w:val="47AE6D07"/>
    <w:rsid w:val="48833F13"/>
    <w:rsid w:val="4ADD6003"/>
    <w:rsid w:val="4BEB2A35"/>
    <w:rsid w:val="4C9204F0"/>
    <w:rsid w:val="4DBA5FA6"/>
    <w:rsid w:val="4DD5065C"/>
    <w:rsid w:val="507A5425"/>
    <w:rsid w:val="50C30629"/>
    <w:rsid w:val="51577DD1"/>
    <w:rsid w:val="51AB09AF"/>
    <w:rsid w:val="520732F2"/>
    <w:rsid w:val="531269D1"/>
    <w:rsid w:val="54B4589B"/>
    <w:rsid w:val="55B90436"/>
    <w:rsid w:val="57434CFA"/>
    <w:rsid w:val="5A165665"/>
    <w:rsid w:val="5A965CB3"/>
    <w:rsid w:val="5C097FBF"/>
    <w:rsid w:val="5C837B0E"/>
    <w:rsid w:val="5CFE645C"/>
    <w:rsid w:val="5D901B4E"/>
    <w:rsid w:val="5DCB7EB6"/>
    <w:rsid w:val="5EB743B6"/>
    <w:rsid w:val="6194517C"/>
    <w:rsid w:val="62437726"/>
    <w:rsid w:val="628F0A4F"/>
    <w:rsid w:val="6296560A"/>
    <w:rsid w:val="62D60C04"/>
    <w:rsid w:val="62DB6DB3"/>
    <w:rsid w:val="63065FF8"/>
    <w:rsid w:val="63550335"/>
    <w:rsid w:val="64D23D3E"/>
    <w:rsid w:val="68742FE5"/>
    <w:rsid w:val="697C1D6F"/>
    <w:rsid w:val="6A80153E"/>
    <w:rsid w:val="6F544E68"/>
    <w:rsid w:val="705D6272"/>
    <w:rsid w:val="719242C5"/>
    <w:rsid w:val="72B62304"/>
    <w:rsid w:val="742D0AEA"/>
    <w:rsid w:val="750157C1"/>
    <w:rsid w:val="77F228DE"/>
    <w:rsid w:val="78851ED1"/>
    <w:rsid w:val="79C61CFF"/>
    <w:rsid w:val="7D4F3F92"/>
    <w:rsid w:val="7DBD7DE5"/>
    <w:rsid w:val="7E7401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9"/>
    <w:qFormat/>
    <w:uiPriority w:val="0"/>
    <w:pPr>
      <w:keepNext/>
      <w:keepLines/>
      <w:spacing w:line="720" w:lineRule="exact"/>
      <w:jc w:val="center"/>
      <w:outlineLvl w:val="0"/>
    </w:pPr>
    <w:rPr>
      <w:b/>
      <w:bCs/>
      <w:kern w:val="44"/>
      <w:sz w:val="44"/>
      <w:szCs w:val="44"/>
    </w:rPr>
  </w:style>
  <w:style w:type="paragraph" w:styleId="3">
    <w:name w:val="heading 2"/>
    <w:basedOn w:val="1"/>
    <w:next w:val="1"/>
    <w:link w:val="48"/>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2"/>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7"/>
    <w:qFormat/>
    <w:uiPriority w:val="9"/>
    <w:pPr>
      <w:keepNext/>
      <w:keepLines/>
      <w:spacing w:before="280" w:after="290" w:line="376" w:lineRule="auto"/>
      <w:outlineLvl w:val="3"/>
    </w:pPr>
    <w:rPr>
      <w:rFonts w:ascii="Cambria" w:hAnsi="Cambria"/>
      <w:b/>
      <w:bCs/>
      <w:kern w:val="0"/>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link w:val="47"/>
    <w:qFormat/>
    <w:uiPriority w:val="0"/>
    <w:pPr>
      <w:ind w:firstLine="420"/>
    </w:pPr>
    <w:rPr>
      <w:rFonts w:ascii="Calibri" w:hAnsi="Calibri"/>
      <w:kern w:val="0"/>
      <w:sz w:val="20"/>
      <w:szCs w:val="20"/>
    </w:rPr>
  </w:style>
  <w:style w:type="paragraph" w:styleId="7">
    <w:name w:val="Document Map"/>
    <w:basedOn w:val="1"/>
    <w:link w:val="62"/>
    <w:semiHidden/>
    <w:qFormat/>
    <w:uiPriority w:val="0"/>
    <w:pPr>
      <w:shd w:val="clear" w:color="auto" w:fill="000080"/>
    </w:pPr>
    <w:rPr>
      <w:kern w:val="0"/>
      <w:sz w:val="20"/>
    </w:rPr>
  </w:style>
  <w:style w:type="paragraph" w:styleId="8">
    <w:name w:val="annotation text"/>
    <w:basedOn w:val="1"/>
    <w:next w:val="9"/>
    <w:link w:val="65"/>
    <w:qFormat/>
    <w:uiPriority w:val="0"/>
    <w:pPr>
      <w:spacing w:line="280" w:lineRule="exact"/>
      <w:jc w:val="left"/>
    </w:pPr>
    <w:rPr>
      <w:sz w:val="24"/>
    </w:rPr>
  </w:style>
  <w:style w:type="paragraph" w:styleId="9">
    <w:name w:val="Balloon Text"/>
    <w:basedOn w:val="1"/>
    <w:link w:val="41"/>
    <w:semiHidden/>
    <w:qFormat/>
    <w:uiPriority w:val="0"/>
    <w:pPr>
      <w:adjustRightInd w:val="0"/>
      <w:snapToGrid w:val="0"/>
    </w:pPr>
    <w:rPr>
      <w:sz w:val="28"/>
      <w:szCs w:val="18"/>
    </w:rPr>
  </w:style>
  <w:style w:type="paragraph" w:styleId="10">
    <w:name w:val="Body Text"/>
    <w:basedOn w:val="1"/>
    <w:next w:val="1"/>
    <w:qFormat/>
    <w:uiPriority w:val="0"/>
    <w:pPr>
      <w:spacing w:after="120"/>
    </w:pPr>
    <w:rPr>
      <w:rFonts w:ascii="Times New Roman" w:hAnsi="Times New Roman" w:eastAsia="宋体" w:cs="Times New Roman"/>
    </w:rPr>
  </w:style>
  <w:style w:type="paragraph" w:styleId="11">
    <w:name w:val="Body Text Indent"/>
    <w:basedOn w:val="1"/>
    <w:link w:val="55"/>
    <w:qFormat/>
    <w:uiPriority w:val="0"/>
    <w:pPr>
      <w:ind w:firstLine="570"/>
    </w:pPr>
    <w:rPr>
      <w:rFonts w:ascii="宋体" w:hAnsi="宋体"/>
      <w:kern w:val="0"/>
      <w:sz w:val="24"/>
    </w:rPr>
  </w:style>
  <w:style w:type="paragraph" w:styleId="12">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3">
    <w:name w:val="toc 3"/>
    <w:basedOn w:val="1"/>
    <w:next w:val="1"/>
    <w:qFormat/>
    <w:uiPriority w:val="39"/>
    <w:pPr>
      <w:ind w:left="840" w:leftChars="400"/>
    </w:pPr>
  </w:style>
  <w:style w:type="paragraph" w:styleId="14">
    <w:name w:val="Plain Text"/>
    <w:basedOn w:val="1"/>
    <w:link w:val="42"/>
    <w:qFormat/>
    <w:uiPriority w:val="0"/>
    <w:rPr>
      <w:rFonts w:ascii="宋体" w:hAnsi="Courier New"/>
      <w:kern w:val="0"/>
      <w:sz w:val="20"/>
    </w:rPr>
  </w:style>
  <w:style w:type="paragraph" w:styleId="15">
    <w:name w:val="Date"/>
    <w:basedOn w:val="1"/>
    <w:next w:val="1"/>
    <w:link w:val="39"/>
    <w:qFormat/>
    <w:uiPriority w:val="0"/>
    <w:pPr>
      <w:ind w:left="100" w:leftChars="2500"/>
    </w:pPr>
    <w:rPr>
      <w:kern w:val="0"/>
      <w:sz w:val="28"/>
    </w:rPr>
  </w:style>
  <w:style w:type="paragraph" w:styleId="16">
    <w:name w:val="Body Text Indent 2"/>
    <w:basedOn w:val="1"/>
    <w:link w:val="60"/>
    <w:qFormat/>
    <w:uiPriority w:val="0"/>
    <w:pPr>
      <w:spacing w:line="300" w:lineRule="auto"/>
      <w:ind w:firstLine="540" w:firstLineChars="225"/>
    </w:pPr>
    <w:rPr>
      <w:rFonts w:ascii="宋体" w:hAnsi="宋体"/>
      <w:color w:val="000000"/>
      <w:kern w:val="0"/>
      <w:sz w:val="24"/>
    </w:rPr>
  </w:style>
  <w:style w:type="paragraph" w:styleId="17">
    <w:name w:val="footer"/>
    <w:basedOn w:val="1"/>
    <w:link w:val="56"/>
    <w:qFormat/>
    <w:uiPriority w:val="0"/>
    <w:pPr>
      <w:tabs>
        <w:tab w:val="center" w:pos="4153"/>
        <w:tab w:val="right" w:pos="8306"/>
      </w:tabs>
      <w:snapToGrid w:val="0"/>
      <w:jc w:val="left"/>
    </w:pPr>
    <w:rPr>
      <w:kern w:val="0"/>
      <w:sz w:val="18"/>
      <w:szCs w:val="18"/>
    </w:rPr>
  </w:style>
  <w:style w:type="paragraph" w:styleId="18">
    <w:name w:val="header"/>
    <w:basedOn w:val="1"/>
    <w:link w:val="5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9">
    <w:name w:val="toc 1"/>
    <w:basedOn w:val="1"/>
    <w:next w:val="1"/>
    <w:qFormat/>
    <w:uiPriority w:val="39"/>
  </w:style>
  <w:style w:type="paragraph" w:styleId="20">
    <w:name w:val="index heading"/>
    <w:basedOn w:val="1"/>
    <w:next w:val="21"/>
    <w:semiHidden/>
    <w:qFormat/>
    <w:uiPriority w:val="0"/>
    <w:rPr>
      <w:szCs w:val="20"/>
    </w:rPr>
  </w:style>
  <w:style w:type="paragraph" w:styleId="21">
    <w:name w:val="index 1"/>
    <w:basedOn w:val="1"/>
    <w:next w:val="1"/>
    <w:semiHidden/>
    <w:qFormat/>
    <w:uiPriority w:val="0"/>
  </w:style>
  <w:style w:type="paragraph" w:styleId="22">
    <w:name w:val="Subtitle"/>
    <w:basedOn w:val="1"/>
    <w:next w:val="1"/>
    <w:link w:val="38"/>
    <w:qFormat/>
    <w:uiPriority w:val="0"/>
    <w:pPr>
      <w:spacing w:before="240" w:after="60" w:line="312" w:lineRule="auto"/>
      <w:jc w:val="center"/>
      <w:outlineLvl w:val="1"/>
    </w:pPr>
    <w:rPr>
      <w:rFonts w:ascii="Cambria" w:hAnsi="Cambria"/>
      <w:b/>
      <w:bCs/>
      <w:kern w:val="28"/>
      <w:sz w:val="32"/>
      <w:szCs w:val="32"/>
    </w:rPr>
  </w:style>
  <w:style w:type="paragraph" w:styleId="23">
    <w:name w:val="footnote text"/>
    <w:basedOn w:val="1"/>
    <w:link w:val="40"/>
    <w:qFormat/>
    <w:uiPriority w:val="0"/>
    <w:pPr>
      <w:snapToGrid w:val="0"/>
      <w:jc w:val="left"/>
    </w:pPr>
    <w:rPr>
      <w:kern w:val="0"/>
      <w:sz w:val="18"/>
      <w:szCs w:val="18"/>
    </w:rPr>
  </w:style>
  <w:style w:type="paragraph" w:styleId="24">
    <w:name w:val="Body Text Indent 3"/>
    <w:basedOn w:val="1"/>
    <w:link w:val="46"/>
    <w:qFormat/>
    <w:uiPriority w:val="0"/>
    <w:pPr>
      <w:snapToGrid w:val="0"/>
      <w:spacing w:after="120" w:line="360" w:lineRule="auto"/>
      <w:ind w:firstLine="1365"/>
    </w:pPr>
    <w:rPr>
      <w:rFonts w:ascii="宋体"/>
      <w:kern w:val="0"/>
      <w:sz w:val="28"/>
      <w:szCs w:val="20"/>
    </w:rPr>
  </w:style>
  <w:style w:type="paragraph" w:styleId="25">
    <w:name w:val="toc 2"/>
    <w:basedOn w:val="1"/>
    <w:next w:val="1"/>
    <w:qFormat/>
    <w:uiPriority w:val="39"/>
    <w:pPr>
      <w:ind w:left="420" w:leftChars="200"/>
    </w:pPr>
  </w:style>
  <w:style w:type="paragraph" w:styleId="26">
    <w:name w:val="Normal (Web)"/>
    <w:basedOn w:val="1"/>
    <w:qFormat/>
    <w:uiPriority w:val="0"/>
    <w:rPr>
      <w:rFonts w:ascii="Calibri" w:hAnsi="Calibri"/>
      <w:sz w:val="24"/>
      <w:szCs w:val="22"/>
    </w:rPr>
  </w:style>
  <w:style w:type="paragraph" w:styleId="27">
    <w:name w:val="annotation subject"/>
    <w:basedOn w:val="8"/>
    <w:next w:val="8"/>
    <w:link w:val="63"/>
    <w:semiHidden/>
    <w:qFormat/>
    <w:uiPriority w:val="0"/>
    <w:rPr>
      <w:b/>
      <w:bCs/>
      <w:kern w:val="0"/>
      <w:sz w:val="20"/>
    </w:rPr>
  </w:style>
  <w:style w:type="table" w:styleId="29">
    <w:name w:val="Table Grid"/>
    <w:basedOn w:val="2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22"/>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Emphasis"/>
    <w:basedOn w:val="30"/>
    <w:qFormat/>
    <w:uiPriority w:val="20"/>
    <w:rPr>
      <w:color w:val="CC0000"/>
    </w:rPr>
  </w:style>
  <w:style w:type="character" w:styleId="35">
    <w:name w:val="Hyperlink"/>
    <w:qFormat/>
    <w:uiPriority w:val="99"/>
    <w:rPr>
      <w:color w:val="0000FF"/>
      <w:u w:val="single"/>
    </w:rPr>
  </w:style>
  <w:style w:type="character" w:styleId="36">
    <w:name w:val="annotation reference"/>
    <w:semiHidden/>
    <w:qFormat/>
    <w:uiPriority w:val="0"/>
    <w:rPr>
      <w:sz w:val="21"/>
      <w:szCs w:val="21"/>
    </w:rPr>
  </w:style>
  <w:style w:type="character" w:styleId="37">
    <w:name w:val="footnote reference"/>
    <w:qFormat/>
    <w:uiPriority w:val="0"/>
    <w:rPr>
      <w:vertAlign w:val="superscript"/>
    </w:rPr>
  </w:style>
  <w:style w:type="character" w:customStyle="1" w:styleId="38">
    <w:name w:val="副标题 Char"/>
    <w:link w:val="22"/>
    <w:qFormat/>
    <w:uiPriority w:val="0"/>
    <w:rPr>
      <w:rFonts w:ascii="Cambria" w:hAnsi="Cambria" w:eastAsia="宋体" w:cs="Times New Roman"/>
      <w:b/>
      <w:bCs/>
      <w:kern w:val="28"/>
      <w:sz w:val="32"/>
      <w:szCs w:val="32"/>
    </w:rPr>
  </w:style>
  <w:style w:type="character" w:customStyle="1" w:styleId="39">
    <w:name w:val="日期 Char"/>
    <w:link w:val="15"/>
    <w:qFormat/>
    <w:uiPriority w:val="0"/>
    <w:rPr>
      <w:rFonts w:ascii="Times New Roman" w:hAnsi="Times New Roman" w:eastAsia="宋体" w:cs="Times New Roman"/>
      <w:sz w:val="28"/>
      <w:szCs w:val="24"/>
    </w:rPr>
  </w:style>
  <w:style w:type="character" w:customStyle="1" w:styleId="40">
    <w:name w:val="脚注文本 Char"/>
    <w:link w:val="23"/>
    <w:qFormat/>
    <w:uiPriority w:val="0"/>
    <w:rPr>
      <w:rFonts w:ascii="Times New Roman" w:hAnsi="Times New Roman" w:eastAsia="宋体" w:cs="Times New Roman"/>
      <w:sz w:val="18"/>
      <w:szCs w:val="18"/>
    </w:rPr>
  </w:style>
  <w:style w:type="character" w:customStyle="1" w:styleId="41">
    <w:name w:val="批注框文本 Char"/>
    <w:link w:val="9"/>
    <w:semiHidden/>
    <w:qFormat/>
    <w:uiPriority w:val="0"/>
    <w:rPr>
      <w:rFonts w:ascii="Times New Roman" w:hAnsi="Times New Roman"/>
      <w:kern w:val="2"/>
      <w:sz w:val="28"/>
      <w:szCs w:val="18"/>
    </w:rPr>
  </w:style>
  <w:style w:type="character" w:customStyle="1" w:styleId="42">
    <w:name w:val="纯文本 Char"/>
    <w:link w:val="14"/>
    <w:qFormat/>
    <w:uiPriority w:val="0"/>
    <w:rPr>
      <w:rFonts w:ascii="宋体" w:hAnsi="Courier New" w:eastAsia="宋体"/>
      <w:szCs w:val="24"/>
    </w:rPr>
  </w:style>
  <w:style w:type="character" w:customStyle="1" w:styleId="43">
    <w:name w:val="列出段落 Char"/>
    <w:link w:val="44"/>
    <w:qFormat/>
    <w:locked/>
    <w:uiPriority w:val="99"/>
    <w:rPr>
      <w:rFonts w:ascii="Times New Roman" w:hAnsi="Times New Roman"/>
      <w:kern w:val="2"/>
      <w:sz w:val="21"/>
      <w:szCs w:val="24"/>
    </w:rPr>
  </w:style>
  <w:style w:type="paragraph" w:customStyle="1" w:styleId="44">
    <w:name w:val="列出段落2"/>
    <w:basedOn w:val="1"/>
    <w:link w:val="43"/>
    <w:qFormat/>
    <w:uiPriority w:val="99"/>
    <w:pPr>
      <w:ind w:firstLine="420" w:firstLineChars="200"/>
    </w:pPr>
  </w:style>
  <w:style w:type="character" w:customStyle="1" w:styleId="45">
    <w:name w:val="纯文本 Char1"/>
    <w:semiHidden/>
    <w:qFormat/>
    <w:uiPriority w:val="99"/>
    <w:rPr>
      <w:rFonts w:ascii="宋体" w:hAnsi="Courier New" w:eastAsia="宋体" w:cs="Courier New"/>
      <w:szCs w:val="21"/>
    </w:rPr>
  </w:style>
  <w:style w:type="character" w:customStyle="1" w:styleId="46">
    <w:name w:val="正文文本缩进 3 Char"/>
    <w:link w:val="24"/>
    <w:qFormat/>
    <w:uiPriority w:val="0"/>
    <w:rPr>
      <w:rFonts w:ascii="宋体" w:hAnsi="Times New Roman" w:eastAsia="宋体" w:cs="Times New Roman"/>
      <w:sz w:val="28"/>
      <w:szCs w:val="20"/>
    </w:rPr>
  </w:style>
  <w:style w:type="character" w:customStyle="1" w:styleId="47">
    <w:name w:val="正文缩进 Char"/>
    <w:link w:val="6"/>
    <w:qFormat/>
    <w:uiPriority w:val="0"/>
    <w:rPr>
      <w:rFonts w:eastAsia="宋体"/>
    </w:rPr>
  </w:style>
  <w:style w:type="character" w:customStyle="1" w:styleId="48">
    <w:name w:val="标题 2 Char"/>
    <w:link w:val="3"/>
    <w:qFormat/>
    <w:uiPriority w:val="0"/>
    <w:rPr>
      <w:rFonts w:ascii="Arial" w:hAnsi="Arial" w:eastAsia="宋体" w:cs="Times New Roman"/>
      <w:b/>
      <w:bCs/>
      <w:sz w:val="28"/>
      <w:szCs w:val="32"/>
    </w:rPr>
  </w:style>
  <w:style w:type="character" w:customStyle="1" w:styleId="49">
    <w:name w:val="页眉1 Char"/>
    <w:link w:val="50"/>
    <w:qFormat/>
    <w:uiPriority w:val="0"/>
    <w:rPr>
      <w:sz w:val="18"/>
      <w:szCs w:val="18"/>
    </w:rPr>
  </w:style>
  <w:style w:type="paragraph" w:customStyle="1" w:styleId="50">
    <w:name w:val="页眉1"/>
    <w:basedOn w:val="18"/>
    <w:link w:val="49"/>
    <w:qFormat/>
    <w:uiPriority w:val="0"/>
    <w:pPr>
      <w:pBdr>
        <w:bottom w:val="none" w:color="auto" w:sz="0" w:space="0"/>
      </w:pBdr>
      <w:jc w:val="both"/>
    </w:pPr>
  </w:style>
  <w:style w:type="character" w:customStyle="1" w:styleId="51">
    <w:name w:val="页眉 Char"/>
    <w:link w:val="18"/>
    <w:qFormat/>
    <w:uiPriority w:val="0"/>
    <w:rPr>
      <w:sz w:val="18"/>
      <w:szCs w:val="18"/>
    </w:rPr>
  </w:style>
  <w:style w:type="character" w:customStyle="1" w:styleId="52">
    <w:name w:val="标题 3 Char"/>
    <w:link w:val="4"/>
    <w:qFormat/>
    <w:uiPriority w:val="0"/>
    <w:rPr>
      <w:rFonts w:ascii="Times New Roman" w:hAnsi="Times New Roman" w:eastAsia="宋体" w:cs="Times New Roman"/>
      <w:b/>
      <w:bCs/>
      <w:sz w:val="24"/>
      <w:szCs w:val="32"/>
    </w:rPr>
  </w:style>
  <w:style w:type="character" w:customStyle="1" w:styleId="53">
    <w:name w:val="h2"/>
    <w:qFormat/>
    <w:uiPriority w:val="0"/>
    <w:rPr>
      <w:color w:val="000000"/>
      <w:sz w:val="24"/>
      <w:szCs w:val="24"/>
    </w:rPr>
  </w:style>
  <w:style w:type="character" w:customStyle="1" w:styleId="54">
    <w:name w:val="unnamed1"/>
    <w:basedOn w:val="30"/>
    <w:qFormat/>
    <w:uiPriority w:val="0"/>
  </w:style>
  <w:style w:type="character" w:customStyle="1" w:styleId="55">
    <w:name w:val="正文文本缩进 Char"/>
    <w:link w:val="11"/>
    <w:qFormat/>
    <w:uiPriority w:val="0"/>
    <w:rPr>
      <w:rFonts w:ascii="宋体" w:hAnsi="宋体" w:eastAsia="宋体" w:cs="Times New Roman"/>
      <w:sz w:val="24"/>
      <w:szCs w:val="24"/>
    </w:rPr>
  </w:style>
  <w:style w:type="character" w:customStyle="1" w:styleId="56">
    <w:name w:val="页脚 Char"/>
    <w:link w:val="17"/>
    <w:qFormat/>
    <w:uiPriority w:val="0"/>
    <w:rPr>
      <w:rFonts w:ascii="Times New Roman" w:hAnsi="Times New Roman" w:eastAsia="宋体" w:cs="Times New Roman"/>
      <w:sz w:val="18"/>
      <w:szCs w:val="18"/>
    </w:rPr>
  </w:style>
  <w:style w:type="character" w:customStyle="1" w:styleId="57">
    <w:name w:val="标题 4 Char"/>
    <w:link w:val="5"/>
    <w:semiHidden/>
    <w:qFormat/>
    <w:uiPriority w:val="9"/>
    <w:rPr>
      <w:rFonts w:ascii="Cambria" w:hAnsi="Cambria" w:eastAsia="宋体" w:cs="Times New Roman"/>
      <w:b/>
      <w:bCs/>
      <w:sz w:val="28"/>
      <w:szCs w:val="28"/>
    </w:rPr>
  </w:style>
  <w:style w:type="character" w:customStyle="1" w:styleId="58">
    <w:name w:val="font101"/>
    <w:qFormat/>
    <w:uiPriority w:val="0"/>
    <w:rPr>
      <w:rFonts w:hint="eastAsia" w:ascii="黑体" w:hAnsi="宋体" w:eastAsia="黑体" w:cs="黑体"/>
      <w:color w:val="000000"/>
      <w:sz w:val="20"/>
      <w:szCs w:val="20"/>
      <w:u w:val="none"/>
    </w:rPr>
  </w:style>
  <w:style w:type="character" w:customStyle="1" w:styleId="59">
    <w:name w:val="标题 1 Char"/>
    <w:link w:val="2"/>
    <w:qFormat/>
    <w:uiPriority w:val="0"/>
    <w:rPr>
      <w:rFonts w:ascii="Times New Roman" w:hAnsi="Times New Roman" w:eastAsia="宋体" w:cs="Times New Roman"/>
      <w:b/>
      <w:bCs/>
      <w:kern w:val="44"/>
      <w:sz w:val="44"/>
      <w:szCs w:val="44"/>
    </w:rPr>
  </w:style>
  <w:style w:type="character" w:customStyle="1" w:styleId="60">
    <w:name w:val="正文文本缩进 2 Char"/>
    <w:link w:val="16"/>
    <w:qFormat/>
    <w:uiPriority w:val="0"/>
    <w:rPr>
      <w:rFonts w:ascii="宋体" w:hAnsi="宋体" w:eastAsia="宋体" w:cs="Times New Roman"/>
      <w:color w:val="000000"/>
      <w:sz w:val="24"/>
      <w:szCs w:val="24"/>
    </w:rPr>
  </w:style>
  <w:style w:type="character" w:customStyle="1" w:styleId="61">
    <w:name w:val="font61"/>
    <w:qFormat/>
    <w:uiPriority w:val="0"/>
    <w:rPr>
      <w:rFonts w:hint="eastAsia" w:ascii="宋体" w:hAnsi="宋体" w:eastAsia="宋体" w:cs="宋体"/>
      <w:color w:val="000000"/>
      <w:sz w:val="20"/>
      <w:szCs w:val="20"/>
      <w:u w:val="none"/>
    </w:rPr>
  </w:style>
  <w:style w:type="character" w:customStyle="1" w:styleId="62">
    <w:name w:val="文档结构图 Char"/>
    <w:link w:val="7"/>
    <w:semiHidden/>
    <w:qFormat/>
    <w:uiPriority w:val="0"/>
    <w:rPr>
      <w:rFonts w:ascii="Times New Roman" w:hAnsi="Times New Roman" w:eastAsia="宋体" w:cs="Times New Roman"/>
      <w:szCs w:val="24"/>
      <w:shd w:val="clear" w:color="auto" w:fill="000080"/>
    </w:rPr>
  </w:style>
  <w:style w:type="character" w:customStyle="1" w:styleId="63">
    <w:name w:val="批注主题 Char"/>
    <w:link w:val="27"/>
    <w:semiHidden/>
    <w:qFormat/>
    <w:uiPriority w:val="0"/>
    <w:rPr>
      <w:rFonts w:ascii="Times New Roman" w:hAnsi="Times New Roman" w:eastAsia="宋体" w:cs="Times New Roman"/>
      <w:b/>
      <w:bCs/>
      <w:szCs w:val="24"/>
    </w:rPr>
  </w:style>
  <w:style w:type="character" w:customStyle="1" w:styleId="64">
    <w:name w:val="页眉 Char1"/>
    <w:semiHidden/>
    <w:qFormat/>
    <w:uiPriority w:val="99"/>
    <w:rPr>
      <w:rFonts w:ascii="Times New Roman" w:hAnsi="Times New Roman" w:eastAsia="宋体" w:cs="Times New Roman"/>
      <w:sz w:val="18"/>
      <w:szCs w:val="18"/>
    </w:rPr>
  </w:style>
  <w:style w:type="character" w:customStyle="1" w:styleId="65">
    <w:name w:val="批注文字 Char"/>
    <w:link w:val="8"/>
    <w:qFormat/>
    <w:uiPriority w:val="0"/>
    <w:rPr>
      <w:rFonts w:ascii="Times New Roman" w:hAnsi="Times New Roman"/>
      <w:kern w:val="2"/>
      <w:sz w:val="24"/>
      <w:szCs w:val="24"/>
    </w:rPr>
  </w:style>
  <w:style w:type="character" w:customStyle="1" w:styleId="66">
    <w:name w:val="apple-converted-space"/>
    <w:qFormat/>
    <w:uiPriority w:val="99"/>
    <w:rPr>
      <w:rFonts w:cs="Times New Roman"/>
    </w:rPr>
  </w:style>
  <w:style w:type="paragraph" w:customStyle="1" w:styleId="67">
    <w:name w:val="1"/>
    <w:basedOn w:val="1"/>
    <w:qFormat/>
    <w:uiPriority w:val="0"/>
    <w:pPr>
      <w:widowControl/>
      <w:spacing w:after="160" w:line="240" w:lineRule="exact"/>
      <w:jc w:val="left"/>
    </w:pPr>
    <w:rPr>
      <w:rFonts w:ascii="Verdana" w:hAnsi="Verdana"/>
      <w:kern w:val="0"/>
      <w:szCs w:val="20"/>
      <w:lang w:eastAsia="en-US"/>
    </w:rPr>
  </w:style>
  <w:style w:type="paragraph" w:customStyle="1" w:styleId="68">
    <w:name w:val="Char Char Char"/>
    <w:basedOn w:val="1"/>
    <w:qFormat/>
    <w:uiPriority w:val="0"/>
    <w:rPr>
      <w:rFonts w:ascii="宋体" w:hAnsi="宋体"/>
      <w:b/>
      <w:sz w:val="28"/>
      <w:szCs w:val="28"/>
    </w:rPr>
  </w:style>
  <w:style w:type="paragraph" w:customStyle="1" w:styleId="69">
    <w:name w:val="Char Char Char Char"/>
    <w:basedOn w:val="1"/>
    <w:qFormat/>
    <w:uiPriority w:val="0"/>
    <w:rPr>
      <w:szCs w:val="20"/>
    </w:rPr>
  </w:style>
  <w:style w:type="paragraph" w:customStyle="1" w:styleId="70">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1">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72">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73">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4">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5">
    <w:name w:val="列出段落1"/>
    <w:basedOn w:val="1"/>
    <w:qFormat/>
    <w:uiPriority w:val="0"/>
    <w:pPr>
      <w:ind w:firstLine="420" w:firstLineChars="200"/>
    </w:pPr>
    <w:rPr>
      <w:rFonts w:ascii="Calibri" w:hAnsi="Calibri"/>
      <w:szCs w:val="21"/>
    </w:rPr>
  </w:style>
  <w:style w:type="paragraph" w:customStyle="1" w:styleId="76">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77">
    <w:name w:val="Char1 Char Char Char"/>
    <w:basedOn w:val="1"/>
    <w:qFormat/>
    <w:uiPriority w:val="0"/>
    <w:pPr>
      <w:ind w:left="420" w:hanging="420"/>
    </w:pPr>
    <w:rPr>
      <w:sz w:val="24"/>
    </w:rPr>
  </w:style>
  <w:style w:type="paragraph" w:customStyle="1" w:styleId="78">
    <w:name w:val="_Style 1"/>
    <w:basedOn w:val="1"/>
    <w:qFormat/>
    <w:uiPriority w:val="99"/>
    <w:pPr>
      <w:ind w:firstLine="420" w:firstLineChars="200"/>
    </w:pPr>
  </w:style>
  <w:style w:type="paragraph" w:customStyle="1" w:styleId="79">
    <w:name w:val="样式2"/>
    <w:basedOn w:val="1"/>
    <w:qFormat/>
    <w:uiPriority w:val="0"/>
    <w:rPr>
      <w:b/>
      <w:sz w:val="24"/>
    </w:rPr>
  </w:style>
  <w:style w:type="paragraph" w:customStyle="1" w:styleId="80">
    <w:name w:val="_Style 78"/>
    <w:unhideWhenUsed/>
    <w:qFormat/>
    <w:uiPriority w:val="99"/>
    <w:rPr>
      <w:rFonts w:ascii="Times New Roman" w:hAnsi="Times New Roman" w:eastAsia="宋体" w:cs="Times New Roman"/>
      <w:kern w:val="2"/>
      <w:sz w:val="21"/>
      <w:szCs w:val="24"/>
      <w:lang w:val="en-US" w:eastAsia="zh-CN" w:bidi="ar-SA"/>
    </w:rPr>
  </w:style>
  <w:style w:type="paragraph" w:customStyle="1" w:styleId="81">
    <w:name w:val="图"/>
    <w:basedOn w:val="1"/>
    <w:link w:val="93"/>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2">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3">
    <w:name w:val="Char"/>
    <w:basedOn w:val="1"/>
    <w:qFormat/>
    <w:uiPriority w:val="0"/>
    <w:pPr>
      <w:tabs>
        <w:tab w:val="left" w:pos="0"/>
      </w:tabs>
      <w:ind w:left="964" w:hanging="964"/>
    </w:pPr>
    <w:rPr>
      <w:sz w:val="24"/>
    </w:rPr>
  </w:style>
  <w:style w:type="paragraph" w:styleId="84">
    <w:name w:val="List Paragraph"/>
    <w:basedOn w:val="1"/>
    <w:qFormat/>
    <w:uiPriority w:val="34"/>
    <w:pPr>
      <w:spacing w:line="0" w:lineRule="atLeast"/>
      <w:ind w:firstLine="420" w:firstLineChars="200"/>
    </w:pPr>
    <w:rPr>
      <w:rFonts w:ascii="Arial Unicode MS" w:hAnsi="Arial Unicode MS" w:eastAsia="微软雅黑"/>
    </w:rPr>
  </w:style>
  <w:style w:type="paragraph" w:customStyle="1" w:styleId="85">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86">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88">
    <w:name w:val="hwyang"/>
    <w:basedOn w:val="1"/>
    <w:qFormat/>
    <w:uiPriority w:val="0"/>
    <w:pPr>
      <w:widowControl/>
      <w:spacing w:line="360" w:lineRule="auto"/>
      <w:ind w:firstLine="480" w:firstLineChars="200"/>
      <w:jc w:val="left"/>
    </w:pPr>
    <w:rPr>
      <w:kern w:val="0"/>
      <w:sz w:val="24"/>
      <w:szCs w:val="20"/>
    </w:rPr>
  </w:style>
  <w:style w:type="paragraph" w:customStyle="1" w:styleId="89">
    <w:name w:val="列表段落1"/>
    <w:basedOn w:val="1"/>
    <w:qFormat/>
    <w:uiPriority w:val="0"/>
    <w:pPr>
      <w:ind w:firstLine="420" w:firstLineChars="200"/>
    </w:pPr>
    <w:rPr>
      <w:rFonts w:ascii="Calibri" w:hAnsi="Calibri"/>
      <w:szCs w:val="21"/>
    </w:rPr>
  </w:style>
  <w:style w:type="paragraph" w:customStyle="1" w:styleId="90">
    <w:name w:val="正文_0_1"/>
    <w:basedOn w:val="1"/>
    <w:qFormat/>
    <w:uiPriority w:val="0"/>
    <w:pPr>
      <w:spacing w:line="360" w:lineRule="auto"/>
    </w:pPr>
    <w:rPr>
      <w:rFonts w:ascii="Calibri" w:hAnsi="Calibri" w:eastAsia="仿宋" w:cs="宋体"/>
      <w:sz w:val="28"/>
      <w:szCs w:val="28"/>
    </w:rPr>
  </w:style>
  <w:style w:type="paragraph" w:customStyle="1" w:styleId="91">
    <w:name w:val="￥正文"/>
    <w:basedOn w:val="1"/>
    <w:qFormat/>
    <w:uiPriority w:val="0"/>
    <w:pPr>
      <w:spacing w:line="360" w:lineRule="auto"/>
    </w:pPr>
    <w:rPr>
      <w:rFonts w:ascii="Calibri" w:hAnsi="Calibri"/>
      <w:kern w:val="0"/>
      <w:sz w:val="24"/>
      <w:szCs w:val="20"/>
    </w:rPr>
  </w:style>
  <w:style w:type="paragraph" w:customStyle="1" w:styleId="9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3">
    <w:name w:val="图 Char Char"/>
    <w:link w:val="81"/>
    <w:qFormat/>
    <w:locked/>
    <w:uiPriority w:val="0"/>
    <w:rPr>
      <w:rFonts w:ascii="Times New Roman" w:hAnsi="Times New Roman"/>
      <w:snapToGrid w:val="0"/>
      <w:spacing w:val="20"/>
      <w:sz w:val="24"/>
    </w:rPr>
  </w:style>
  <w:style w:type="paragraph" w:customStyle="1" w:styleId="94">
    <w:name w:val="目次、索引正文"/>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5">
    <w:name w:val="正文_1"/>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7">
    <w:name w:val="正文_0"/>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8">
    <w:name w:val="List Paragraph Char"/>
    <w:qFormat/>
    <w:locked/>
    <w:uiPriority w:val="99"/>
    <w:rPr>
      <w:kern w:val="0"/>
      <w:sz w:val="20"/>
      <w:szCs w:val="20"/>
    </w:rPr>
  </w:style>
  <w:style w:type="paragraph" w:customStyle="1" w:styleId="99">
    <w:name w:val="_正文段落"/>
    <w:basedOn w:val="1"/>
    <w:link w:val="100"/>
    <w:qFormat/>
    <w:uiPriority w:val="0"/>
    <w:pPr>
      <w:spacing w:beforeLines="15" w:afterLines="15" w:line="360" w:lineRule="auto"/>
      <w:ind w:firstLine="200" w:firstLineChars="200"/>
    </w:pPr>
    <w:rPr>
      <w:sz w:val="24"/>
    </w:rPr>
  </w:style>
  <w:style w:type="character" w:customStyle="1" w:styleId="100">
    <w:name w:val="_正文段落 Char"/>
    <w:link w:val="99"/>
    <w:qFormat/>
    <w:uiPriority w:val="0"/>
    <w:rPr>
      <w:rFonts w:ascii="Times New Roman" w:hAnsi="Times New Roman"/>
      <w:kern w:val="2"/>
      <w:sz w:val="24"/>
      <w:szCs w:val="24"/>
    </w:rPr>
  </w:style>
  <w:style w:type="paragraph" w:customStyle="1" w:styleId="101">
    <w:name w:val="[CMM]正文"/>
    <w:basedOn w:val="1"/>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91A13C-FD2B-4110-A175-6BA9835C935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29</Pages>
  <Words>7997</Words>
  <Characters>8263</Characters>
  <Lines>72</Lines>
  <Paragraphs>20</Paragraphs>
  <TotalTime>20</TotalTime>
  <ScaleCrop>false</ScaleCrop>
  <LinksUpToDate>false</LinksUpToDate>
  <CharactersWithSpaces>8830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2019-10-10T02:43:00Z</dcterms:created>
  <dc:creator>招投标中心</dc:creator>
  <cp:lastModifiedBy>吴薇</cp:lastModifiedBy>
  <cp:lastPrinted>2022-01-21T10:35:00Z</cp:lastPrinted>
  <dcterms:modified xsi:type="dcterms:W3CDTF">2023-12-14T06:15:48Z</dcterms:modified>
  <cp:revision>942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9169E81E4F7941EF8C5E6BF3668AC2DD_13</vt:lpwstr>
  </property>
</Properties>
</file>