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361" w:firstLineChars="100"/>
        <w:rPr>
          <w:rFonts w:ascii="宋体" w:hAnsi="宋体"/>
          <w:b/>
          <w:sz w:val="32"/>
          <w:u w:val="single"/>
        </w:rPr>
      </w:pPr>
      <w:r>
        <w:rPr>
          <w:rFonts w:hint="eastAsia"/>
          <w:b/>
          <w:sz w:val="36"/>
        </w:rPr>
        <w:t>项目</w:t>
      </w:r>
      <w:r>
        <w:rPr>
          <w:rFonts w:hint="eastAsia"/>
          <w:b/>
          <w:sz w:val="36"/>
          <w:szCs w:val="36"/>
        </w:rPr>
        <w:t>名称</w:t>
      </w:r>
      <w:r>
        <w:rPr>
          <w:b/>
          <w:sz w:val="36"/>
        </w:rPr>
        <w:t>:</w:t>
      </w:r>
      <w:r>
        <w:rPr>
          <w:rFonts w:hint="eastAsia"/>
          <w:b/>
          <w:sz w:val="36"/>
        </w:rPr>
        <w:t xml:space="preserve"> </w:t>
      </w:r>
      <w:r>
        <w:rPr>
          <w:rFonts w:hint="eastAsia" w:ascii="宋体" w:hAnsi="宋体"/>
          <w:b/>
          <w:sz w:val="36"/>
          <w:u w:val="single"/>
        </w:rPr>
        <w:t xml:space="preserve"> </w:t>
      </w:r>
      <w:r>
        <w:rPr>
          <w:rFonts w:hint="eastAsia" w:ascii="宋体" w:hAnsi="宋体"/>
          <w:b/>
          <w:sz w:val="32"/>
          <w:u w:val="single"/>
        </w:rPr>
        <w:t>广财网络教学平台系统运行保障及优化服务</w:t>
      </w:r>
    </w:p>
    <w:p>
      <w:pPr>
        <w:spacing w:line="760" w:lineRule="exact"/>
        <w:ind w:firstLine="361" w:firstLineChars="1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            </w:t>
      </w:r>
    </w:p>
    <w:p>
      <w:pPr>
        <w:spacing w:line="760" w:lineRule="exact"/>
        <w:ind w:firstLine="361" w:firstLineChars="1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2023.0</w:t>
      </w:r>
      <w:r>
        <w:rPr>
          <w:rFonts w:hint="eastAsia" w:ascii="宋体" w:hAnsi="宋体"/>
          <w:b/>
          <w:sz w:val="36"/>
          <w:u w:val="single"/>
        </w:rPr>
        <w:t>5</w:t>
      </w:r>
      <w:r>
        <w:rPr>
          <w:rFonts w:ascii="宋体" w:hAnsi="宋体"/>
          <w:b/>
          <w:sz w:val="36"/>
          <w:u w:val="single"/>
        </w:rPr>
        <w:t>.</w:t>
      </w:r>
      <w:r>
        <w:rPr>
          <w:rFonts w:hint="eastAsia" w:ascii="宋体" w:hAnsi="宋体"/>
          <w:b/>
          <w:sz w:val="36"/>
          <w:u w:val="single"/>
          <w:lang w:val="en-US" w:eastAsia="zh-CN"/>
        </w:rPr>
        <w:t>30</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广财网络教学平台基于Blackboard构建而成的，是支持广东财经大学教师开展混合式教学实践的重要信息化平台，目前平台注册学生24000多人，教师用户1500多人，已建课程空间1700多个，教学资源总量超过5TB，由于上一年度的运行保障合同即将到期，现计划采购下一年度的运行保障和插件升级服务。</w:t>
      </w:r>
    </w:p>
    <w:p>
      <w:pPr>
        <w:spacing w:line="560" w:lineRule="exact"/>
        <w:ind w:firstLine="560" w:firstLineChars="200"/>
        <w:rPr>
          <w:rFonts w:ascii="宋体" w:hAnsi="宋体"/>
          <w:sz w:val="28"/>
          <w:szCs w:val="28"/>
        </w:rPr>
      </w:pPr>
      <w:r>
        <w:rPr>
          <w:rFonts w:hint="eastAsia" w:ascii="宋体" w:hAnsi="宋体"/>
          <w:sz w:val="28"/>
          <w:szCs w:val="28"/>
        </w:rPr>
        <w:t>本次项目针对广财网络教学平台购买运维服务，确保发现问题及时处理，保障平台的持续可用性。</w:t>
      </w:r>
    </w:p>
    <w:p>
      <w:pPr>
        <w:spacing w:line="560" w:lineRule="exact"/>
        <w:ind w:firstLine="560" w:firstLineChars="200"/>
        <w:rPr>
          <w:rFonts w:ascii="宋体" w:hAnsi="宋体"/>
          <w:sz w:val="28"/>
          <w:szCs w:val="28"/>
        </w:rPr>
      </w:pPr>
      <w:r>
        <w:rPr>
          <w:rFonts w:hint="eastAsia" w:ascii="宋体" w:hAnsi="宋体"/>
          <w:sz w:val="28"/>
          <w:szCs w:val="28"/>
        </w:rPr>
        <w:t>本项目采购预算控制价8.8万元，</w:t>
      </w:r>
      <w:r>
        <w:rPr>
          <w:rFonts w:ascii="宋体" w:hAnsi="宋体"/>
          <w:sz w:val="28"/>
          <w:szCs w:val="28"/>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spacing w:line="560" w:lineRule="exact"/>
        <w:ind w:firstLine="420" w:firstLineChars="150"/>
        <w:rPr>
          <w:rFonts w:ascii="宋体" w:hAnsi="宋体"/>
          <w:sz w:val="28"/>
          <w:szCs w:val="28"/>
        </w:rPr>
      </w:pPr>
      <w:r>
        <w:rPr>
          <w:rFonts w:hint="eastAsia" w:ascii="宋体" w:hAnsi="宋体"/>
          <w:sz w:val="28"/>
          <w:szCs w:val="28"/>
        </w:rPr>
        <w:t>3.定标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2"/>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sz w:val="24"/>
              </w:rPr>
            </w:pPr>
            <w:r>
              <w:rPr>
                <w:rFonts w:hint="eastAsia"/>
                <w:color w:val="000000"/>
                <w:sz w:val="24"/>
              </w:rPr>
              <w:t>报价</w:t>
            </w:r>
          </w:p>
          <w:p>
            <w:pPr>
              <w:jc w:val="center"/>
              <w:rPr>
                <w:color w:val="000000"/>
                <w:sz w:val="24"/>
              </w:rPr>
            </w:pPr>
            <w:r>
              <w:rPr>
                <w:rFonts w:hint="eastAsia"/>
                <w:color w:val="000000"/>
                <w:sz w:val="24"/>
              </w:rPr>
              <w:t>（采用低价优先法）</w:t>
            </w:r>
          </w:p>
        </w:tc>
        <w:tc>
          <w:tcPr>
            <w:tcW w:w="1080" w:type="dxa"/>
            <w:noWrap/>
            <w:vAlign w:val="center"/>
          </w:tcPr>
          <w:p>
            <w:pPr>
              <w:jc w:val="center"/>
              <w:rPr>
                <w:color w:val="000000"/>
                <w:sz w:val="24"/>
              </w:rPr>
            </w:pPr>
            <w:r>
              <w:rPr>
                <w:rFonts w:hint="eastAsia"/>
                <w:color w:val="000000"/>
                <w:sz w:val="24"/>
              </w:rPr>
              <w:t>20</w:t>
            </w:r>
          </w:p>
        </w:tc>
        <w:tc>
          <w:tcPr>
            <w:tcW w:w="5400" w:type="dxa"/>
            <w:noWrap/>
            <w:vAlign w:val="center"/>
          </w:tcPr>
          <w:p>
            <w:pPr>
              <w:ind w:left="-2" w:leftChars="-1"/>
              <w:rPr>
                <w:color w:val="000000"/>
                <w:sz w:val="24"/>
              </w:rPr>
            </w:pPr>
            <w:r>
              <w:rPr>
                <w:color w:val="000000"/>
                <w:sz w:val="24"/>
              </w:rPr>
              <w:t>满足</w:t>
            </w:r>
            <w:r>
              <w:rPr>
                <w:rFonts w:hint="eastAsia"/>
                <w:color w:val="000000"/>
                <w:sz w:val="24"/>
              </w:rPr>
              <w:t>采购书</w:t>
            </w:r>
            <w:r>
              <w:rPr>
                <w:color w:val="000000"/>
                <w:sz w:val="24"/>
              </w:rPr>
              <w:t>要求且</w:t>
            </w:r>
            <w:r>
              <w:rPr>
                <w:rFonts w:hint="eastAsia"/>
                <w:color w:val="000000"/>
                <w:sz w:val="24"/>
              </w:rPr>
              <w:t>最终报价</w:t>
            </w:r>
            <w:r>
              <w:rPr>
                <w:color w:val="000000"/>
                <w:sz w:val="24"/>
              </w:rPr>
              <w:t>最低为评标基准价，其价格分为满分，其他</w:t>
            </w:r>
            <w:r>
              <w:rPr>
                <w:rFonts w:hint="eastAsia"/>
                <w:color w:val="000000"/>
                <w:sz w:val="24"/>
              </w:rPr>
              <w:t>报价人</w:t>
            </w:r>
            <w:r>
              <w:rPr>
                <w:color w:val="000000"/>
                <w:sz w:val="24"/>
              </w:rPr>
              <w:t>的价格分按</w:t>
            </w:r>
            <w:r>
              <w:rPr>
                <w:rFonts w:hint="eastAsia"/>
                <w:color w:val="000000"/>
                <w:sz w:val="24"/>
              </w:rPr>
              <w:t>以</w:t>
            </w:r>
            <w:r>
              <w:rPr>
                <w:color w:val="000000"/>
                <w:sz w:val="24"/>
              </w:rPr>
              <w:t>下公式计算：</w:t>
            </w:r>
            <w:r>
              <w:rPr>
                <w:rFonts w:hint="eastAsia"/>
                <w:color w:val="000000"/>
                <w:sz w:val="24"/>
              </w:rPr>
              <w:t>报价</w:t>
            </w:r>
            <w:r>
              <w:rPr>
                <w:color w:val="000000"/>
                <w:sz w:val="24"/>
              </w:rPr>
              <w:t>得分＝（评标基准价/</w:t>
            </w:r>
            <w:r>
              <w:rPr>
                <w:rFonts w:hint="eastAsia"/>
                <w:color w:val="000000"/>
                <w:sz w:val="24"/>
              </w:rPr>
              <w:t>最终</w:t>
            </w:r>
            <w:r>
              <w:rPr>
                <w:color w:val="000000"/>
                <w:sz w:val="24"/>
              </w:rPr>
              <w:t>报价）×</w:t>
            </w:r>
            <w:r>
              <w:rPr>
                <w:rFonts w:hint="eastAsia"/>
                <w:color w:val="000000"/>
                <w:sz w:val="24"/>
              </w:rPr>
              <w:t>20（取小数点后二位）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rPr>
                <w:sz w:val="24"/>
              </w:rPr>
            </w:pPr>
            <w:r>
              <w:rPr>
                <w:rFonts w:hint="eastAsia"/>
                <w:sz w:val="24"/>
              </w:rPr>
              <w:t>技术响应情况</w:t>
            </w:r>
          </w:p>
        </w:tc>
        <w:tc>
          <w:tcPr>
            <w:tcW w:w="1080" w:type="dxa"/>
            <w:noWrap/>
            <w:vAlign w:val="center"/>
          </w:tcPr>
          <w:p>
            <w:pPr>
              <w:jc w:val="center"/>
              <w:rPr>
                <w:sz w:val="24"/>
              </w:rPr>
            </w:pPr>
            <w:r>
              <w:rPr>
                <w:rFonts w:hint="eastAsia"/>
                <w:sz w:val="24"/>
              </w:rPr>
              <w:t>45</w:t>
            </w:r>
          </w:p>
        </w:tc>
        <w:tc>
          <w:tcPr>
            <w:tcW w:w="5400" w:type="dxa"/>
            <w:noWrap/>
            <w:vAlign w:val="center"/>
          </w:tcPr>
          <w:p>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考查有效供应商投标产品的技术参数响应程度：</w:t>
            </w:r>
          </w:p>
          <w:p>
            <w:pP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w:t>
            </w:r>
            <w:r>
              <w:rPr>
                <w:rFonts w:hint="eastAsia"/>
                <w:color w:val="000000" w:themeColor="text1"/>
                <w:sz w:val="24"/>
                <w:szCs w:val="21"/>
                <w14:textFill>
                  <w14:solidFill>
                    <w14:schemeClr w14:val="tx1"/>
                  </w14:solidFill>
                </w14:textFill>
              </w:rPr>
              <w:t xml:space="preserve">条带“★”号技术参数，为“实质性响应指标”。“实质性响应指标”不允许“负偏离”，否则报价无效；“非实质性响应指标”允许“负偏离”，但不能超出偏离范围，否则报价无效 </w:t>
            </w:r>
          </w:p>
          <w:p>
            <w:pPr>
              <w:rPr>
                <w:color w:val="FF0000"/>
                <w:sz w:val="24"/>
                <w:szCs w:val="21"/>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条带“▲”号技术参数，完全满足一条得15分，基本满足一条得10分。最高得45分。</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rPr>
                <w:sz w:val="24"/>
              </w:rPr>
            </w:pPr>
            <w:r>
              <w:rPr>
                <w:rFonts w:hint="eastAsia"/>
                <w:sz w:val="24"/>
              </w:rPr>
              <w:t>服务方案情况</w:t>
            </w:r>
          </w:p>
        </w:tc>
        <w:tc>
          <w:tcPr>
            <w:tcW w:w="1080" w:type="dxa"/>
            <w:noWrap/>
            <w:vAlign w:val="center"/>
          </w:tcPr>
          <w:p>
            <w:pPr>
              <w:jc w:val="center"/>
              <w:rPr>
                <w:sz w:val="24"/>
              </w:rPr>
            </w:pPr>
            <w:r>
              <w:rPr>
                <w:rFonts w:hint="eastAsia"/>
                <w:sz w:val="24"/>
              </w:rPr>
              <w:t>10</w:t>
            </w:r>
          </w:p>
        </w:tc>
        <w:tc>
          <w:tcPr>
            <w:tcW w:w="5400" w:type="dxa"/>
            <w:noWrap/>
            <w:vAlign w:val="center"/>
          </w:tcPr>
          <w:p>
            <w:pPr>
              <w:rPr>
                <w:color w:val="FF0000"/>
                <w:sz w:val="24"/>
                <w:szCs w:val="21"/>
              </w:rPr>
            </w:pPr>
            <w:r>
              <w:rPr>
                <w:rFonts w:hint="eastAsia"/>
                <w:sz w:val="24"/>
              </w:rPr>
              <w:t>对报价人提供的服务方案进行评估，对方案中本项目组织实施安排的合理性、完整性、可行性进行打分：方案制定合理、完整详实、可行性高，完全满足且优于用户需求，得10分；方案制定基本合理、基本完整、可行性一般，完全满足用户需求，得6分；方案制定合理性差、不完整、可行性差，不完全满足用户需求，得2分。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rPr>
                <w:sz w:val="24"/>
              </w:rPr>
            </w:pPr>
            <w:r>
              <w:rPr>
                <w:rFonts w:hint="eastAsia"/>
                <w:sz w:val="24"/>
              </w:rPr>
              <w:t>运维管理</w:t>
            </w:r>
          </w:p>
        </w:tc>
        <w:tc>
          <w:tcPr>
            <w:tcW w:w="1080" w:type="dxa"/>
            <w:noWrap/>
            <w:vAlign w:val="center"/>
          </w:tcPr>
          <w:p>
            <w:pPr>
              <w:jc w:val="center"/>
              <w:rPr>
                <w:sz w:val="24"/>
              </w:rPr>
            </w:pPr>
            <w:r>
              <w:rPr>
                <w:rFonts w:hint="eastAsia"/>
                <w:sz w:val="24"/>
              </w:rPr>
              <w:t>5</w:t>
            </w:r>
          </w:p>
        </w:tc>
        <w:tc>
          <w:tcPr>
            <w:tcW w:w="5400" w:type="dxa"/>
            <w:noWrap/>
            <w:vAlign w:val="center"/>
          </w:tcPr>
          <w:p>
            <w:pPr>
              <w:rPr>
                <w:color w:val="FF0000"/>
                <w:sz w:val="24"/>
                <w:szCs w:val="21"/>
              </w:rPr>
            </w:pPr>
            <w:r>
              <w:rPr>
                <w:rFonts w:hint="eastAsia"/>
                <w:sz w:val="24"/>
              </w:rPr>
              <w:t>报价人应具备良好的运维管理能力，有在用的运维管理平台，需提供相同类目运维报告，满足得5分。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rPr>
                <w:sz w:val="24"/>
              </w:rPr>
            </w:pPr>
            <w:r>
              <w:rPr>
                <w:rFonts w:hint="eastAsia"/>
                <w:sz w:val="24"/>
              </w:rPr>
              <w:t>服务承诺</w:t>
            </w:r>
          </w:p>
        </w:tc>
        <w:tc>
          <w:tcPr>
            <w:tcW w:w="1080" w:type="dxa"/>
            <w:noWrap/>
            <w:vAlign w:val="center"/>
          </w:tcPr>
          <w:p>
            <w:pPr>
              <w:jc w:val="center"/>
              <w:rPr>
                <w:sz w:val="24"/>
              </w:rPr>
            </w:pPr>
            <w:r>
              <w:rPr>
                <w:rFonts w:hint="eastAsia"/>
                <w:sz w:val="24"/>
              </w:rPr>
              <w:t>10</w:t>
            </w:r>
          </w:p>
        </w:tc>
        <w:tc>
          <w:tcPr>
            <w:tcW w:w="5400" w:type="dxa"/>
            <w:noWrap/>
            <w:vAlign w:val="center"/>
          </w:tcPr>
          <w:p>
            <w:pPr>
              <w:rPr>
                <w:color w:val="FF0000"/>
                <w:sz w:val="24"/>
              </w:rPr>
            </w:pPr>
            <w:r>
              <w:rPr>
                <w:color w:val="000000" w:themeColor="text1"/>
                <w:sz w:val="24"/>
                <w:szCs w:val="21"/>
                <w14:textFill>
                  <w14:solidFill>
                    <w14:schemeClr w14:val="tx1"/>
                  </w14:solidFill>
                </w14:textFill>
              </w:rPr>
              <w:t>根据</w:t>
            </w:r>
            <w:r>
              <w:rPr>
                <w:rFonts w:hint="eastAsia"/>
                <w:color w:val="000000" w:themeColor="text1"/>
                <w:sz w:val="24"/>
                <w:szCs w:val="21"/>
                <w14:textFill>
                  <w14:solidFill>
                    <w14:schemeClr w14:val="tx1"/>
                  </w14:solidFill>
                </w14:textFill>
              </w:rPr>
              <w:t>对</w:t>
            </w:r>
            <w:r>
              <w:rPr>
                <w:color w:val="000000" w:themeColor="text1"/>
                <w:sz w:val="24"/>
                <w:szCs w:val="21"/>
                <w14:textFill>
                  <w14:solidFill>
                    <w14:schemeClr w14:val="tx1"/>
                  </w14:solidFill>
                </w14:textFill>
              </w:rPr>
              <w:t>产品故障报修的响应时间、处理速度、定期巡检以及技术支持、软件升级、技术培训等服务</w:t>
            </w:r>
            <w:r>
              <w:rPr>
                <w:color w:val="000000" w:themeColor="text1"/>
                <w:sz w:val="24"/>
                <w14:textFill>
                  <w14:solidFill>
                    <w14:schemeClr w14:val="tx1"/>
                  </w14:solidFill>
                </w14:textFill>
              </w:rPr>
              <w:t>承诺</w:t>
            </w:r>
            <w:r>
              <w:rPr>
                <w:rFonts w:hint="eastAsia"/>
                <w:color w:val="000000" w:themeColor="text1"/>
                <w:sz w:val="24"/>
                <w14:textFill>
                  <w14:solidFill>
                    <w14:schemeClr w14:val="tx1"/>
                  </w14:solidFill>
                </w14:textFill>
              </w:rPr>
              <w:t>进行评价，</w:t>
            </w:r>
            <w:r>
              <w:rPr>
                <w:color w:val="000000" w:themeColor="text1"/>
                <w:sz w:val="24"/>
                <w:szCs w:val="21"/>
                <w14:textFill>
                  <w14:solidFill>
                    <w14:schemeClr w14:val="tx1"/>
                  </w14:solidFill>
                </w14:textFill>
              </w:rPr>
              <w:t>评价好得</w:t>
            </w:r>
            <w:r>
              <w:rPr>
                <w:color w:val="000000" w:themeColor="text1"/>
                <w:sz w:val="24"/>
                <w14:textFill>
                  <w14:solidFill>
                    <w14:schemeClr w14:val="tx1"/>
                  </w14:solidFill>
                </w14:textFill>
              </w:rPr>
              <w:t>10</w:t>
            </w:r>
            <w:r>
              <w:rPr>
                <w:color w:val="000000" w:themeColor="text1"/>
                <w:sz w:val="24"/>
                <w:szCs w:val="21"/>
                <w14:textFill>
                  <w14:solidFill>
                    <w14:schemeClr w14:val="tx1"/>
                  </w14:solidFill>
                </w14:textFill>
              </w:rPr>
              <w:t>分；评价较好得</w:t>
            </w:r>
            <w:r>
              <w:rPr>
                <w:color w:val="000000" w:themeColor="text1"/>
                <w:sz w:val="24"/>
                <w14:textFill>
                  <w14:solidFill>
                    <w14:schemeClr w14:val="tx1"/>
                  </w14:solidFill>
                </w14:textFill>
              </w:rPr>
              <w:t>7</w:t>
            </w:r>
            <w:r>
              <w:rPr>
                <w:color w:val="000000" w:themeColor="text1"/>
                <w:sz w:val="24"/>
                <w:szCs w:val="21"/>
                <w14:textFill>
                  <w14:solidFill>
                    <w14:schemeClr w14:val="tx1"/>
                  </w14:solidFill>
                </w14:textFill>
              </w:rPr>
              <w:t>分；评价一般得</w:t>
            </w:r>
            <w:r>
              <w:rPr>
                <w:color w:val="000000" w:themeColor="text1"/>
                <w:sz w:val="24"/>
                <w14:textFill>
                  <w14:solidFill>
                    <w14:schemeClr w14:val="tx1"/>
                  </w14:solidFill>
                </w14:textFill>
              </w:rPr>
              <w:t>5</w:t>
            </w:r>
            <w:r>
              <w:rPr>
                <w:color w:val="000000" w:themeColor="text1"/>
                <w:sz w:val="24"/>
                <w:szCs w:val="21"/>
                <w14:textFill>
                  <w14:solidFill>
                    <w14:schemeClr w14:val="tx1"/>
                  </w14:solidFill>
                </w14:textFill>
              </w:rPr>
              <w:t>分</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rPr>
                <w:sz w:val="24"/>
              </w:rPr>
            </w:pPr>
            <w:r>
              <w:rPr>
                <w:rFonts w:hint="eastAsia"/>
                <w:sz w:val="24"/>
              </w:rPr>
              <w:t>业   绩</w:t>
            </w:r>
          </w:p>
        </w:tc>
        <w:tc>
          <w:tcPr>
            <w:tcW w:w="1080" w:type="dxa"/>
            <w:noWrap/>
            <w:vAlign w:val="center"/>
          </w:tcPr>
          <w:p>
            <w:pPr>
              <w:jc w:val="center"/>
              <w:rPr>
                <w:sz w:val="24"/>
              </w:rPr>
            </w:pPr>
            <w:r>
              <w:rPr>
                <w:rFonts w:hint="eastAsia"/>
                <w:sz w:val="24"/>
              </w:rPr>
              <w:t xml:space="preserve">10 </w:t>
            </w:r>
          </w:p>
        </w:tc>
        <w:tc>
          <w:tcPr>
            <w:tcW w:w="5400" w:type="dxa"/>
            <w:noWrap/>
            <w:vAlign w:val="center"/>
          </w:tcPr>
          <w:p>
            <w:pPr>
              <w:rPr>
                <w:color w:val="FF0000"/>
                <w:sz w:val="24"/>
              </w:rPr>
            </w:pPr>
            <w:r>
              <w:rPr>
                <w:rFonts w:hint="eastAsia"/>
                <w:sz w:val="24"/>
              </w:rPr>
              <w:t>报价人近</w:t>
            </w:r>
            <w:r>
              <w:rPr>
                <w:sz w:val="24"/>
              </w:rPr>
              <w:t>2</w:t>
            </w:r>
            <w:r>
              <w:rPr>
                <w:rFonts w:hint="eastAsia"/>
                <w:sz w:val="24"/>
              </w:rPr>
              <w:t>年来完成的同类运维项目经验，每个</w:t>
            </w:r>
            <w:r>
              <w:rPr>
                <w:sz w:val="24"/>
              </w:rPr>
              <w:t>5</w:t>
            </w:r>
            <w:r>
              <w:rPr>
                <w:rFonts w:hint="eastAsia"/>
                <w:sz w:val="24"/>
              </w:rPr>
              <w:t>分，满分10分。提供合同首页、盖章页扫描件，以合同签订时间为准。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 w:val="24"/>
                <w:szCs w:val="21"/>
              </w:rPr>
            </w:pPr>
            <w:r>
              <w:rPr>
                <w:rFonts w:hint="eastAsia"/>
                <w:sz w:val="24"/>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广财网络教学平台系统运行保障及优化服务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年</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p>
        </w:tc>
      </w:tr>
    </w:tbl>
    <w:p>
      <w:pPr>
        <w:numPr>
          <w:ilvl w:val="0"/>
          <w:numId w:val="3"/>
        </w:numPr>
        <w:spacing w:line="560" w:lineRule="exact"/>
        <w:ind w:firstLine="562" w:firstLineChars="200"/>
        <w:rPr>
          <w:rFonts w:ascii="宋体" w:hAnsi="宋体"/>
          <w:b/>
          <w:bCs/>
          <w:kern w:val="0"/>
          <w:sz w:val="28"/>
          <w:szCs w:val="28"/>
        </w:rPr>
      </w:pPr>
      <w:r>
        <w:rPr>
          <w:rFonts w:hint="eastAsia" w:ascii="宋体" w:hAnsi="宋体"/>
          <w:b/>
          <w:bCs/>
          <w:kern w:val="0"/>
          <w:sz w:val="28"/>
          <w:szCs w:val="28"/>
        </w:rPr>
        <w:t>具体技术指标及性能要求：</w:t>
      </w:r>
    </w:p>
    <w:tbl>
      <w:tblPr>
        <w:tblStyle w:val="28"/>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917"/>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78" w:type="dxa"/>
            <w:vAlign w:val="center"/>
          </w:tcPr>
          <w:p>
            <w:pPr>
              <w:spacing w:line="300" w:lineRule="auto"/>
              <w:jc w:val="center"/>
              <w:rPr>
                <w:kern w:val="0"/>
                <w:sz w:val="24"/>
              </w:rPr>
            </w:pPr>
            <w:r>
              <w:rPr>
                <w:rFonts w:hint="eastAsia"/>
                <w:kern w:val="0"/>
                <w:sz w:val="24"/>
              </w:rPr>
              <w:t>编号</w:t>
            </w:r>
          </w:p>
        </w:tc>
        <w:tc>
          <w:tcPr>
            <w:tcW w:w="1917" w:type="dxa"/>
            <w:vAlign w:val="center"/>
          </w:tcPr>
          <w:p>
            <w:pPr>
              <w:spacing w:line="300" w:lineRule="auto"/>
              <w:jc w:val="center"/>
              <w:rPr>
                <w:kern w:val="0"/>
                <w:sz w:val="24"/>
              </w:rPr>
            </w:pPr>
            <w:r>
              <w:rPr>
                <w:rFonts w:hint="eastAsia"/>
                <w:kern w:val="0"/>
                <w:sz w:val="24"/>
              </w:rPr>
              <w:t>服务名称</w:t>
            </w:r>
          </w:p>
        </w:tc>
        <w:tc>
          <w:tcPr>
            <w:tcW w:w="6557" w:type="dxa"/>
            <w:vAlign w:val="center"/>
          </w:tcPr>
          <w:p>
            <w:pPr>
              <w:spacing w:line="300" w:lineRule="auto"/>
              <w:jc w:val="center"/>
              <w:rPr>
                <w:kern w:val="0"/>
                <w:sz w:val="24"/>
              </w:rPr>
            </w:pPr>
            <w:r>
              <w:rPr>
                <w:rFonts w:hint="eastAsia"/>
                <w:kern w:val="0"/>
                <w:sz w:val="24"/>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S01</w:t>
            </w:r>
          </w:p>
        </w:tc>
        <w:tc>
          <w:tcPr>
            <w:tcW w:w="1917" w:type="dxa"/>
            <w:vAlign w:val="center"/>
          </w:tcPr>
          <w:p>
            <w:pPr>
              <w:spacing w:line="300" w:lineRule="auto"/>
              <w:jc w:val="center"/>
              <w:rPr>
                <w:kern w:val="0"/>
                <w:sz w:val="24"/>
              </w:rPr>
            </w:pPr>
            <w:r>
              <w:rPr>
                <w:rFonts w:hint="eastAsia"/>
                <w:kern w:val="0"/>
                <w:sz w:val="24"/>
              </w:rPr>
              <w:t>安装或重装迁移</w:t>
            </w:r>
          </w:p>
        </w:tc>
        <w:tc>
          <w:tcPr>
            <w:tcW w:w="6557" w:type="dxa"/>
            <w:vAlign w:val="center"/>
          </w:tcPr>
          <w:p>
            <w:pPr>
              <w:spacing w:line="300" w:lineRule="auto"/>
              <w:rPr>
                <w:kern w:val="0"/>
                <w:sz w:val="24"/>
              </w:rPr>
            </w:pPr>
            <w:r>
              <w:rPr>
                <w:rFonts w:hint="eastAsia"/>
                <w:kern w:val="0"/>
                <w:sz w:val="24"/>
              </w:rPr>
              <w:t>服务期内，根据用户需求，由工程师通过在线访问用户端指定服务器，完成Blackboard系统安装及相关数据迁移工作，具体内容包括：系统数据备份、新系统安装、数据迁移和恢复、提交系统迁移实施报告等；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S02</w:t>
            </w:r>
          </w:p>
        </w:tc>
        <w:tc>
          <w:tcPr>
            <w:tcW w:w="1917" w:type="dxa"/>
            <w:vAlign w:val="center"/>
          </w:tcPr>
          <w:p>
            <w:pPr>
              <w:spacing w:line="300" w:lineRule="auto"/>
              <w:jc w:val="center"/>
              <w:rPr>
                <w:kern w:val="0"/>
                <w:sz w:val="24"/>
              </w:rPr>
            </w:pPr>
            <w:r>
              <w:rPr>
                <w:rFonts w:hint="eastAsia"/>
                <w:kern w:val="0"/>
                <w:sz w:val="24"/>
              </w:rPr>
              <w:t>系统宕机处理服务</w:t>
            </w:r>
          </w:p>
        </w:tc>
        <w:tc>
          <w:tcPr>
            <w:tcW w:w="6557" w:type="dxa"/>
            <w:vAlign w:val="center"/>
          </w:tcPr>
          <w:p>
            <w:pPr>
              <w:spacing w:line="300" w:lineRule="auto"/>
              <w:rPr>
                <w:kern w:val="0"/>
                <w:sz w:val="24"/>
              </w:rPr>
            </w:pPr>
            <w:r>
              <w:rPr>
                <w:rFonts w:hint="eastAsia"/>
                <w:kern w:val="0"/>
                <w:sz w:val="24"/>
              </w:rPr>
              <w:t>法定工作时间，0.5小时内响应并着手处理宕机故障，确保系统尽快恢复正常运行，并向用户说明系统宕机原因，同时提醒用户需要采取的相关预防和防护措施；★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 xml:space="preserve"> S03</w:t>
            </w:r>
          </w:p>
        </w:tc>
        <w:tc>
          <w:tcPr>
            <w:tcW w:w="1917" w:type="dxa"/>
            <w:vAlign w:val="center"/>
          </w:tcPr>
          <w:p>
            <w:pPr>
              <w:spacing w:line="300" w:lineRule="auto"/>
              <w:jc w:val="center"/>
              <w:rPr>
                <w:kern w:val="0"/>
                <w:sz w:val="24"/>
              </w:rPr>
            </w:pPr>
            <w:r>
              <w:rPr>
                <w:rFonts w:hint="eastAsia"/>
                <w:kern w:val="0"/>
                <w:sz w:val="24"/>
              </w:rPr>
              <w:t>软硬件环境</w:t>
            </w:r>
          </w:p>
        </w:tc>
        <w:tc>
          <w:tcPr>
            <w:tcW w:w="6557" w:type="dxa"/>
            <w:vAlign w:val="center"/>
          </w:tcPr>
          <w:p>
            <w:pPr>
              <w:spacing w:line="300" w:lineRule="auto"/>
              <w:jc w:val="left"/>
              <w:rPr>
                <w:kern w:val="0"/>
                <w:sz w:val="24"/>
              </w:rPr>
            </w:pPr>
            <w:r>
              <w:rPr>
                <w:rFonts w:hint="eastAsia"/>
                <w:kern w:val="0"/>
                <w:sz w:val="24"/>
              </w:rPr>
              <w:t>为Blackboard平台运行所需的软硬件环境提供技术支持，分析并配合解决软硬件环境的技术问题；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S04</w:t>
            </w:r>
          </w:p>
        </w:tc>
        <w:tc>
          <w:tcPr>
            <w:tcW w:w="1917" w:type="dxa"/>
            <w:vAlign w:val="center"/>
          </w:tcPr>
          <w:p>
            <w:pPr>
              <w:spacing w:line="300" w:lineRule="auto"/>
              <w:jc w:val="center"/>
              <w:rPr>
                <w:kern w:val="0"/>
                <w:sz w:val="24"/>
              </w:rPr>
            </w:pPr>
            <w:r>
              <w:rPr>
                <w:rFonts w:hint="eastAsia"/>
                <w:kern w:val="0"/>
                <w:sz w:val="24"/>
              </w:rPr>
              <w:t>漏洞检测与修复</w:t>
            </w:r>
          </w:p>
        </w:tc>
        <w:tc>
          <w:tcPr>
            <w:tcW w:w="6557" w:type="dxa"/>
            <w:vAlign w:val="center"/>
          </w:tcPr>
          <w:p>
            <w:pPr>
              <w:spacing w:line="300" w:lineRule="auto"/>
              <w:rPr>
                <w:kern w:val="0"/>
                <w:sz w:val="24"/>
              </w:rPr>
            </w:pPr>
            <w:r>
              <w:rPr>
                <w:rFonts w:hint="eastAsia"/>
                <w:kern w:val="0"/>
                <w:sz w:val="24"/>
              </w:rPr>
              <w:t>分析与Blackboard平台相关安全检测报告并修复与平台软件相关的漏洞；▲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S05</w:t>
            </w:r>
          </w:p>
        </w:tc>
        <w:tc>
          <w:tcPr>
            <w:tcW w:w="1917" w:type="dxa"/>
            <w:vAlign w:val="center"/>
          </w:tcPr>
          <w:p>
            <w:pPr>
              <w:spacing w:line="300" w:lineRule="auto"/>
              <w:jc w:val="center"/>
              <w:rPr>
                <w:kern w:val="0"/>
                <w:sz w:val="24"/>
              </w:rPr>
            </w:pPr>
            <w:r>
              <w:rPr>
                <w:rFonts w:hint="eastAsia"/>
                <w:kern w:val="0"/>
                <w:sz w:val="24"/>
              </w:rPr>
              <w:t>教学班管理插件优化</w:t>
            </w:r>
          </w:p>
        </w:tc>
        <w:tc>
          <w:tcPr>
            <w:tcW w:w="6557" w:type="dxa"/>
            <w:vAlign w:val="center"/>
          </w:tcPr>
          <w:p>
            <w:pPr>
              <w:spacing w:line="300" w:lineRule="auto"/>
              <w:jc w:val="center"/>
              <w:rPr>
                <w:kern w:val="0"/>
                <w:sz w:val="24"/>
              </w:rPr>
            </w:pPr>
            <w:r>
              <w:rPr>
                <w:rFonts w:hint="eastAsia"/>
                <w:kern w:val="0"/>
                <w:sz w:val="24"/>
              </w:rPr>
              <w:t>拓展教学班小组插件功能，实现按教学班删除学生功能；</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S06</w:t>
            </w:r>
          </w:p>
        </w:tc>
        <w:tc>
          <w:tcPr>
            <w:tcW w:w="1917" w:type="dxa"/>
            <w:vAlign w:val="center"/>
          </w:tcPr>
          <w:p>
            <w:pPr>
              <w:spacing w:line="300" w:lineRule="auto"/>
              <w:rPr>
                <w:kern w:val="0"/>
                <w:sz w:val="24"/>
              </w:rPr>
            </w:pPr>
            <w:r>
              <w:rPr>
                <w:rFonts w:hint="eastAsia"/>
                <w:kern w:val="0"/>
                <w:sz w:val="24"/>
              </w:rPr>
              <w:t>门户首页定制</w:t>
            </w:r>
          </w:p>
        </w:tc>
        <w:tc>
          <w:tcPr>
            <w:tcW w:w="6557" w:type="dxa"/>
            <w:vAlign w:val="center"/>
          </w:tcPr>
          <w:p>
            <w:pPr>
              <w:spacing w:line="300" w:lineRule="auto"/>
              <w:rPr>
                <w:kern w:val="0"/>
                <w:sz w:val="24"/>
              </w:rPr>
            </w:pPr>
            <w:r>
              <w:rPr>
                <w:rFonts w:hint="eastAsia"/>
                <w:kern w:val="0"/>
                <w:sz w:val="24"/>
              </w:rPr>
              <w:t>在服务期内，提供校方需求，对门户首页进行定制化修改；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S07</w:t>
            </w:r>
          </w:p>
        </w:tc>
        <w:tc>
          <w:tcPr>
            <w:tcW w:w="1917" w:type="dxa"/>
            <w:vAlign w:val="center"/>
          </w:tcPr>
          <w:p>
            <w:pPr>
              <w:spacing w:line="300" w:lineRule="auto"/>
              <w:rPr>
                <w:kern w:val="0"/>
                <w:sz w:val="24"/>
              </w:rPr>
            </w:pPr>
            <w:r>
              <w:rPr>
                <w:rFonts w:hint="eastAsia"/>
                <w:kern w:val="0"/>
                <w:sz w:val="24"/>
              </w:rPr>
              <w:t>配合学校一体化建设</w:t>
            </w:r>
          </w:p>
        </w:tc>
        <w:tc>
          <w:tcPr>
            <w:tcW w:w="6557" w:type="dxa"/>
            <w:vAlign w:val="center"/>
          </w:tcPr>
          <w:p>
            <w:pPr>
              <w:spacing w:line="300" w:lineRule="auto"/>
              <w:rPr>
                <w:kern w:val="0"/>
                <w:sz w:val="24"/>
              </w:rPr>
            </w:pPr>
            <w:r>
              <w:rPr>
                <w:rFonts w:hint="eastAsia"/>
                <w:kern w:val="0"/>
                <w:sz w:val="24"/>
              </w:rPr>
              <w:t>全力配合学校“智慧教学一体化融合门户”建设，提供学校一体化数据对接所需的数据视图、查询语句及技术文档；▲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kern w:val="0"/>
                <w:sz w:val="24"/>
              </w:rPr>
              <w:t>S08</w:t>
            </w:r>
          </w:p>
        </w:tc>
        <w:tc>
          <w:tcPr>
            <w:tcW w:w="1917" w:type="dxa"/>
            <w:vAlign w:val="center"/>
          </w:tcPr>
          <w:p>
            <w:pPr>
              <w:spacing w:line="300" w:lineRule="auto"/>
              <w:jc w:val="center"/>
              <w:rPr>
                <w:kern w:val="0"/>
                <w:sz w:val="24"/>
              </w:rPr>
            </w:pPr>
            <w:r>
              <w:rPr>
                <w:rFonts w:hint="eastAsia"/>
                <w:kern w:val="0"/>
                <w:sz w:val="24"/>
              </w:rPr>
              <w:t>用户管理专责服务</w:t>
            </w:r>
          </w:p>
        </w:tc>
        <w:tc>
          <w:tcPr>
            <w:tcW w:w="6557" w:type="dxa"/>
            <w:vAlign w:val="center"/>
          </w:tcPr>
          <w:p>
            <w:pPr>
              <w:spacing w:line="300" w:lineRule="auto"/>
              <w:rPr>
                <w:kern w:val="0"/>
                <w:sz w:val="24"/>
              </w:rPr>
            </w:pPr>
            <w:r>
              <w:rPr>
                <w:rFonts w:hint="eastAsia"/>
                <w:kern w:val="0"/>
                <w:sz w:val="24"/>
              </w:rPr>
              <w:t>为用户设立专责的客户经理，负责建立和维护用户系统档案、了解用户产品应用需求、制定用户服务计划、监督服务执行、跟踪并改进服务质量、提交各类服务报告、处理投诉等；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S09</w:t>
            </w:r>
          </w:p>
        </w:tc>
        <w:tc>
          <w:tcPr>
            <w:tcW w:w="1917" w:type="dxa"/>
            <w:vAlign w:val="center"/>
          </w:tcPr>
          <w:p>
            <w:pPr>
              <w:spacing w:line="300" w:lineRule="auto"/>
              <w:rPr>
                <w:kern w:val="0"/>
                <w:sz w:val="24"/>
              </w:rPr>
            </w:pPr>
            <w:r>
              <w:rPr>
                <w:rFonts w:hint="eastAsia"/>
                <w:kern w:val="0"/>
                <w:sz w:val="24"/>
              </w:rPr>
              <w:t>应用技术支持</w:t>
            </w:r>
          </w:p>
        </w:tc>
        <w:tc>
          <w:tcPr>
            <w:tcW w:w="6557" w:type="dxa"/>
            <w:vAlign w:val="center"/>
          </w:tcPr>
          <w:p>
            <w:pPr>
              <w:spacing w:line="300" w:lineRule="auto"/>
              <w:rPr>
                <w:kern w:val="0"/>
                <w:sz w:val="24"/>
              </w:rPr>
            </w:pPr>
            <w:r>
              <w:rPr>
                <w:rFonts w:hint="eastAsia"/>
                <w:kern w:val="0"/>
                <w:sz w:val="24"/>
              </w:rPr>
              <w:t>安排人员加入我校专用的教师答疑QQ群、在工作日做到1小时内响应，帮助我校教师解决平台应用的相关技术问题。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S10</w:t>
            </w:r>
          </w:p>
        </w:tc>
        <w:tc>
          <w:tcPr>
            <w:tcW w:w="1917" w:type="dxa"/>
            <w:vAlign w:val="center"/>
          </w:tcPr>
          <w:p>
            <w:pPr>
              <w:spacing w:line="300" w:lineRule="auto"/>
              <w:jc w:val="left"/>
              <w:rPr>
                <w:kern w:val="0"/>
                <w:sz w:val="24"/>
              </w:rPr>
            </w:pPr>
            <w:r>
              <w:rPr>
                <w:rFonts w:hint="eastAsia"/>
                <w:kern w:val="0"/>
                <w:sz w:val="24"/>
              </w:rPr>
              <w:t>教师培训服务</w:t>
            </w:r>
          </w:p>
        </w:tc>
        <w:tc>
          <w:tcPr>
            <w:tcW w:w="6557" w:type="dxa"/>
            <w:vAlign w:val="center"/>
          </w:tcPr>
          <w:p>
            <w:pPr>
              <w:spacing w:line="300" w:lineRule="auto"/>
              <w:rPr>
                <w:kern w:val="0"/>
                <w:sz w:val="24"/>
              </w:rPr>
            </w:pPr>
            <w:r>
              <w:rPr>
                <w:rFonts w:hint="eastAsia"/>
                <w:kern w:val="0"/>
                <w:sz w:val="24"/>
              </w:rPr>
              <w:t>根据校方需求，服务期内提供5场以上专属现场或在线培训，培训内容包括基础功能和高级功能，如快速搭建课程、自评互评、闯关式教学的开展、利用平台开展在线考试、形成性评价的开展等。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S11</w:t>
            </w:r>
          </w:p>
        </w:tc>
        <w:tc>
          <w:tcPr>
            <w:tcW w:w="1917" w:type="dxa"/>
            <w:vAlign w:val="center"/>
          </w:tcPr>
          <w:p>
            <w:pPr>
              <w:spacing w:line="300" w:lineRule="auto"/>
              <w:jc w:val="center"/>
              <w:rPr>
                <w:kern w:val="0"/>
                <w:sz w:val="24"/>
              </w:rPr>
            </w:pPr>
            <w:r>
              <w:rPr>
                <w:rFonts w:hint="eastAsia"/>
                <w:kern w:val="0"/>
                <w:sz w:val="24"/>
              </w:rPr>
              <w:t>信息化助教服务</w:t>
            </w:r>
          </w:p>
        </w:tc>
        <w:tc>
          <w:tcPr>
            <w:tcW w:w="6557" w:type="dxa"/>
            <w:vAlign w:val="center"/>
          </w:tcPr>
          <w:p>
            <w:pPr>
              <w:spacing w:line="300" w:lineRule="auto"/>
              <w:rPr>
                <w:kern w:val="0"/>
                <w:sz w:val="24"/>
              </w:rPr>
            </w:pPr>
            <w:r>
              <w:rPr>
                <w:rFonts w:hint="eastAsia"/>
                <w:kern w:val="0"/>
                <w:sz w:val="24"/>
              </w:rPr>
              <w:t>为5名教师提供信息化助教服务，服务内容包括但不限于以下几个方面：</w:t>
            </w:r>
          </w:p>
          <w:p>
            <w:pPr>
              <w:spacing w:line="300" w:lineRule="auto"/>
              <w:rPr>
                <w:kern w:val="0"/>
                <w:sz w:val="24"/>
              </w:rPr>
            </w:pPr>
            <w:r>
              <w:rPr>
                <w:rFonts w:hint="eastAsia"/>
                <w:kern w:val="0"/>
                <w:sz w:val="24"/>
              </w:rPr>
              <w:t>1.帮助老师导入教学班</w:t>
            </w:r>
          </w:p>
          <w:p>
            <w:pPr>
              <w:spacing w:line="300" w:lineRule="auto"/>
              <w:rPr>
                <w:kern w:val="0"/>
                <w:sz w:val="24"/>
              </w:rPr>
            </w:pPr>
            <w:r>
              <w:rPr>
                <w:rFonts w:hint="eastAsia"/>
                <w:kern w:val="0"/>
                <w:sz w:val="24"/>
              </w:rPr>
              <w:t>2.按照老师的需求修改课程菜单</w:t>
            </w:r>
          </w:p>
          <w:p>
            <w:pPr>
              <w:spacing w:line="300" w:lineRule="auto"/>
              <w:rPr>
                <w:kern w:val="0"/>
                <w:sz w:val="24"/>
              </w:rPr>
            </w:pPr>
            <w:r>
              <w:rPr>
                <w:rFonts w:hint="eastAsia"/>
                <w:kern w:val="0"/>
                <w:sz w:val="24"/>
              </w:rPr>
              <w:t>3.帮助老师上传教学资料</w:t>
            </w:r>
          </w:p>
          <w:p>
            <w:pPr>
              <w:spacing w:line="300" w:lineRule="auto"/>
              <w:rPr>
                <w:kern w:val="0"/>
                <w:sz w:val="24"/>
              </w:rPr>
            </w:pPr>
            <w:r>
              <w:rPr>
                <w:rFonts w:hint="eastAsia"/>
                <w:kern w:val="0"/>
                <w:sz w:val="24"/>
              </w:rPr>
              <w:t xml:space="preserve">4.指导老师发布课程通知  </w:t>
            </w:r>
          </w:p>
          <w:p>
            <w:pPr>
              <w:spacing w:line="300" w:lineRule="auto"/>
              <w:rPr>
                <w:kern w:val="0"/>
                <w:sz w:val="24"/>
              </w:rPr>
            </w:pPr>
            <w:r>
              <w:rPr>
                <w:rFonts w:hint="eastAsia"/>
                <w:kern w:val="0"/>
                <w:sz w:val="24"/>
              </w:rPr>
              <w:t>5.帮助老师发布课程作业</w:t>
            </w:r>
          </w:p>
          <w:p>
            <w:pPr>
              <w:spacing w:line="300" w:lineRule="auto"/>
              <w:rPr>
                <w:kern w:val="0"/>
                <w:sz w:val="24"/>
              </w:rPr>
            </w:pPr>
            <w:r>
              <w:rPr>
                <w:rFonts w:hint="eastAsia"/>
                <w:kern w:val="0"/>
                <w:sz w:val="24"/>
              </w:rPr>
              <w:t>6.帮助老师一次性下载学生作业</w:t>
            </w:r>
          </w:p>
          <w:p>
            <w:pPr>
              <w:spacing w:line="300" w:lineRule="auto"/>
              <w:rPr>
                <w:kern w:val="0"/>
                <w:sz w:val="24"/>
              </w:rPr>
            </w:pPr>
            <w:r>
              <w:rPr>
                <w:rFonts w:hint="eastAsia"/>
                <w:kern w:val="0"/>
                <w:sz w:val="24"/>
              </w:rPr>
              <w:t>7.帮助老师导入或导出作业分数</w:t>
            </w:r>
          </w:p>
          <w:p>
            <w:pPr>
              <w:spacing w:line="300" w:lineRule="auto"/>
              <w:rPr>
                <w:kern w:val="0"/>
                <w:sz w:val="24"/>
              </w:rPr>
            </w:pPr>
            <w:r>
              <w:rPr>
                <w:rFonts w:hint="eastAsia"/>
                <w:kern w:val="0"/>
                <w:sz w:val="24"/>
              </w:rPr>
              <w:t>8.帮助老师发布练习或测试</w:t>
            </w:r>
          </w:p>
          <w:p>
            <w:pPr>
              <w:spacing w:line="300" w:lineRule="auto"/>
              <w:rPr>
                <w:kern w:val="0"/>
                <w:sz w:val="24"/>
              </w:rPr>
            </w:pPr>
            <w:r>
              <w:rPr>
                <w:rFonts w:hint="eastAsia"/>
                <w:kern w:val="0"/>
                <w:sz w:val="24"/>
              </w:rPr>
              <w:t>9.根据教师的需求，帮助老师导出相关学习数据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S12</w:t>
            </w:r>
          </w:p>
        </w:tc>
        <w:tc>
          <w:tcPr>
            <w:tcW w:w="1917" w:type="dxa"/>
            <w:vAlign w:val="center"/>
          </w:tcPr>
          <w:p>
            <w:pPr>
              <w:spacing w:line="300" w:lineRule="auto"/>
              <w:jc w:val="center"/>
              <w:rPr>
                <w:kern w:val="0"/>
                <w:sz w:val="24"/>
              </w:rPr>
            </w:pPr>
            <w:r>
              <w:rPr>
                <w:rFonts w:hint="eastAsia"/>
                <w:kern w:val="0"/>
                <w:sz w:val="24"/>
              </w:rPr>
              <w:t>管理员培训/答疑</w:t>
            </w:r>
          </w:p>
        </w:tc>
        <w:tc>
          <w:tcPr>
            <w:tcW w:w="6557" w:type="dxa"/>
            <w:vAlign w:val="center"/>
          </w:tcPr>
          <w:p>
            <w:pPr>
              <w:spacing w:line="300" w:lineRule="auto"/>
              <w:rPr>
                <w:kern w:val="0"/>
                <w:sz w:val="24"/>
              </w:rPr>
            </w:pPr>
            <w:r>
              <w:rPr>
                <w:rFonts w:hint="eastAsia"/>
                <w:kern w:val="0"/>
                <w:sz w:val="24"/>
              </w:rPr>
              <w:t>支持学校管理员通过电话、邮件、及时通讯工具等反馈平台运营维护、整合开发、功能应用等方面的相关问题，做到 1小时内响应并根据优先级着手处理；至少提供5次平台维护、产品功能应用、定制开发等内容的培训。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S13</w:t>
            </w:r>
          </w:p>
        </w:tc>
        <w:tc>
          <w:tcPr>
            <w:tcW w:w="1917" w:type="dxa"/>
            <w:vAlign w:val="center"/>
          </w:tcPr>
          <w:p>
            <w:pPr>
              <w:spacing w:line="300" w:lineRule="auto"/>
              <w:jc w:val="center"/>
              <w:rPr>
                <w:kern w:val="0"/>
                <w:sz w:val="24"/>
              </w:rPr>
            </w:pPr>
            <w:r>
              <w:rPr>
                <w:rFonts w:hint="eastAsia"/>
                <w:kern w:val="0"/>
                <w:sz w:val="24"/>
              </w:rPr>
              <w:t>国内外用户交流</w:t>
            </w:r>
          </w:p>
        </w:tc>
        <w:tc>
          <w:tcPr>
            <w:tcW w:w="6557" w:type="dxa"/>
            <w:vAlign w:val="center"/>
          </w:tcPr>
          <w:p>
            <w:pPr>
              <w:spacing w:line="300" w:lineRule="auto"/>
              <w:rPr>
                <w:kern w:val="0"/>
                <w:sz w:val="24"/>
              </w:rPr>
            </w:pPr>
            <w:r>
              <w:rPr>
                <w:rFonts w:hint="eastAsia"/>
                <w:kern w:val="0"/>
                <w:sz w:val="24"/>
              </w:rPr>
              <w:t>通过建立用户交流群和组织用户参加国际、国内的用户交流会议，为用户提供国际化的交流环境，促进跨国界、跨区域的合作与经验共享；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S14</w:t>
            </w:r>
          </w:p>
        </w:tc>
        <w:tc>
          <w:tcPr>
            <w:tcW w:w="1917" w:type="dxa"/>
            <w:vAlign w:val="center"/>
          </w:tcPr>
          <w:p>
            <w:pPr>
              <w:spacing w:line="300" w:lineRule="auto"/>
              <w:jc w:val="center"/>
              <w:rPr>
                <w:kern w:val="0"/>
                <w:sz w:val="24"/>
              </w:rPr>
            </w:pPr>
            <w:r>
              <w:rPr>
                <w:rFonts w:hint="eastAsia"/>
                <w:kern w:val="0"/>
                <w:sz w:val="24"/>
              </w:rPr>
              <w:t>应用推广方案</w:t>
            </w:r>
          </w:p>
        </w:tc>
        <w:tc>
          <w:tcPr>
            <w:tcW w:w="6557" w:type="dxa"/>
            <w:vAlign w:val="center"/>
          </w:tcPr>
          <w:p>
            <w:pPr>
              <w:spacing w:line="300" w:lineRule="auto"/>
              <w:rPr>
                <w:kern w:val="0"/>
                <w:sz w:val="24"/>
              </w:rPr>
            </w:pPr>
            <w:r>
              <w:rPr>
                <w:rFonts w:hint="eastAsia"/>
                <w:kern w:val="0"/>
                <w:sz w:val="24"/>
              </w:rPr>
              <w:t>为学校量身定做应用推广方案，包括混合式学习、翻转课堂、OBE教学评估等;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spacing w:line="300" w:lineRule="auto"/>
              <w:jc w:val="center"/>
              <w:rPr>
                <w:kern w:val="0"/>
                <w:sz w:val="24"/>
              </w:rPr>
            </w:pPr>
            <w:r>
              <w:rPr>
                <w:rFonts w:hint="eastAsia"/>
                <w:kern w:val="0"/>
                <w:sz w:val="24"/>
              </w:rPr>
              <w:t>S15</w:t>
            </w:r>
          </w:p>
        </w:tc>
        <w:tc>
          <w:tcPr>
            <w:tcW w:w="1917" w:type="dxa"/>
            <w:vAlign w:val="center"/>
          </w:tcPr>
          <w:p>
            <w:pPr>
              <w:spacing w:line="300" w:lineRule="auto"/>
              <w:jc w:val="center"/>
              <w:rPr>
                <w:kern w:val="0"/>
                <w:sz w:val="24"/>
              </w:rPr>
            </w:pPr>
            <w:r>
              <w:rPr>
                <w:rFonts w:hint="eastAsia"/>
                <w:kern w:val="0"/>
                <w:sz w:val="24"/>
              </w:rPr>
              <w:t>应用统计分析报告</w:t>
            </w:r>
          </w:p>
        </w:tc>
        <w:tc>
          <w:tcPr>
            <w:tcW w:w="6557" w:type="dxa"/>
            <w:vAlign w:val="center"/>
          </w:tcPr>
          <w:p>
            <w:pPr>
              <w:spacing w:line="300" w:lineRule="auto"/>
              <w:rPr>
                <w:kern w:val="0"/>
                <w:sz w:val="24"/>
              </w:rPr>
            </w:pPr>
            <w:r>
              <w:rPr>
                <w:rFonts w:hint="eastAsia"/>
                <w:kern w:val="0"/>
                <w:sz w:val="24"/>
              </w:rPr>
              <w:t>根据校方需求，在服务期内于每月提供当月准确可靠的应用统计分析报告，包括访问量、活跃课程、活跃用户、课程内容类型和数量、学生学习行为数据等。</w:t>
            </w:r>
          </w:p>
        </w:tc>
      </w:tr>
    </w:tbl>
    <w:p>
      <w:pPr>
        <w:adjustRightInd w:val="0"/>
        <w:snapToGrid w:val="0"/>
        <w:spacing w:line="560" w:lineRule="exact"/>
        <w:ind w:left="420" w:leftChars="200"/>
        <w:jc w:val="left"/>
        <w:rPr>
          <w:rFonts w:ascii="宋体" w:hAnsi="宋体"/>
          <w:b/>
          <w:sz w:val="24"/>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成交人应当及时向项目承办单位提供验收方案申请项目验收，验收合格后签署验收报告。验收报告的签署不能免除成交人在服务保证期内对合同项目应当承担的保证责任。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（四）服务期限</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1.插件优化：合同签订后5个工作日内开始项目开发及部署，15个工作日完成项目有关插件的升级服务，投入试运行30个工作日，试运行期结束后，若无发现任何问题则安排验收。 </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2.系统运维：系统运维服务期为1年，自2023年7月1日起计算。</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（五）服务要求</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 xml:space="preserve">1.服务期内成交人应无条件提供维修及技术支持服务,对系统（软件）提供必要的维护和升级服务。  </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紧急维修服务：成交人提供7×24小时响应服务，提供电话技术指导和咨询服务。紧急情况下，成交人在收到采购单位关于系统故障通知后，法定工作时间，0.5小时内响应，其他时段应在1小时内响应，确保所有故障及时排除。</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1.成交人在本合同签订生效后10个工作日内开具本合同全部价款50%的发票，采购单位在收到发票后30个工作日内将本合同全部价款50%的费用支付到成交人账户。若成交人未提供发票,采购单位可相应顺延付款时间。 </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完成服务清单规定的有关插件功能开发，经采购单位验收通过后，采购单位再次开具本合同全部价款50%的发票，采购单位在收到发票后30个工作日内支付剩余50%的合同价款，成交人未提供发票采购单位可相应顺延付款时间。</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r>
        <w:rPr>
          <w:rFonts w:hint="eastAsia" w:ascii="宋体" w:hAnsi="宋体"/>
          <w:sz w:val="32"/>
          <w:szCs w:val="32"/>
        </w:rPr>
        <w:t xml:space="preserve">  </w:t>
      </w: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bookmarkStart w:id="31" w:name="_GoBack"/>
      <w:bookmarkEnd w:id="31"/>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1DA1D-A559-4FCE-8B5B-7042F4D096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F09142-4CE3-461C-9EAD-39F22801F0C9}"/>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82016" w:usb3="00000000" w:csb0="00040001" w:csb1="00000000"/>
    <w:embedRegular r:id="rId3" w:fontKey="{27714F9A-0D6D-42C1-BE2E-C56A3547F621}"/>
  </w:font>
  <w:font w:name="楷体_GB2312">
    <w:panose1 w:val="02010609030101010101"/>
    <w:charset w:val="86"/>
    <w:family w:val="modern"/>
    <w:pitch w:val="default"/>
    <w:sig w:usb0="00000001" w:usb1="080E0000" w:usb2="00000000" w:usb3="00000000" w:csb0="00040000" w:csb1="00000000"/>
    <w:embedRegular r:id="rId4" w:fontKey="{813A4EA6-CC17-462A-85A7-8040540181D6}"/>
  </w:font>
  <w:font w:name="楷体">
    <w:panose1 w:val="02010609060101010101"/>
    <w:charset w:val="86"/>
    <w:family w:val="modern"/>
    <w:pitch w:val="default"/>
    <w:sig w:usb0="800002BF" w:usb1="38CF7CFA" w:usb2="00000016" w:usb3="00000000" w:csb0="00040001" w:csb1="00000000"/>
    <w:embedRegular r:id="rId5" w:fontKey="{90FFC67F-BBBA-4D71-AB48-3BCAF5B8D4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1271"/>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D618596E"/>
    <w:multiLevelType w:val="singleLevel"/>
    <w:tmpl w:val="D618596E"/>
    <w:lvl w:ilvl="0" w:tentative="0">
      <w:start w:val="2"/>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num w:numId="1">
    <w:abstractNumId w:val="6"/>
  </w:num>
  <w:num w:numId="2">
    <w:abstractNumId w:val="4"/>
  </w:num>
  <w:num w:numId="3">
    <w:abstractNumId w:val="3"/>
  </w:num>
  <w:num w:numId="4">
    <w:abstractNumId w:val="2"/>
  </w:num>
  <w:num w:numId="5">
    <w:abstractNumId w:val="1"/>
  </w:num>
  <w:num w:numId="6">
    <w:abstractNumId w:val="8"/>
  </w:num>
  <w:num w:numId="7">
    <w:abstractNumId w:val="0"/>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028"/>
    <w:rsid w:val="001F58D9"/>
    <w:rsid w:val="001F5C8E"/>
    <w:rsid w:val="001F63EB"/>
    <w:rsid w:val="001F6F50"/>
    <w:rsid w:val="001F725E"/>
    <w:rsid w:val="00204F4E"/>
    <w:rsid w:val="002051C9"/>
    <w:rsid w:val="0020602B"/>
    <w:rsid w:val="00206222"/>
    <w:rsid w:val="00206E58"/>
    <w:rsid w:val="002076DC"/>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1F56"/>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3"/>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28E"/>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46D"/>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4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3ABB"/>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24046B"/>
    <w:rsid w:val="11FA2096"/>
    <w:rsid w:val="12254861"/>
    <w:rsid w:val="12B4052F"/>
    <w:rsid w:val="12EC524A"/>
    <w:rsid w:val="13071F04"/>
    <w:rsid w:val="13BA64D5"/>
    <w:rsid w:val="13C52591"/>
    <w:rsid w:val="14A66120"/>
    <w:rsid w:val="14E23522"/>
    <w:rsid w:val="168532DC"/>
    <w:rsid w:val="173373DC"/>
    <w:rsid w:val="1753107A"/>
    <w:rsid w:val="18885316"/>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2B2B5C"/>
    <w:rsid w:val="40652603"/>
    <w:rsid w:val="42532A81"/>
    <w:rsid w:val="442F0A64"/>
    <w:rsid w:val="44FE771E"/>
    <w:rsid w:val="453D2E2E"/>
    <w:rsid w:val="455B5F6E"/>
    <w:rsid w:val="4678338B"/>
    <w:rsid w:val="476B2D91"/>
    <w:rsid w:val="48833F13"/>
    <w:rsid w:val="497F7B3A"/>
    <w:rsid w:val="4ADD6003"/>
    <w:rsid w:val="4BEB2A35"/>
    <w:rsid w:val="4C19396E"/>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2E1BE9"/>
    <w:rsid w:val="62437726"/>
    <w:rsid w:val="628F0A4F"/>
    <w:rsid w:val="6296560A"/>
    <w:rsid w:val="62D60C04"/>
    <w:rsid w:val="62DB6DB3"/>
    <w:rsid w:val="63065FF8"/>
    <w:rsid w:val="63550335"/>
    <w:rsid w:val="68742FE5"/>
    <w:rsid w:val="697C1D6F"/>
    <w:rsid w:val="6A80153E"/>
    <w:rsid w:val="6F544E68"/>
    <w:rsid w:val="719242C5"/>
    <w:rsid w:val="71B97D29"/>
    <w:rsid w:val="72B62304"/>
    <w:rsid w:val="742D0AEA"/>
    <w:rsid w:val="750157C1"/>
    <w:rsid w:val="775E1A13"/>
    <w:rsid w:val="77F228DE"/>
    <w:rsid w:val="78851ED1"/>
    <w:rsid w:val="79C61CFF"/>
    <w:rsid w:val="79DA28B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06F5F-A3FC-43DA-9CDE-6D299AF66E9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1828</Words>
  <Characters>10420</Characters>
  <Lines>86</Lines>
  <Paragraphs>24</Paragraphs>
  <TotalTime>64</TotalTime>
  <ScaleCrop>false</ScaleCrop>
  <LinksUpToDate>false</LinksUpToDate>
  <CharactersWithSpaces>12224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2023-05-26T05:16:00Z</dcterms:created>
  <dc:creator>招投标中心</dc:creator>
  <cp:lastModifiedBy>lhy</cp:lastModifiedBy>
  <cp:lastPrinted>2023-05-26T06:55:00Z</cp:lastPrinted>
  <dcterms:modified xsi:type="dcterms:W3CDTF">2023-05-29T08:53:07Z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7352D78BCE364A36AF6B93D7A662A3BD</vt:lpwstr>
  </property>
</Properties>
</file>