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08AA62">
      <w:pPr>
        <w:jc w:val="center"/>
      </w:pPr>
    </w:p>
    <w:p w14:paraId="0C820A40">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14:paraId="19A10BAE"/>
    <w:p w14:paraId="61D7A4EB">
      <w:pPr>
        <w:ind w:left="5" w:hanging="5"/>
        <w:jc w:val="center"/>
        <w:rPr>
          <w:rFonts w:eastAsia="黑体"/>
          <w:b/>
          <w:sz w:val="72"/>
          <w:szCs w:val="56"/>
        </w:rPr>
      </w:pPr>
      <w:r>
        <w:rPr>
          <w:rFonts w:hint="eastAsia" w:eastAsia="黑体"/>
          <w:b/>
          <w:sz w:val="72"/>
          <w:szCs w:val="56"/>
        </w:rPr>
        <w:t>校内分散采购</w:t>
      </w:r>
    </w:p>
    <w:p w14:paraId="11F9BD5B">
      <w:pPr>
        <w:ind w:left="425"/>
        <w:jc w:val="center"/>
        <w:rPr>
          <w:rFonts w:eastAsia="黑体"/>
          <w:b/>
          <w:sz w:val="72"/>
          <w:szCs w:val="56"/>
        </w:rPr>
      </w:pPr>
    </w:p>
    <w:p w14:paraId="6E9D599C">
      <w:pPr>
        <w:ind w:left="5" w:hanging="5"/>
        <w:jc w:val="center"/>
        <w:rPr>
          <w:rFonts w:eastAsia="黑体"/>
          <w:b/>
          <w:sz w:val="72"/>
          <w:szCs w:val="56"/>
        </w:rPr>
      </w:pPr>
      <w:r>
        <w:rPr>
          <w:rFonts w:hint="eastAsia" w:eastAsia="黑体"/>
          <w:b/>
          <w:sz w:val="72"/>
          <w:szCs w:val="56"/>
        </w:rPr>
        <w:t>采</w:t>
      </w:r>
    </w:p>
    <w:p w14:paraId="3CD312FF">
      <w:pPr>
        <w:ind w:left="5" w:hanging="5"/>
        <w:jc w:val="center"/>
        <w:rPr>
          <w:rFonts w:eastAsia="黑体"/>
          <w:b/>
          <w:sz w:val="72"/>
          <w:szCs w:val="56"/>
        </w:rPr>
      </w:pPr>
      <w:r>
        <w:rPr>
          <w:rFonts w:hint="eastAsia" w:eastAsia="黑体"/>
          <w:b/>
          <w:sz w:val="72"/>
          <w:szCs w:val="56"/>
        </w:rPr>
        <w:t>购</w:t>
      </w:r>
    </w:p>
    <w:p w14:paraId="6A708449">
      <w:pPr>
        <w:ind w:left="5" w:hanging="5"/>
        <w:jc w:val="center"/>
        <w:rPr>
          <w:rFonts w:eastAsia="黑体"/>
          <w:b/>
          <w:sz w:val="72"/>
          <w:szCs w:val="56"/>
        </w:rPr>
      </w:pPr>
      <w:r>
        <w:rPr>
          <w:rFonts w:hint="eastAsia" w:eastAsia="黑体"/>
          <w:b/>
          <w:sz w:val="72"/>
          <w:szCs w:val="56"/>
        </w:rPr>
        <w:t>书</w:t>
      </w:r>
    </w:p>
    <w:p w14:paraId="743D5702">
      <w:pPr>
        <w:spacing w:line="760" w:lineRule="exact"/>
        <w:jc w:val="center"/>
        <w:rPr>
          <w:b/>
          <w:sz w:val="36"/>
        </w:rPr>
      </w:pPr>
      <w:r>
        <w:rPr>
          <w:rFonts w:hint="eastAsia"/>
          <w:b/>
          <w:sz w:val="36"/>
        </w:rPr>
        <w:t>（适用于公开采购方式）</w:t>
      </w:r>
    </w:p>
    <w:p w14:paraId="7B06DD63">
      <w:pPr>
        <w:spacing w:line="760" w:lineRule="exact"/>
        <w:ind w:firstLine="1084" w:firstLineChars="300"/>
        <w:rPr>
          <w:b/>
          <w:sz w:val="36"/>
        </w:rPr>
      </w:pPr>
    </w:p>
    <w:p w14:paraId="44EB6C9F">
      <w:pPr>
        <w:spacing w:line="760" w:lineRule="exact"/>
        <w:ind w:firstLine="1084" w:firstLineChars="300"/>
        <w:rPr>
          <w:rFonts w:hint="eastAsia" w:ascii="宋体" w:hAnsi="宋体"/>
          <w:b/>
          <w:sz w:val="36"/>
          <w:u w:val="single"/>
          <w:lang w:val="en-US" w:eastAsia="zh-CN"/>
        </w:rPr>
      </w:pPr>
      <w:r>
        <w:rPr>
          <w:rFonts w:hint="eastAsia"/>
          <w:b/>
          <w:sz w:val="36"/>
        </w:rPr>
        <w:t>项目</w:t>
      </w:r>
      <w:r>
        <w:rPr>
          <w:rFonts w:hint="eastAsia"/>
          <w:b/>
          <w:sz w:val="36"/>
          <w:szCs w:val="36"/>
        </w:rPr>
        <w:t>名称</w:t>
      </w:r>
      <w:r>
        <w:rPr>
          <w:b/>
          <w:sz w:val="36"/>
        </w:rPr>
        <w:t>:</w:t>
      </w:r>
      <w:r>
        <w:rPr>
          <w:rFonts w:hint="eastAsia" w:ascii="宋体" w:hAnsi="宋体"/>
          <w:b/>
          <w:sz w:val="36"/>
          <w:u w:val="single"/>
        </w:rPr>
        <w:t xml:space="preserve"> 广东财经大学202</w:t>
      </w:r>
      <w:r>
        <w:rPr>
          <w:rFonts w:hint="eastAsia" w:ascii="宋体" w:hAnsi="宋体"/>
          <w:b/>
          <w:sz w:val="36"/>
          <w:u w:val="single"/>
          <w:lang w:val="en-US" w:eastAsia="zh-CN"/>
        </w:rPr>
        <w:t>4年大学生生涯</w:t>
      </w:r>
    </w:p>
    <w:p w14:paraId="03471F51">
      <w:pPr>
        <w:spacing w:line="760" w:lineRule="exact"/>
        <w:ind w:firstLine="2891" w:firstLineChars="800"/>
        <w:rPr>
          <w:rFonts w:ascii="宋体" w:hAnsi="宋体"/>
          <w:b/>
          <w:sz w:val="36"/>
          <w:u w:val="single"/>
        </w:rPr>
      </w:pPr>
      <w:r>
        <w:rPr>
          <w:rFonts w:hint="eastAsia" w:ascii="宋体" w:hAnsi="宋体"/>
          <w:b/>
          <w:sz w:val="36"/>
          <w:u w:val="single"/>
          <w:lang w:val="en-US" w:eastAsia="zh-CN"/>
        </w:rPr>
        <w:t>体验周</w:t>
      </w:r>
      <w:r>
        <w:rPr>
          <w:rFonts w:hint="eastAsia" w:ascii="宋体" w:hAnsi="宋体"/>
          <w:b/>
          <w:sz w:val="36"/>
          <w:u w:val="single"/>
        </w:rPr>
        <w:t>技术服务和物资采购</w:t>
      </w:r>
    </w:p>
    <w:p w14:paraId="1FA4CD76">
      <w:pPr>
        <w:spacing w:line="760" w:lineRule="exact"/>
        <w:ind w:firstLine="1084" w:firstLineChars="300"/>
        <w:rPr>
          <w:rFonts w:hint="eastAsia" w:ascii="宋体" w:hAnsi="宋体" w:eastAsia="宋体"/>
          <w:b/>
          <w:sz w:val="36"/>
          <w:szCs w:val="36"/>
          <w:u w:val="single"/>
          <w:lang w:val="en-US" w:eastAsia="zh-CN"/>
        </w:rPr>
      </w:pPr>
      <w:r>
        <w:rPr>
          <w:rFonts w:hint="eastAsia"/>
          <w:b/>
          <w:sz w:val="36"/>
          <w:szCs w:val="36"/>
        </w:rPr>
        <w:t>采购单位：</w:t>
      </w:r>
      <w:r>
        <w:rPr>
          <w:rFonts w:hint="eastAsia" w:ascii="宋体" w:hAnsi="宋体"/>
          <w:b/>
          <w:sz w:val="36"/>
          <w:u w:val="single"/>
        </w:rPr>
        <w:t xml:space="preserve">    </w:t>
      </w:r>
      <w:r>
        <w:rPr>
          <w:rFonts w:hint="eastAsia" w:ascii="宋体" w:hAnsi="宋体"/>
          <w:b/>
          <w:sz w:val="36"/>
          <w:u w:val="single"/>
          <w:lang w:val="en-US" w:eastAsia="zh-CN"/>
        </w:rPr>
        <w:t>学生就业指导中心</w:t>
      </w:r>
      <w:r>
        <w:rPr>
          <w:rFonts w:hint="eastAsia" w:ascii="宋体" w:hAnsi="宋体"/>
          <w:b/>
          <w:sz w:val="36"/>
          <w:u w:val="single"/>
        </w:rPr>
        <w:t xml:space="preserve">      </w:t>
      </w:r>
      <w:r>
        <w:rPr>
          <w:rFonts w:hint="eastAsia" w:ascii="宋体" w:hAnsi="宋体"/>
          <w:b/>
          <w:sz w:val="36"/>
          <w:u w:val="single"/>
          <w:lang w:val="en-US" w:eastAsia="zh-CN"/>
        </w:rPr>
        <w:t xml:space="preserve"> </w:t>
      </w:r>
    </w:p>
    <w:p w14:paraId="6317B0A6">
      <w:pPr>
        <w:spacing w:line="760" w:lineRule="exact"/>
        <w:ind w:firstLine="1084" w:firstLineChars="300"/>
        <w:rPr>
          <w:b/>
          <w:sz w:val="36"/>
          <w:szCs w:val="36"/>
        </w:rPr>
      </w:pPr>
      <w:r>
        <w:rPr>
          <w:rFonts w:hint="eastAsia"/>
          <w:b/>
          <w:sz w:val="36"/>
          <w:szCs w:val="36"/>
        </w:rPr>
        <w:t>发布时间：</w:t>
      </w:r>
      <w:r>
        <w:rPr>
          <w:rFonts w:hint="eastAsia" w:ascii="宋体" w:hAnsi="宋体"/>
          <w:b/>
          <w:sz w:val="36"/>
          <w:u w:val="single"/>
        </w:rPr>
        <w:t xml:space="preserve">   </w:t>
      </w:r>
      <w:r>
        <w:rPr>
          <w:rFonts w:hint="eastAsia" w:ascii="宋体" w:hAnsi="宋体"/>
          <w:b/>
          <w:sz w:val="36"/>
          <w:u w:val="single"/>
          <w:lang w:val="en-US" w:eastAsia="zh-CN"/>
        </w:rPr>
        <w:t xml:space="preserve">  2024年9月          </w:t>
      </w:r>
      <w:r>
        <w:rPr>
          <w:rFonts w:hint="eastAsia" w:ascii="宋体" w:hAnsi="宋体"/>
          <w:b/>
          <w:sz w:val="36"/>
          <w:u w:val="single"/>
        </w:rPr>
        <w:t xml:space="preserve"> </w:t>
      </w:r>
    </w:p>
    <w:p w14:paraId="6F159F36">
      <w:pPr>
        <w:spacing w:line="760" w:lineRule="exact"/>
        <w:ind w:firstLine="1084" w:firstLineChars="300"/>
        <w:rPr>
          <w:rFonts w:ascii="宋体" w:hAnsi="宋体"/>
          <w:b/>
          <w:sz w:val="36"/>
          <w:szCs w:val="36"/>
          <w:u w:val="single"/>
        </w:rPr>
      </w:pPr>
    </w:p>
    <w:p w14:paraId="75262ED7">
      <w:pPr>
        <w:spacing w:line="1000" w:lineRule="exact"/>
        <w:jc w:val="center"/>
        <w:rPr>
          <w:rFonts w:ascii="黑体" w:eastAsia="黑体"/>
          <w:b/>
          <w:sz w:val="72"/>
          <w:szCs w:val="72"/>
        </w:rPr>
      </w:pPr>
    </w:p>
    <w:p w14:paraId="3D3E728D">
      <w:pPr>
        <w:jc w:val="center"/>
        <w:rPr>
          <w:b/>
          <w:sz w:val="52"/>
          <w:szCs w:val="52"/>
        </w:rPr>
      </w:pPr>
      <w:r>
        <w:rPr>
          <w:rFonts w:ascii="宋体" w:hAnsi="宋体"/>
          <w:sz w:val="32"/>
          <w:szCs w:val="32"/>
        </w:rPr>
        <w:br w:type="column"/>
      </w:r>
      <w:r>
        <w:rPr>
          <w:rFonts w:hint="eastAsia"/>
          <w:sz w:val="52"/>
          <w:szCs w:val="52"/>
        </w:rPr>
        <w:t>目录</w:t>
      </w:r>
    </w:p>
    <w:p w14:paraId="49780A99">
      <w:pPr>
        <w:pStyle w:val="19"/>
        <w:tabs>
          <w:tab w:val="right" w:leader="dot" w:pos="8846"/>
        </w:tabs>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TOC \o "1-3" \h \z \u </w:instrText>
      </w:r>
      <w:r>
        <w:rPr>
          <w:rFonts w:hint="eastAsia" w:asciiTheme="minorEastAsia" w:hAnsiTheme="minorEastAsia" w:eastAsiaTheme="minorEastAsia" w:cstheme="minorEastAsia"/>
          <w:sz w:val="28"/>
          <w:szCs w:val="28"/>
        </w:rPr>
        <w:fldChar w:fldCharType="separate"/>
      </w:r>
      <w:r>
        <w:fldChar w:fldCharType="begin"/>
      </w:r>
      <w:r>
        <w:instrText xml:space="preserve"> HYPERLINK \l "_Toc1048" </w:instrText>
      </w:r>
      <w:r>
        <w:fldChar w:fldCharType="separate"/>
      </w:r>
      <w:r>
        <w:rPr>
          <w:rFonts w:hint="eastAsia" w:asciiTheme="minorEastAsia" w:hAnsiTheme="minorEastAsia" w:eastAsiaTheme="minorEastAsia" w:cstheme="minorEastAsia"/>
          <w:sz w:val="28"/>
          <w:szCs w:val="28"/>
        </w:rPr>
        <w:t>第一部分   报价须知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_Toc1048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3478E921">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"_Toc16574" </w:instrText>
      </w:r>
      <w:r>
        <w:fldChar w:fldCharType="separate"/>
      </w:r>
      <w:r>
        <w:rPr>
          <w:rFonts w:hint="eastAsia" w:asciiTheme="minorEastAsia" w:hAnsiTheme="minorEastAsia" w:eastAsiaTheme="minorEastAsia" w:cstheme="minorEastAsia"/>
          <w:sz w:val="28"/>
          <w:szCs w:val="28"/>
        </w:rPr>
        <w:t>一、采购项目概况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_Toc16574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4E831FD8">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"_Toc28829" </w:instrText>
      </w:r>
      <w:r>
        <w:fldChar w:fldCharType="separate"/>
      </w:r>
      <w:r>
        <w:rPr>
          <w:rFonts w:hint="eastAsia" w:asciiTheme="minorEastAsia" w:hAnsiTheme="minorEastAsia" w:eastAsiaTheme="minorEastAsia" w:cstheme="minorEastAsia"/>
          <w:sz w:val="28"/>
          <w:szCs w:val="28"/>
        </w:rPr>
        <w:t>二、相关说明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_Toc28829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6B230F6B">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"_Toc11839" </w:instrText>
      </w:r>
      <w:r>
        <w:fldChar w:fldCharType="separate"/>
      </w:r>
      <w:r>
        <w:rPr>
          <w:rFonts w:hint="eastAsia" w:asciiTheme="minorEastAsia" w:hAnsiTheme="minorEastAsia" w:eastAsiaTheme="minorEastAsia" w:cstheme="minorEastAsia"/>
          <w:sz w:val="28"/>
          <w:szCs w:val="28"/>
        </w:rPr>
        <w:t>三、报价人资格</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_Toc11839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6598F6E3">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"_Toc20873" </w:instrText>
      </w:r>
      <w:r>
        <w:fldChar w:fldCharType="separate"/>
      </w:r>
      <w:r>
        <w:rPr>
          <w:rFonts w:hint="eastAsia" w:asciiTheme="minorEastAsia" w:hAnsiTheme="minorEastAsia" w:eastAsiaTheme="minorEastAsia" w:cstheme="minorEastAsia"/>
          <w:sz w:val="28"/>
          <w:szCs w:val="28"/>
        </w:rPr>
        <w:t>四、报价要求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_Toc20873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68B6F13F">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"_Toc18253" </w:instrText>
      </w:r>
      <w:r>
        <w:fldChar w:fldCharType="separate"/>
      </w:r>
      <w:r>
        <w:rPr>
          <w:rFonts w:hint="eastAsia" w:asciiTheme="minorEastAsia" w:hAnsiTheme="minorEastAsia" w:eastAsiaTheme="minorEastAsia" w:cstheme="minorEastAsia"/>
          <w:sz w:val="28"/>
          <w:szCs w:val="28"/>
        </w:rPr>
        <w:t>五、报价文件要求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_Toc18253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3CCDD99E">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"_Toc10890" </w:instrText>
      </w:r>
      <w:r>
        <w:fldChar w:fldCharType="separate"/>
      </w:r>
      <w:r>
        <w:rPr>
          <w:rFonts w:hint="eastAsia" w:asciiTheme="minorEastAsia" w:hAnsiTheme="minorEastAsia" w:eastAsiaTheme="minorEastAsia" w:cstheme="minorEastAsia"/>
          <w:sz w:val="28"/>
          <w:szCs w:val="28"/>
        </w:rPr>
        <w:t>六、评审方法及原则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_Toc10890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074A7795">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"_Toc18663" </w:instrText>
      </w:r>
      <w:r>
        <w:fldChar w:fldCharType="separate"/>
      </w:r>
      <w:r>
        <w:rPr>
          <w:rFonts w:hint="eastAsia" w:asciiTheme="minorEastAsia" w:hAnsiTheme="minorEastAsia" w:eastAsiaTheme="minorEastAsia" w:cstheme="minorEastAsia"/>
          <w:sz w:val="28"/>
          <w:szCs w:val="28"/>
        </w:rPr>
        <w:t>七、成交供应商确定</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_Toc18663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5065479E">
      <w:pPr>
        <w:pStyle w:val="19"/>
        <w:tabs>
          <w:tab w:val="right" w:leader="dot" w:pos="8846"/>
        </w:tabs>
        <w:rPr>
          <w:rFonts w:asciiTheme="minorEastAsia" w:hAnsiTheme="minorEastAsia" w:eastAsiaTheme="minorEastAsia" w:cstheme="minorEastAsia"/>
          <w:sz w:val="28"/>
          <w:szCs w:val="28"/>
        </w:rPr>
      </w:pPr>
      <w:r>
        <w:fldChar w:fldCharType="begin"/>
      </w:r>
      <w:r>
        <w:instrText xml:space="preserve"> HYPERLINK \l "_Toc5254" </w:instrText>
      </w:r>
      <w:r>
        <w:fldChar w:fldCharType="separate"/>
      </w:r>
      <w:r>
        <w:rPr>
          <w:rFonts w:hint="eastAsia" w:asciiTheme="minorEastAsia" w:hAnsiTheme="minorEastAsia" w:eastAsiaTheme="minorEastAsia" w:cstheme="minorEastAsia"/>
          <w:sz w:val="28"/>
          <w:szCs w:val="28"/>
        </w:rPr>
        <w:t>第二部分   采购需求书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_Toc5254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42AF2C01">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"_Toc179" </w:instrText>
      </w:r>
      <w:r>
        <w:fldChar w:fldCharType="separate"/>
      </w:r>
      <w:r>
        <w:rPr>
          <w:rFonts w:hint="eastAsia" w:asciiTheme="minorEastAsia" w:hAnsiTheme="minorEastAsia" w:eastAsiaTheme="minorEastAsia" w:cstheme="minorEastAsia"/>
          <w:sz w:val="28"/>
          <w:szCs w:val="28"/>
        </w:rPr>
        <w:t>一、技术（服务）要求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54078BD7">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"_Toc17787" </w:instrText>
      </w:r>
      <w:r>
        <w:fldChar w:fldCharType="separate"/>
      </w:r>
      <w:r>
        <w:rPr>
          <w:rFonts w:hint="eastAsia" w:asciiTheme="minorEastAsia" w:hAnsiTheme="minorEastAsia" w:eastAsiaTheme="minorEastAsia" w:cstheme="minorEastAsia"/>
          <w:sz w:val="28"/>
          <w:szCs w:val="28"/>
        </w:rPr>
        <w:t>二、商务要求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_Toc17787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7518FC31">
      <w:pPr>
        <w:pStyle w:val="19"/>
        <w:tabs>
          <w:tab w:val="right" w:leader="dot" w:pos="8846"/>
        </w:tabs>
        <w:rPr>
          <w:rFonts w:asciiTheme="minorEastAsia" w:hAnsiTheme="minorEastAsia" w:eastAsiaTheme="minorEastAsia" w:cstheme="minorEastAsia"/>
          <w:sz w:val="28"/>
          <w:szCs w:val="28"/>
        </w:rPr>
      </w:pPr>
      <w:r>
        <w:fldChar w:fldCharType="begin"/>
      </w:r>
      <w:r>
        <w:instrText xml:space="preserve"> HYPERLINK \l "_Toc14310" </w:instrText>
      </w:r>
      <w:r>
        <w:fldChar w:fldCharType="separate"/>
      </w:r>
      <w:r>
        <w:rPr>
          <w:rFonts w:hint="eastAsia" w:asciiTheme="minorEastAsia" w:hAnsiTheme="minorEastAsia" w:eastAsiaTheme="minorEastAsia" w:cstheme="minorEastAsia"/>
          <w:sz w:val="28"/>
          <w:szCs w:val="28"/>
        </w:rPr>
        <w:t>第三部分  报价文件格式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_Toc14310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53ED1DD3">
      <w:pPr>
        <w:adjustRightInd w:val="0"/>
        <w:snapToGrid w:val="0"/>
        <w:spacing w:line="500" w:lineRule="exact"/>
        <w:jc w:val="center"/>
        <w:rPr>
          <w:b/>
          <w:sz w:val="52"/>
          <w:szCs w:val="52"/>
        </w:rPr>
      </w:pPr>
      <w:r>
        <w:rPr>
          <w:rFonts w:hint="eastAsia" w:asciiTheme="minorEastAsia" w:hAnsiTheme="minorEastAsia" w:eastAsiaTheme="minorEastAsia" w:cstheme="minorEastAsia"/>
          <w:sz w:val="28"/>
          <w:szCs w:val="28"/>
        </w:rPr>
        <w:fldChar w:fldCharType="end"/>
      </w:r>
    </w:p>
    <w:p w14:paraId="4AF677DF">
      <w:bookmarkStart w:id="0" w:name="_Toc508103350"/>
      <w:bookmarkStart w:id="1" w:name="_Toc508103135"/>
      <w:bookmarkStart w:id="2" w:name="_Toc60236697"/>
      <w:r>
        <w:br w:type="page"/>
      </w:r>
    </w:p>
    <w:p w14:paraId="586ACBA4">
      <w:pPr>
        <w:pStyle w:val="2"/>
      </w:pPr>
      <w:bookmarkStart w:id="3" w:name="_Toc1048"/>
      <w:r>
        <w:t xml:space="preserve">第一部分   </w:t>
      </w:r>
      <w:r>
        <w:rPr>
          <w:rFonts w:hint="eastAsia"/>
        </w:rPr>
        <w:t>报价</w:t>
      </w:r>
      <w:r>
        <w:t>须知</w:t>
      </w:r>
      <w:bookmarkEnd w:id="0"/>
      <w:bookmarkEnd w:id="1"/>
      <w:bookmarkEnd w:id="2"/>
      <w:bookmarkEnd w:id="3"/>
    </w:p>
    <w:p w14:paraId="263A9915">
      <w:pPr>
        <w:spacing w:line="560" w:lineRule="exact"/>
        <w:ind w:firstLine="560" w:firstLineChars="200"/>
        <w:rPr>
          <w:rFonts w:ascii="宋体" w:hAnsi="宋体"/>
          <w:sz w:val="28"/>
          <w:szCs w:val="28"/>
        </w:rPr>
      </w:pPr>
      <w:r>
        <w:rPr>
          <w:rFonts w:hint="eastAsia" w:ascii="宋体" w:hAnsi="宋体"/>
          <w:sz w:val="28"/>
          <w:szCs w:val="28"/>
        </w:rPr>
        <w:t>（报价人</w:t>
      </w:r>
      <w:r>
        <w:rPr>
          <w:rFonts w:ascii="宋体" w:hAnsi="宋体"/>
          <w:sz w:val="28"/>
          <w:szCs w:val="28"/>
        </w:rPr>
        <w:t>应认真阅读</w:t>
      </w:r>
      <w:r>
        <w:rPr>
          <w:rFonts w:hint="eastAsia" w:ascii="宋体" w:hAnsi="宋体"/>
          <w:sz w:val="28"/>
          <w:szCs w:val="28"/>
        </w:rPr>
        <w:t>采购书</w:t>
      </w:r>
      <w:r>
        <w:rPr>
          <w:rFonts w:ascii="宋体" w:hAnsi="宋体"/>
          <w:sz w:val="28"/>
          <w:szCs w:val="28"/>
        </w:rPr>
        <w:t>中全部内容。</w:t>
      </w:r>
      <w:r>
        <w:rPr>
          <w:rFonts w:hint="eastAsia" w:ascii="宋体" w:hAnsi="宋体"/>
          <w:sz w:val="28"/>
          <w:szCs w:val="28"/>
        </w:rPr>
        <w:t>报价人必须按照采购公告、采购书的规定和要求提交报价文件，否则，责任自负。）</w:t>
      </w:r>
    </w:p>
    <w:p w14:paraId="4E50CB45">
      <w:pPr>
        <w:pStyle w:val="3"/>
        <w:spacing w:line="560" w:lineRule="exact"/>
      </w:pPr>
      <w:bookmarkStart w:id="4" w:name="_Toc508103351"/>
      <w:bookmarkStart w:id="5" w:name="_Toc60236698"/>
      <w:bookmarkStart w:id="6" w:name="_Toc16574"/>
      <w:r>
        <w:rPr>
          <w:rFonts w:hint="eastAsia"/>
        </w:rPr>
        <w:t>一、采购项目</w:t>
      </w:r>
      <w:bookmarkEnd w:id="4"/>
      <w:bookmarkEnd w:id="5"/>
      <w:r>
        <w:rPr>
          <w:rFonts w:hint="eastAsia"/>
        </w:rPr>
        <w:t>概况</w:t>
      </w:r>
      <w:bookmarkEnd w:id="6"/>
    </w:p>
    <w:p w14:paraId="5D286AA3">
      <w:pPr>
        <w:spacing w:line="560" w:lineRule="exact"/>
        <w:ind w:firstLine="560" w:firstLineChars="200"/>
        <w:rPr>
          <w:rFonts w:hint="eastAsia" w:ascii="宋体" w:hAnsi="宋体"/>
          <w:sz w:val="28"/>
          <w:szCs w:val="28"/>
        </w:rPr>
      </w:pPr>
      <w:r>
        <w:rPr>
          <w:rFonts w:hint="eastAsia" w:ascii="宋体" w:hAnsi="宋体"/>
          <w:sz w:val="28"/>
          <w:szCs w:val="28"/>
          <w:lang w:val="en-US" w:eastAsia="zh-CN"/>
        </w:rPr>
        <w:t>根据上级部门要求，要加强大学生职业生涯教育，我校拟开展大学生职业生涯体验周活动。</w:t>
      </w:r>
      <w:r>
        <w:rPr>
          <w:rFonts w:hint="eastAsia" w:ascii="宋体" w:hAnsi="宋体"/>
          <w:sz w:val="28"/>
          <w:szCs w:val="28"/>
        </w:rPr>
        <w:t>本项目采购预算控制价</w:t>
      </w:r>
      <w:r>
        <w:rPr>
          <w:rFonts w:hint="eastAsia" w:ascii="宋体" w:hAnsi="宋体"/>
          <w:color w:val="auto"/>
          <w:sz w:val="28"/>
          <w:szCs w:val="28"/>
          <w:lang w:val="en-US" w:eastAsia="zh-CN"/>
        </w:rPr>
        <w:t>80000</w:t>
      </w:r>
      <w:r>
        <w:rPr>
          <w:rFonts w:hint="eastAsia" w:ascii="宋体" w:hAnsi="宋体"/>
          <w:sz w:val="28"/>
          <w:szCs w:val="28"/>
        </w:rPr>
        <w:t>元，资金已到位。</w:t>
      </w:r>
    </w:p>
    <w:p w14:paraId="663518C4">
      <w:pPr>
        <w:pStyle w:val="3"/>
        <w:spacing w:line="560" w:lineRule="exact"/>
      </w:pPr>
      <w:bookmarkStart w:id="7" w:name="_Toc60236699"/>
      <w:bookmarkStart w:id="8" w:name="_Toc508103352"/>
      <w:bookmarkStart w:id="9" w:name="_Toc28829"/>
      <w:r>
        <w:rPr>
          <w:rFonts w:hint="eastAsia"/>
        </w:rPr>
        <w:t>二、相关说明</w:t>
      </w:r>
      <w:bookmarkEnd w:id="7"/>
      <w:bookmarkEnd w:id="8"/>
      <w:bookmarkEnd w:id="9"/>
    </w:p>
    <w:p w14:paraId="4002E9C3">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本采购</w:t>
      </w:r>
      <w:r>
        <w:rPr>
          <w:rFonts w:hint="eastAsia" w:ascii="宋体" w:hAnsi="宋体"/>
          <w:sz w:val="28"/>
          <w:szCs w:val="28"/>
        </w:rPr>
        <w:t>书</w:t>
      </w:r>
      <w:r>
        <w:rPr>
          <w:rFonts w:ascii="宋体" w:hAnsi="宋体"/>
          <w:sz w:val="28"/>
          <w:szCs w:val="28"/>
        </w:rPr>
        <w:t>仅适用于</w:t>
      </w:r>
      <w:r>
        <w:rPr>
          <w:rFonts w:hint="eastAsia" w:ascii="宋体" w:hAnsi="宋体"/>
          <w:sz w:val="28"/>
          <w:szCs w:val="28"/>
        </w:rPr>
        <w:t>采购职能部门组织的校内分散</w:t>
      </w:r>
      <w:r>
        <w:rPr>
          <w:rFonts w:ascii="宋体" w:hAnsi="宋体"/>
          <w:sz w:val="28"/>
          <w:szCs w:val="28"/>
        </w:rPr>
        <w:t>采购活动。</w:t>
      </w:r>
    </w:p>
    <w:p w14:paraId="4197DF72">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凡符合资</w:t>
      </w:r>
      <w:r>
        <w:rPr>
          <w:rFonts w:hint="eastAsia" w:ascii="宋体" w:hAnsi="宋体"/>
          <w:sz w:val="28"/>
          <w:szCs w:val="28"/>
        </w:rPr>
        <w:t>格</w:t>
      </w:r>
      <w:r>
        <w:rPr>
          <w:rFonts w:ascii="宋体" w:hAnsi="宋体"/>
          <w:sz w:val="28"/>
          <w:szCs w:val="28"/>
        </w:rPr>
        <w:t>要求的</w:t>
      </w:r>
      <w:r>
        <w:rPr>
          <w:rFonts w:hint="eastAsia" w:ascii="宋体" w:hAnsi="宋体"/>
          <w:sz w:val="28"/>
          <w:szCs w:val="28"/>
        </w:rPr>
        <w:t>报价人</w:t>
      </w:r>
      <w:r>
        <w:rPr>
          <w:rFonts w:ascii="宋体" w:hAnsi="宋体"/>
          <w:sz w:val="28"/>
          <w:szCs w:val="28"/>
        </w:rPr>
        <w:t>均可参</w:t>
      </w:r>
      <w:r>
        <w:rPr>
          <w:rFonts w:hint="eastAsia" w:ascii="宋体" w:hAnsi="宋体"/>
          <w:sz w:val="28"/>
          <w:szCs w:val="28"/>
        </w:rPr>
        <w:t>加</w:t>
      </w:r>
      <w:r>
        <w:rPr>
          <w:rFonts w:ascii="宋体" w:hAnsi="宋体"/>
          <w:sz w:val="28"/>
          <w:szCs w:val="28"/>
        </w:rPr>
        <w:t>。</w:t>
      </w:r>
    </w:p>
    <w:p w14:paraId="2506E53D">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无论结果如何，参加</w:t>
      </w:r>
      <w:r>
        <w:rPr>
          <w:rFonts w:hint="eastAsia" w:ascii="宋体" w:hAnsi="宋体"/>
          <w:sz w:val="28"/>
          <w:szCs w:val="28"/>
        </w:rPr>
        <w:t>的报价供应商</w:t>
      </w:r>
      <w:r>
        <w:rPr>
          <w:rFonts w:ascii="宋体" w:hAnsi="宋体"/>
          <w:sz w:val="28"/>
          <w:szCs w:val="28"/>
        </w:rPr>
        <w:t>自行承担因此所产生的全部费用。</w:t>
      </w:r>
    </w:p>
    <w:p w14:paraId="0BF90D10">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本次采购活动及由本次采购活动产生的合同受国家法律制约和保护。</w:t>
      </w:r>
    </w:p>
    <w:p w14:paraId="022A751B">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14:paraId="6D657977">
      <w:pPr>
        <w:spacing w:line="560" w:lineRule="exact"/>
        <w:ind w:firstLine="560" w:firstLineChars="200"/>
        <w:rPr>
          <w:rFonts w:ascii="宋体" w:hAnsi="宋体"/>
          <w:sz w:val="28"/>
          <w:szCs w:val="28"/>
        </w:rPr>
      </w:pPr>
      <w:r>
        <w:rPr>
          <w:rFonts w:hint="eastAsia" w:ascii="宋体" w:hAnsi="宋体"/>
          <w:sz w:val="28"/>
          <w:szCs w:val="28"/>
        </w:rPr>
        <w:t>（六）本项目不接受联合体报价和自然人报价，</w:t>
      </w:r>
      <w:r>
        <w:rPr>
          <w:rFonts w:ascii="宋体" w:hAnsi="宋体"/>
          <w:sz w:val="28"/>
          <w:szCs w:val="28"/>
        </w:rPr>
        <w:t>不得</w:t>
      </w:r>
      <w:r>
        <w:rPr>
          <w:rFonts w:hint="eastAsia" w:ascii="宋体" w:hAnsi="宋体"/>
          <w:sz w:val="28"/>
          <w:szCs w:val="28"/>
        </w:rPr>
        <w:t>分包、</w:t>
      </w:r>
      <w:r>
        <w:rPr>
          <w:rFonts w:ascii="宋体" w:hAnsi="宋体"/>
          <w:sz w:val="28"/>
          <w:szCs w:val="28"/>
        </w:rPr>
        <w:t>转包</w:t>
      </w:r>
      <w:r>
        <w:rPr>
          <w:rFonts w:hint="eastAsia" w:ascii="宋体" w:hAnsi="宋体"/>
          <w:sz w:val="28"/>
          <w:szCs w:val="28"/>
        </w:rPr>
        <w:t>。</w:t>
      </w:r>
    </w:p>
    <w:p w14:paraId="4ED1D059">
      <w:pPr>
        <w:pStyle w:val="3"/>
        <w:spacing w:line="560" w:lineRule="exact"/>
      </w:pPr>
      <w:bookmarkStart w:id="10" w:name="_Toc11839"/>
      <w:bookmarkStart w:id="11" w:name="_Toc508103353"/>
      <w:bookmarkStart w:id="12" w:name="_Toc60236700"/>
      <w:r>
        <w:rPr>
          <w:rFonts w:hint="eastAsia"/>
        </w:rPr>
        <w:t>三、报价人</w:t>
      </w:r>
      <w:r>
        <w:t>资格</w:t>
      </w:r>
      <w:bookmarkEnd w:id="10"/>
      <w:bookmarkEnd w:id="11"/>
      <w:bookmarkEnd w:id="12"/>
    </w:p>
    <w:p w14:paraId="022D7D74">
      <w:pPr>
        <w:spacing w:line="560" w:lineRule="exact"/>
        <w:ind w:firstLine="560" w:firstLineChars="200"/>
        <w:rPr>
          <w:rFonts w:ascii="宋体" w:hAnsi="宋体"/>
          <w:sz w:val="28"/>
          <w:szCs w:val="28"/>
        </w:rPr>
      </w:pPr>
      <w:r>
        <w:rPr>
          <w:rFonts w:hint="eastAsia" w:ascii="宋体" w:hAnsi="宋体"/>
          <w:sz w:val="28"/>
          <w:szCs w:val="28"/>
        </w:rPr>
        <w:t>参加采购活动的报价人须具备以下条件：</w:t>
      </w:r>
    </w:p>
    <w:p w14:paraId="6B1A99C3">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14:paraId="7F27A9C1">
      <w:pPr>
        <w:spacing w:line="560" w:lineRule="exact"/>
        <w:ind w:firstLine="560" w:firstLineChars="200"/>
        <w:rPr>
          <w:rFonts w:ascii="宋体" w:hAnsi="宋体"/>
          <w:sz w:val="28"/>
          <w:szCs w:val="28"/>
        </w:rPr>
      </w:pPr>
      <w:r>
        <w:rPr>
          <w:rFonts w:hint="eastAsia" w:ascii="宋体" w:hAnsi="宋体"/>
          <w:sz w:val="28"/>
          <w:szCs w:val="28"/>
        </w:rPr>
        <w:t>（</w:t>
      </w:r>
      <w:r>
        <w:rPr>
          <w:rFonts w:hint="eastAsia" w:ascii="宋体" w:hAnsi="宋体"/>
          <w:sz w:val="28"/>
          <w:szCs w:val="28"/>
          <w:lang w:val="en-US" w:eastAsia="zh-CN"/>
        </w:rPr>
        <w:t>二</w:t>
      </w: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14:paraId="0AD0E154">
      <w:pPr>
        <w:pStyle w:val="3"/>
        <w:spacing w:line="560" w:lineRule="exact"/>
      </w:pPr>
      <w:bookmarkStart w:id="13" w:name="_Toc20873"/>
      <w:bookmarkStart w:id="14" w:name="_Toc60236701"/>
      <w:bookmarkStart w:id="15" w:name="_Toc508103354"/>
      <w:r>
        <w:rPr>
          <w:rFonts w:hint="eastAsia"/>
        </w:rPr>
        <w:t>四、</w:t>
      </w:r>
      <w:r>
        <w:t>报价要求</w:t>
      </w:r>
      <w:bookmarkEnd w:id="13"/>
      <w:bookmarkEnd w:id="14"/>
      <w:bookmarkEnd w:id="15"/>
    </w:p>
    <w:p w14:paraId="43A3AE66">
      <w:pPr>
        <w:spacing w:line="560" w:lineRule="exact"/>
        <w:ind w:firstLine="560" w:firstLineChars="200"/>
        <w:rPr>
          <w:rFonts w:ascii="宋体" w:hAnsi="宋体"/>
          <w:sz w:val="28"/>
          <w:szCs w:val="28"/>
        </w:rPr>
      </w:pPr>
      <w:r>
        <w:rPr>
          <w:rFonts w:hint="eastAsia" w:ascii="宋体" w:hAnsi="宋体"/>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sz w:val="28"/>
          <w:szCs w:val="28"/>
        </w:rPr>
        <w:t>安装调试、系统集成、培训、售后服务等其他有关的所有费用</w:t>
      </w:r>
      <w:r>
        <w:rPr>
          <w:rFonts w:hint="eastAsia" w:ascii="宋体" w:hAnsi="宋体"/>
          <w:sz w:val="28"/>
          <w:szCs w:val="28"/>
        </w:rPr>
        <w:t>，包括但不限于人工、材料、机械、管理、维护、保险、利润、税金、政策性文件规定及合同包含的所有风险、责任等各项应有费用</w:t>
      </w:r>
      <w:r>
        <w:rPr>
          <w:rFonts w:ascii="宋体" w:hAnsi="宋体"/>
          <w:sz w:val="28"/>
          <w:szCs w:val="28"/>
        </w:rPr>
        <w:t>。</w:t>
      </w:r>
      <w:r>
        <w:rPr>
          <w:rFonts w:hint="eastAsia" w:ascii="宋体" w:hAnsi="宋体"/>
          <w:sz w:val="28"/>
          <w:szCs w:val="28"/>
        </w:rPr>
        <w:t>经评审确认的报价</w:t>
      </w:r>
      <w:r>
        <w:rPr>
          <w:rFonts w:ascii="宋体" w:hAnsi="宋体"/>
          <w:sz w:val="28"/>
          <w:szCs w:val="28"/>
        </w:rPr>
        <w:t>除非因特殊原因并经双方协商同意，</w:t>
      </w:r>
      <w:r>
        <w:rPr>
          <w:rFonts w:hint="eastAsia" w:ascii="宋体" w:hAnsi="宋体"/>
          <w:sz w:val="28"/>
          <w:szCs w:val="28"/>
        </w:rPr>
        <w:t>报价人</w:t>
      </w:r>
      <w:r>
        <w:rPr>
          <w:rFonts w:ascii="宋体" w:hAnsi="宋体"/>
          <w:sz w:val="28"/>
          <w:szCs w:val="28"/>
        </w:rPr>
        <w:t>不得再要求追加任何费用。</w:t>
      </w:r>
    </w:p>
    <w:p w14:paraId="7C8EB7CB">
      <w:pPr>
        <w:spacing w:line="560" w:lineRule="exact"/>
        <w:ind w:firstLine="560" w:firstLineChars="200"/>
        <w:rPr>
          <w:rFonts w:ascii="宋体" w:hAnsi="宋体"/>
          <w:sz w:val="28"/>
          <w:szCs w:val="28"/>
        </w:rPr>
      </w:pPr>
      <w:r>
        <w:rPr>
          <w:rFonts w:hint="eastAsia" w:ascii="宋体" w:hAnsi="宋体"/>
          <w:sz w:val="28"/>
          <w:szCs w:val="28"/>
        </w:rPr>
        <w:t>提醒：</w:t>
      </w:r>
      <w:r>
        <w:rPr>
          <w:rFonts w:ascii="宋体" w:hAnsi="宋体"/>
          <w:sz w:val="28"/>
          <w:szCs w:val="28"/>
        </w:rPr>
        <w:t>报价为采购清单总价。</w:t>
      </w:r>
      <w:r>
        <w:rPr>
          <w:rFonts w:hint="eastAsia" w:ascii="宋体" w:hAnsi="宋体"/>
          <w:sz w:val="28"/>
          <w:szCs w:val="28"/>
        </w:rPr>
        <w:t>报价文件中只能提供唯一明确报价。</w:t>
      </w:r>
    </w:p>
    <w:p w14:paraId="3E2CD175">
      <w:pPr>
        <w:pStyle w:val="3"/>
        <w:spacing w:line="560" w:lineRule="exact"/>
      </w:pPr>
      <w:bookmarkStart w:id="16" w:name="_Toc508103355"/>
      <w:bookmarkStart w:id="17" w:name="_Toc18253"/>
      <w:bookmarkStart w:id="18" w:name="_Toc60236702"/>
      <w:r>
        <w:rPr>
          <w:rFonts w:hint="eastAsia"/>
        </w:rPr>
        <w:t>五、报价</w:t>
      </w:r>
      <w:r>
        <w:t>文件</w:t>
      </w:r>
      <w:r>
        <w:rPr>
          <w:rFonts w:hint="eastAsia"/>
        </w:rPr>
        <w:t>要求</w:t>
      </w:r>
      <w:bookmarkEnd w:id="16"/>
      <w:bookmarkEnd w:id="17"/>
      <w:bookmarkEnd w:id="18"/>
    </w:p>
    <w:p w14:paraId="4A37E878">
      <w:pPr>
        <w:spacing w:line="560" w:lineRule="exact"/>
        <w:ind w:firstLine="560" w:firstLineChars="200"/>
        <w:rPr>
          <w:rFonts w:ascii="宋体" w:hAnsi="宋体"/>
          <w:sz w:val="28"/>
          <w:szCs w:val="28"/>
        </w:rPr>
      </w:pPr>
      <w:r>
        <w:rPr>
          <w:rFonts w:hint="eastAsia" w:ascii="宋体" w:hAnsi="宋体"/>
          <w:sz w:val="28"/>
          <w:szCs w:val="28"/>
        </w:rPr>
        <w:t>报价人应按照下列内容及顺序编写、装订报价文件。</w:t>
      </w:r>
      <w:r>
        <w:rPr>
          <w:rFonts w:hint="eastAsia" w:ascii="宋体" w:hAnsi="宋体"/>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hint="eastAsia" w:ascii="宋体" w:hAnsi="宋体"/>
          <w:b/>
          <w:sz w:val="28"/>
          <w:szCs w:val="28"/>
        </w:rPr>
        <w:t>报价人单位公章方为</w:t>
      </w:r>
      <w:r>
        <w:rPr>
          <w:rFonts w:ascii="宋体" w:hAnsi="宋体"/>
          <w:b/>
          <w:sz w:val="28"/>
          <w:szCs w:val="28"/>
        </w:rPr>
        <w:t>有效</w:t>
      </w:r>
      <w:r>
        <w:rPr>
          <w:rFonts w:hint="eastAsia" w:ascii="宋体" w:hAnsi="宋体"/>
          <w:sz w:val="28"/>
          <w:szCs w:val="28"/>
        </w:rPr>
        <w:t>。</w:t>
      </w:r>
    </w:p>
    <w:p w14:paraId="517788A2">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一）报价文件的构成、顺序及要求</w:t>
      </w:r>
    </w:p>
    <w:p w14:paraId="6D3FF045">
      <w:pPr>
        <w:spacing w:line="560" w:lineRule="exact"/>
        <w:ind w:firstLine="560" w:firstLineChars="200"/>
        <w:rPr>
          <w:rFonts w:ascii="宋体" w:hAnsi="宋体"/>
          <w:sz w:val="28"/>
          <w:szCs w:val="28"/>
        </w:rPr>
      </w:pPr>
      <w:r>
        <w:rPr>
          <w:rFonts w:hint="eastAsia" w:ascii="宋体" w:hAnsi="宋体"/>
          <w:sz w:val="28"/>
          <w:szCs w:val="28"/>
        </w:rPr>
        <w:t>1.报价文件封面；</w:t>
      </w:r>
    </w:p>
    <w:p w14:paraId="412C9A99">
      <w:pPr>
        <w:spacing w:line="560" w:lineRule="exact"/>
        <w:ind w:firstLine="560" w:firstLineChars="200"/>
        <w:rPr>
          <w:rFonts w:ascii="宋体" w:hAnsi="宋体"/>
          <w:sz w:val="28"/>
          <w:szCs w:val="28"/>
        </w:rPr>
      </w:pPr>
      <w:r>
        <w:rPr>
          <w:rFonts w:hint="eastAsia" w:ascii="宋体" w:hAnsi="宋体"/>
          <w:sz w:val="28"/>
          <w:szCs w:val="28"/>
        </w:rPr>
        <w:t>2.目录；</w:t>
      </w:r>
    </w:p>
    <w:p w14:paraId="1FC1BAAE">
      <w:pPr>
        <w:spacing w:line="560" w:lineRule="exact"/>
        <w:ind w:firstLine="562" w:firstLineChars="200"/>
        <w:rPr>
          <w:rFonts w:ascii="宋体" w:hAnsi="宋体"/>
          <w:b/>
          <w:bCs/>
          <w:sz w:val="28"/>
          <w:szCs w:val="28"/>
        </w:rPr>
      </w:pPr>
      <w:r>
        <w:rPr>
          <w:rFonts w:hint="eastAsia" w:ascii="宋体" w:hAnsi="宋体"/>
          <w:b/>
          <w:bCs/>
          <w:sz w:val="28"/>
          <w:szCs w:val="28"/>
        </w:rPr>
        <w:t>3.资格性审查材料，包括但不限于：</w:t>
      </w:r>
    </w:p>
    <w:p w14:paraId="234554E6">
      <w:pPr>
        <w:spacing w:line="560" w:lineRule="exact"/>
        <w:ind w:firstLine="560" w:firstLineChars="200"/>
        <w:rPr>
          <w:rFonts w:ascii="宋体" w:hAnsi="宋体"/>
          <w:sz w:val="28"/>
          <w:szCs w:val="28"/>
        </w:rPr>
      </w:pPr>
      <w:r>
        <w:rPr>
          <w:rFonts w:hint="eastAsia" w:ascii="宋体" w:hAnsi="宋体"/>
          <w:sz w:val="28"/>
          <w:szCs w:val="28"/>
        </w:rPr>
        <w:t>（1）营业执照（或事业法人登记证等相关证明）副本复印件；</w:t>
      </w:r>
    </w:p>
    <w:p w14:paraId="21AF05E8">
      <w:pPr>
        <w:spacing w:line="560" w:lineRule="exact"/>
        <w:ind w:firstLine="560" w:firstLineChars="200"/>
        <w:rPr>
          <w:rFonts w:ascii="宋体" w:hAnsi="宋体"/>
          <w:sz w:val="28"/>
          <w:szCs w:val="28"/>
        </w:rPr>
      </w:pPr>
      <w:r>
        <w:rPr>
          <w:rFonts w:hint="eastAsia" w:ascii="宋体" w:hAnsi="宋体"/>
          <w:sz w:val="28"/>
          <w:szCs w:val="28"/>
        </w:rPr>
        <w:t>（2）相关资质证书或许可证书等复印件；</w:t>
      </w:r>
    </w:p>
    <w:p w14:paraId="6C92B6EE">
      <w:pPr>
        <w:spacing w:line="560" w:lineRule="exact"/>
        <w:ind w:firstLine="562" w:firstLineChars="200"/>
        <w:rPr>
          <w:rFonts w:ascii="宋体" w:hAnsi="宋体"/>
          <w:b/>
          <w:sz w:val="28"/>
          <w:szCs w:val="28"/>
        </w:rPr>
      </w:pPr>
      <w:r>
        <w:rPr>
          <w:rFonts w:hint="eastAsia" w:ascii="宋体" w:hAnsi="宋体"/>
          <w:b/>
          <w:sz w:val="28"/>
          <w:szCs w:val="28"/>
        </w:rPr>
        <w:t>4.符合性审查材料，包括但不限于：</w:t>
      </w:r>
    </w:p>
    <w:p w14:paraId="31028C30">
      <w:pPr>
        <w:spacing w:line="560" w:lineRule="exact"/>
        <w:ind w:firstLine="560" w:firstLineChars="200"/>
        <w:rPr>
          <w:rFonts w:ascii="宋体" w:hAnsi="宋体"/>
          <w:sz w:val="28"/>
          <w:szCs w:val="28"/>
        </w:rPr>
      </w:pPr>
      <w:r>
        <w:rPr>
          <w:rFonts w:hint="eastAsia" w:ascii="宋体" w:hAnsi="宋体"/>
          <w:sz w:val="28"/>
          <w:szCs w:val="28"/>
        </w:rPr>
        <w:t>（1）提供法人或负责人资格证明、授权委托书；</w:t>
      </w:r>
    </w:p>
    <w:p w14:paraId="745ECE4B">
      <w:pPr>
        <w:spacing w:line="560" w:lineRule="exact"/>
        <w:ind w:firstLine="560" w:firstLineChars="200"/>
        <w:rPr>
          <w:rFonts w:ascii="宋体" w:hAnsi="宋体"/>
          <w:b/>
          <w:sz w:val="28"/>
          <w:szCs w:val="28"/>
        </w:rPr>
      </w:pPr>
      <w:r>
        <w:rPr>
          <w:rFonts w:hint="eastAsia" w:ascii="宋体" w:hAnsi="宋体"/>
          <w:sz w:val="28"/>
          <w:szCs w:val="28"/>
        </w:rPr>
        <w:t>（2）报价一览表；</w:t>
      </w:r>
    </w:p>
    <w:p w14:paraId="01454FF2">
      <w:pPr>
        <w:spacing w:line="560" w:lineRule="exact"/>
        <w:ind w:firstLine="560" w:firstLineChars="200"/>
        <w:rPr>
          <w:rFonts w:ascii="宋体" w:hAnsi="宋体"/>
          <w:sz w:val="28"/>
          <w:szCs w:val="28"/>
        </w:rPr>
      </w:pPr>
      <w:r>
        <w:rPr>
          <w:rFonts w:hint="eastAsia" w:ascii="宋体" w:hAnsi="宋体"/>
          <w:sz w:val="28"/>
          <w:szCs w:val="28"/>
        </w:rPr>
        <w:t>（3）报价明细表；</w:t>
      </w:r>
    </w:p>
    <w:p w14:paraId="66819D2C">
      <w:pPr>
        <w:spacing w:line="560" w:lineRule="exact"/>
        <w:ind w:firstLine="560" w:firstLineChars="200"/>
        <w:rPr>
          <w:rFonts w:ascii="宋体" w:hAnsi="宋体"/>
          <w:sz w:val="28"/>
          <w:szCs w:val="28"/>
        </w:rPr>
      </w:pPr>
      <w:r>
        <w:rPr>
          <w:rFonts w:hint="eastAsia" w:ascii="宋体" w:hAnsi="宋体"/>
          <w:sz w:val="28"/>
          <w:szCs w:val="28"/>
        </w:rPr>
        <w:t>（4）“技术（服务）条款响应表”和“商务条款响应表”；</w:t>
      </w:r>
    </w:p>
    <w:p w14:paraId="71E9523B">
      <w:pPr>
        <w:spacing w:line="560" w:lineRule="exact"/>
        <w:ind w:firstLine="560" w:firstLineChars="200"/>
        <w:rPr>
          <w:rFonts w:ascii="宋体" w:hAnsi="宋体"/>
          <w:sz w:val="28"/>
          <w:szCs w:val="28"/>
        </w:rPr>
      </w:pPr>
      <w:r>
        <w:rPr>
          <w:rFonts w:hint="eastAsia" w:ascii="宋体" w:hAnsi="宋体"/>
          <w:sz w:val="28"/>
          <w:szCs w:val="28"/>
        </w:rPr>
        <w:t>（5）报价人声明及承诺；</w:t>
      </w:r>
    </w:p>
    <w:p w14:paraId="19B97338">
      <w:pPr>
        <w:spacing w:line="560" w:lineRule="exact"/>
        <w:ind w:firstLine="560" w:firstLineChars="200"/>
        <w:rPr>
          <w:rFonts w:ascii="宋体" w:hAnsi="宋体"/>
          <w:sz w:val="28"/>
          <w:szCs w:val="28"/>
        </w:rPr>
      </w:pPr>
      <w:r>
        <w:rPr>
          <w:rFonts w:hint="eastAsia" w:ascii="宋体" w:hAnsi="宋体"/>
          <w:sz w:val="28"/>
          <w:szCs w:val="28"/>
        </w:rPr>
        <w:t>5.证明材料等；</w:t>
      </w:r>
    </w:p>
    <w:p w14:paraId="35E8C361">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二）报价文件</w:t>
      </w:r>
      <w:r>
        <w:rPr>
          <w:rFonts w:ascii="宋体" w:hAnsi="宋体"/>
          <w:sz w:val="28"/>
          <w:szCs w:val="28"/>
        </w:rPr>
        <w:t>的份数、签署和封装</w:t>
      </w:r>
    </w:p>
    <w:p w14:paraId="57BF212D">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.报价人必须制作报价文件。报价文件</w:t>
      </w:r>
      <w:r>
        <w:rPr>
          <w:rFonts w:ascii="宋体" w:hAnsi="宋体"/>
          <w:sz w:val="28"/>
          <w:szCs w:val="28"/>
        </w:rPr>
        <w:t>份数为正本1份，副本</w:t>
      </w:r>
      <w:r>
        <w:rPr>
          <w:rFonts w:hint="eastAsia" w:ascii="宋体" w:hAnsi="宋体"/>
          <w:sz w:val="28"/>
          <w:szCs w:val="28"/>
        </w:rPr>
        <w:t>2</w:t>
      </w:r>
      <w:r>
        <w:rPr>
          <w:rFonts w:ascii="宋体" w:hAnsi="宋体"/>
          <w:sz w:val="28"/>
          <w:szCs w:val="28"/>
        </w:rPr>
        <w:t>份。</w:t>
      </w:r>
      <w:r>
        <w:rPr>
          <w:rFonts w:hint="eastAsia" w:ascii="宋体" w:hAnsi="宋体"/>
          <w:sz w:val="28"/>
          <w:szCs w:val="28"/>
        </w:rPr>
        <w:t>报价文件应当</w:t>
      </w:r>
      <w:r>
        <w:rPr>
          <w:rFonts w:ascii="宋体" w:hAnsi="宋体"/>
          <w:sz w:val="28"/>
          <w:szCs w:val="28"/>
        </w:rPr>
        <w:t>清楚地标明“正本”</w:t>
      </w:r>
      <w:r>
        <w:rPr>
          <w:rFonts w:hint="eastAsia" w:ascii="宋体" w:hAnsi="宋体"/>
          <w:sz w:val="28"/>
          <w:szCs w:val="28"/>
        </w:rPr>
        <w:t>和</w:t>
      </w:r>
      <w:r>
        <w:rPr>
          <w:rFonts w:ascii="宋体" w:hAnsi="宋体"/>
          <w:sz w:val="28"/>
          <w:szCs w:val="28"/>
        </w:rPr>
        <w:t>“副本”，“副本”</w:t>
      </w:r>
      <w:r>
        <w:rPr>
          <w:rFonts w:hint="eastAsia" w:ascii="宋体" w:hAnsi="宋体"/>
          <w:sz w:val="28"/>
          <w:szCs w:val="28"/>
        </w:rPr>
        <w:t>可由</w:t>
      </w:r>
      <w:r>
        <w:rPr>
          <w:rFonts w:ascii="宋体" w:hAnsi="宋体"/>
          <w:sz w:val="28"/>
          <w:szCs w:val="28"/>
        </w:rPr>
        <w:t>“正本”</w:t>
      </w:r>
      <w:r>
        <w:rPr>
          <w:rFonts w:hint="eastAsia" w:ascii="宋体" w:hAnsi="宋体"/>
          <w:sz w:val="28"/>
          <w:szCs w:val="28"/>
        </w:rPr>
        <w:t>复印</w:t>
      </w:r>
      <w:r>
        <w:rPr>
          <w:rFonts w:ascii="宋体" w:hAnsi="宋体"/>
          <w:sz w:val="28"/>
          <w:szCs w:val="28"/>
        </w:rPr>
        <w:t>，</w:t>
      </w:r>
      <w:r>
        <w:rPr>
          <w:rFonts w:hint="eastAsia" w:ascii="宋体" w:hAnsi="宋体"/>
          <w:sz w:val="28"/>
          <w:szCs w:val="28"/>
        </w:rPr>
        <w:t>当</w:t>
      </w:r>
      <w:r>
        <w:rPr>
          <w:rFonts w:ascii="宋体" w:hAnsi="宋体"/>
          <w:sz w:val="28"/>
          <w:szCs w:val="28"/>
        </w:rPr>
        <w:t>“副本”</w:t>
      </w:r>
      <w:r>
        <w:rPr>
          <w:rFonts w:hint="eastAsia" w:ascii="宋体" w:hAnsi="宋体"/>
          <w:sz w:val="28"/>
          <w:szCs w:val="28"/>
        </w:rPr>
        <w:t>和</w:t>
      </w:r>
      <w:r>
        <w:rPr>
          <w:rFonts w:ascii="宋体" w:hAnsi="宋体"/>
          <w:sz w:val="28"/>
          <w:szCs w:val="28"/>
        </w:rPr>
        <w:t>“正本”内容</w:t>
      </w:r>
      <w:r>
        <w:rPr>
          <w:rFonts w:hint="eastAsia" w:ascii="宋体" w:hAnsi="宋体"/>
          <w:sz w:val="28"/>
          <w:szCs w:val="28"/>
        </w:rPr>
        <w:t>不</w:t>
      </w:r>
      <w:r>
        <w:rPr>
          <w:rFonts w:ascii="宋体" w:hAnsi="宋体"/>
          <w:sz w:val="28"/>
          <w:szCs w:val="28"/>
        </w:rPr>
        <w:t>一致</w:t>
      </w:r>
      <w:r>
        <w:rPr>
          <w:rFonts w:hint="eastAsia" w:ascii="宋体" w:hAnsi="宋体"/>
          <w:sz w:val="28"/>
          <w:szCs w:val="28"/>
        </w:rPr>
        <w:t>时，</w:t>
      </w:r>
      <w:r>
        <w:rPr>
          <w:rFonts w:ascii="宋体" w:hAnsi="宋体"/>
          <w:sz w:val="28"/>
          <w:szCs w:val="28"/>
        </w:rPr>
        <w:t>以正本为准</w:t>
      </w:r>
      <w:r>
        <w:rPr>
          <w:rFonts w:hint="eastAsia" w:ascii="宋体" w:hAnsi="宋体"/>
          <w:sz w:val="28"/>
          <w:szCs w:val="28"/>
        </w:rPr>
        <w:t>。报价文件</w:t>
      </w:r>
      <w:r>
        <w:rPr>
          <w:rFonts w:ascii="宋体" w:hAnsi="宋体"/>
          <w:sz w:val="28"/>
          <w:szCs w:val="28"/>
        </w:rPr>
        <w:t>的“正本”</w:t>
      </w:r>
      <w:r>
        <w:rPr>
          <w:rFonts w:hint="eastAsia" w:ascii="宋体" w:hAnsi="宋体"/>
          <w:sz w:val="28"/>
          <w:szCs w:val="28"/>
        </w:rPr>
        <w:t>和</w:t>
      </w:r>
      <w:r>
        <w:rPr>
          <w:rFonts w:ascii="宋体" w:hAnsi="宋体"/>
          <w:sz w:val="28"/>
          <w:szCs w:val="28"/>
        </w:rPr>
        <w:t>所有“副本”</w:t>
      </w:r>
      <w:r>
        <w:rPr>
          <w:rFonts w:ascii="宋体" w:hAnsi="宋体"/>
          <w:b/>
          <w:sz w:val="28"/>
          <w:szCs w:val="28"/>
        </w:rPr>
        <w:t>一并装入</w:t>
      </w:r>
      <w:r>
        <w:rPr>
          <w:rFonts w:hint="eastAsia" w:ascii="宋体" w:hAnsi="宋体"/>
          <w:b/>
          <w:sz w:val="28"/>
          <w:szCs w:val="28"/>
        </w:rPr>
        <w:t>同一</w:t>
      </w:r>
      <w:r>
        <w:rPr>
          <w:rFonts w:ascii="宋体" w:hAnsi="宋体"/>
          <w:b/>
          <w:sz w:val="28"/>
          <w:szCs w:val="28"/>
        </w:rPr>
        <w:t>密封袋（</w:t>
      </w:r>
      <w:r>
        <w:rPr>
          <w:rFonts w:hint="eastAsia" w:ascii="宋体" w:hAnsi="宋体"/>
          <w:b/>
          <w:sz w:val="28"/>
          <w:szCs w:val="28"/>
        </w:rPr>
        <w:t>不要分开密封）</w:t>
      </w:r>
      <w:r>
        <w:rPr>
          <w:rFonts w:hint="eastAsia" w:ascii="宋体" w:hAnsi="宋体"/>
          <w:sz w:val="28"/>
          <w:szCs w:val="28"/>
        </w:rPr>
        <w:t>。将密封袋密封后</w:t>
      </w:r>
      <w:r>
        <w:rPr>
          <w:rFonts w:ascii="宋体" w:hAnsi="宋体"/>
          <w:sz w:val="28"/>
          <w:szCs w:val="28"/>
        </w:rPr>
        <w:t>加盖与</w:t>
      </w:r>
      <w:r>
        <w:rPr>
          <w:rFonts w:hint="eastAsia" w:ascii="宋体" w:hAnsi="宋体"/>
          <w:sz w:val="28"/>
          <w:szCs w:val="28"/>
        </w:rPr>
        <w:t>报价人单位</w:t>
      </w:r>
      <w:r>
        <w:rPr>
          <w:rFonts w:ascii="宋体" w:hAnsi="宋体"/>
          <w:sz w:val="28"/>
          <w:szCs w:val="28"/>
        </w:rPr>
        <w:t>一致的有效印章。</w:t>
      </w:r>
      <w:r>
        <w:rPr>
          <w:rFonts w:hint="eastAsia" w:ascii="宋体" w:hAnsi="宋体"/>
          <w:sz w:val="28"/>
          <w:szCs w:val="28"/>
        </w:rPr>
        <w:t>报价文件以电子形式提交，应当加密。报价文件应规定时间内由评审小组现场拆封。评审小组需确认报价文件的密封性并作记录。</w:t>
      </w:r>
    </w:p>
    <w:p w14:paraId="442703DC">
      <w:pPr>
        <w:spacing w:line="560" w:lineRule="exact"/>
        <w:ind w:firstLine="560" w:firstLineChars="200"/>
        <w:rPr>
          <w:rFonts w:ascii="宋体" w:hAnsi="宋体"/>
          <w:sz w:val="28"/>
          <w:szCs w:val="28"/>
        </w:rPr>
      </w:pPr>
      <w:r>
        <w:rPr>
          <w:rFonts w:hint="eastAsia" w:ascii="宋体" w:hAnsi="宋体"/>
          <w:sz w:val="28"/>
          <w:szCs w:val="28"/>
        </w:rPr>
        <w:t>2.报价文件一经送达，无论报价人是否推荐成交，其报价文件不予退还。</w:t>
      </w:r>
    </w:p>
    <w:p w14:paraId="03FE5F92">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三）报价</w:t>
      </w:r>
      <w:r>
        <w:rPr>
          <w:rFonts w:ascii="宋体" w:hAnsi="宋体"/>
          <w:sz w:val="28"/>
          <w:szCs w:val="28"/>
        </w:rPr>
        <w:t>响应和偏差</w:t>
      </w:r>
    </w:p>
    <w:p w14:paraId="3B70FD3D">
      <w:pPr>
        <w:spacing w:line="560" w:lineRule="exact"/>
        <w:ind w:firstLine="560" w:firstLineChars="200"/>
        <w:rPr>
          <w:rFonts w:ascii="宋体" w:hAnsi="宋体"/>
          <w:sz w:val="28"/>
          <w:szCs w:val="28"/>
        </w:rPr>
      </w:pPr>
      <w:r>
        <w:rPr>
          <w:rFonts w:hint="eastAsia" w:ascii="宋体" w:hAnsi="宋体"/>
          <w:sz w:val="28"/>
          <w:szCs w:val="28"/>
        </w:rPr>
        <w:t>1.报价文件</w:t>
      </w:r>
      <w:r>
        <w:rPr>
          <w:rFonts w:ascii="宋体" w:hAnsi="宋体"/>
          <w:sz w:val="28"/>
          <w:szCs w:val="28"/>
        </w:rPr>
        <w:t>应当对</w:t>
      </w:r>
      <w:r>
        <w:rPr>
          <w:rFonts w:hint="eastAsia" w:ascii="宋体" w:hAnsi="宋体"/>
          <w:sz w:val="28"/>
          <w:szCs w:val="28"/>
        </w:rPr>
        <w:t>采购书</w:t>
      </w:r>
      <w:r>
        <w:rPr>
          <w:rFonts w:ascii="宋体" w:hAnsi="宋体"/>
          <w:sz w:val="28"/>
          <w:szCs w:val="28"/>
        </w:rPr>
        <w:t>的</w:t>
      </w:r>
      <w:r>
        <w:rPr>
          <w:rFonts w:hint="eastAsia" w:ascii="宋体" w:hAnsi="宋体"/>
          <w:sz w:val="28"/>
          <w:szCs w:val="28"/>
        </w:rPr>
        <w:t>所有技术规格及性能指标、</w:t>
      </w:r>
      <w:r>
        <w:rPr>
          <w:rFonts w:ascii="宋体" w:hAnsi="宋体"/>
          <w:sz w:val="28"/>
          <w:szCs w:val="28"/>
        </w:rPr>
        <w:t>实质性要求和条件作出满足性或更有利于</w:t>
      </w:r>
      <w:r>
        <w:rPr>
          <w:rFonts w:hint="eastAsia" w:ascii="宋体" w:hAnsi="宋体"/>
          <w:sz w:val="28"/>
          <w:szCs w:val="28"/>
        </w:rPr>
        <w:t>采购单位</w:t>
      </w:r>
      <w:r>
        <w:rPr>
          <w:rFonts w:ascii="宋体" w:hAnsi="宋体"/>
          <w:sz w:val="28"/>
          <w:szCs w:val="28"/>
        </w:rPr>
        <w:t>的响应。</w:t>
      </w:r>
    </w:p>
    <w:p w14:paraId="7390F31C">
      <w:pPr>
        <w:spacing w:line="560" w:lineRule="exact"/>
        <w:ind w:firstLine="560" w:firstLineChars="200"/>
        <w:rPr>
          <w:rFonts w:ascii="宋体" w:hAnsi="宋体"/>
          <w:sz w:val="28"/>
          <w:szCs w:val="28"/>
        </w:rPr>
      </w:pPr>
      <w:r>
        <w:rPr>
          <w:rFonts w:hint="eastAsia" w:ascii="宋体" w:hAnsi="宋体"/>
          <w:sz w:val="28"/>
          <w:szCs w:val="28"/>
        </w:rPr>
        <w:t>2.采购书</w:t>
      </w:r>
      <w:r>
        <w:rPr>
          <w:rFonts w:ascii="宋体" w:hAnsi="宋体"/>
          <w:sz w:val="28"/>
          <w:szCs w:val="28"/>
        </w:rPr>
        <w:t>中</w:t>
      </w:r>
      <w:r>
        <w:rPr>
          <w:rFonts w:hint="eastAsia" w:ascii="宋体" w:hAnsi="宋体"/>
          <w:sz w:val="28"/>
          <w:szCs w:val="28"/>
        </w:rPr>
        <w:t>如果</w:t>
      </w:r>
      <w:r>
        <w:rPr>
          <w:rFonts w:ascii="宋体" w:hAnsi="宋体"/>
          <w:sz w:val="28"/>
          <w:szCs w:val="28"/>
        </w:rPr>
        <w:t>规定了可以偏差的范围和最高偏差项数的，</w:t>
      </w:r>
      <w:r>
        <w:rPr>
          <w:rFonts w:hint="eastAsia" w:ascii="宋体" w:hAnsi="宋体"/>
          <w:sz w:val="28"/>
          <w:szCs w:val="28"/>
        </w:rPr>
        <w:t>则</w:t>
      </w:r>
      <w:r>
        <w:rPr>
          <w:rFonts w:ascii="宋体" w:hAnsi="宋体"/>
          <w:sz w:val="28"/>
          <w:szCs w:val="28"/>
        </w:rPr>
        <w:t>超出偏差范围和最高偏差项数的</w:t>
      </w:r>
      <w:r>
        <w:rPr>
          <w:rFonts w:hint="eastAsia" w:ascii="宋体" w:hAnsi="宋体"/>
          <w:sz w:val="28"/>
          <w:szCs w:val="28"/>
        </w:rPr>
        <w:t>报价</w:t>
      </w:r>
      <w:r>
        <w:rPr>
          <w:rFonts w:ascii="宋体" w:hAnsi="宋体"/>
          <w:sz w:val="28"/>
          <w:szCs w:val="28"/>
        </w:rPr>
        <w:t>将被否决。</w:t>
      </w:r>
    </w:p>
    <w:p w14:paraId="483EEB18">
      <w:pPr>
        <w:spacing w:line="560" w:lineRule="exact"/>
        <w:ind w:firstLine="560" w:firstLineChars="200"/>
        <w:rPr>
          <w:rFonts w:ascii="宋体" w:hAnsi="宋体"/>
          <w:kern w:val="0"/>
          <w:sz w:val="28"/>
          <w:szCs w:val="28"/>
        </w:rPr>
      </w:pPr>
      <w:r>
        <w:rPr>
          <w:rFonts w:hint="eastAsia" w:ascii="宋体" w:hAnsi="宋体"/>
          <w:sz w:val="28"/>
          <w:szCs w:val="28"/>
        </w:rPr>
        <w:t>3.报价文件对采购书的全部偏差，均应在报价文件的</w:t>
      </w:r>
      <w:r>
        <w:rPr>
          <w:rFonts w:hint="eastAsia" w:ascii="宋体" w:hAnsi="宋体"/>
          <w:kern w:val="0"/>
          <w:sz w:val="28"/>
          <w:szCs w:val="28"/>
        </w:rPr>
        <w:t>“技术（服务）条款响应表”和“商务条款响应表”</w:t>
      </w:r>
      <w:r>
        <w:rPr>
          <w:rFonts w:hint="eastAsia" w:ascii="宋体" w:hAnsi="宋体"/>
          <w:sz w:val="28"/>
          <w:szCs w:val="28"/>
        </w:rPr>
        <w:t>中列明，除列明的内容外，视为报价人完全响应采购书的全</w:t>
      </w:r>
      <w:r>
        <w:rPr>
          <w:rFonts w:hint="eastAsia" w:ascii="宋体" w:hAnsi="宋体"/>
          <w:kern w:val="0"/>
          <w:sz w:val="28"/>
          <w:szCs w:val="28"/>
        </w:rPr>
        <w:t>部要求。报价人如不提供“技术（服务）条款响应表”和“商务条款响应表”，或仅提供空白表格，将被视为没有实质性响应采购书。</w:t>
      </w:r>
    </w:p>
    <w:p w14:paraId="10FC2AAF">
      <w:pPr>
        <w:spacing w:line="560" w:lineRule="exact"/>
        <w:ind w:firstLine="560" w:firstLineChars="200"/>
        <w:rPr>
          <w:rFonts w:ascii="宋体" w:hAnsi="宋体"/>
          <w:sz w:val="28"/>
          <w:szCs w:val="28"/>
        </w:rPr>
      </w:pPr>
      <w:r>
        <w:rPr>
          <w:rFonts w:hint="eastAsia" w:ascii="宋体" w:hAnsi="宋体"/>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14:paraId="1AB98BF1">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四）报价无效情况</w:t>
      </w:r>
    </w:p>
    <w:p w14:paraId="77B44439">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.报价文件送达的时间超过规定的报价文件送达截止时间。</w:t>
      </w:r>
    </w:p>
    <w:p w14:paraId="1C83EC1F">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.报价文件内容不符合“资格性”、“符合性”审查要求，或不满足采购需求星号条款要求。</w:t>
      </w:r>
    </w:p>
    <w:p w14:paraId="21518464">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.报价超过采购预算；出现两个或多个报价。</w:t>
      </w:r>
    </w:p>
    <w:p w14:paraId="78DB9887">
      <w:pPr>
        <w:spacing w:line="560" w:lineRule="exact"/>
        <w:ind w:firstLine="560" w:firstLineChars="200"/>
        <w:rPr>
          <w:rFonts w:ascii="宋体" w:hAnsi="宋体" w:cs="宋体"/>
          <w:kern w:val="0"/>
          <w:sz w:val="28"/>
          <w:szCs w:val="28"/>
        </w:rPr>
      </w:pPr>
      <w:r>
        <w:rPr>
          <w:rFonts w:ascii="宋体" w:hAnsi="宋体"/>
          <w:sz w:val="28"/>
          <w:szCs w:val="28"/>
        </w:rPr>
        <w:t>4</w:t>
      </w:r>
      <w:r>
        <w:rPr>
          <w:rFonts w:hint="eastAsia" w:ascii="宋体" w:hAnsi="宋体"/>
          <w:sz w:val="28"/>
          <w:szCs w:val="28"/>
        </w:rPr>
        <w:t>.</w:t>
      </w:r>
      <w:r>
        <w:rPr>
          <w:rFonts w:hint="eastAsia" w:ascii="宋体" w:hAnsi="宋体" w:cs="宋体"/>
          <w:kern w:val="0"/>
          <w:sz w:val="28"/>
          <w:szCs w:val="28"/>
        </w:rPr>
        <w:t>报价文件含有采购单位不能接受的附加条件。</w:t>
      </w:r>
    </w:p>
    <w:p w14:paraId="7BF5EC84">
      <w:pPr>
        <w:pStyle w:val="3"/>
        <w:spacing w:line="560" w:lineRule="exact"/>
      </w:pPr>
      <w:bookmarkStart w:id="19" w:name="_Toc508103356"/>
      <w:bookmarkStart w:id="20" w:name="_Toc10890"/>
      <w:bookmarkStart w:id="21" w:name="_Toc60236703"/>
      <w:r>
        <w:rPr>
          <w:rFonts w:hint="eastAsia"/>
        </w:rPr>
        <w:t>六、评审</w:t>
      </w:r>
      <w:r>
        <w:t>方法</w:t>
      </w:r>
      <w:r>
        <w:rPr>
          <w:rFonts w:hint="eastAsia"/>
        </w:rPr>
        <w:t>及原则</w:t>
      </w:r>
      <w:bookmarkEnd w:id="19"/>
      <w:bookmarkEnd w:id="20"/>
      <w:bookmarkEnd w:id="21"/>
    </w:p>
    <w:p w14:paraId="1DEA9347">
      <w:pPr>
        <w:spacing w:line="560" w:lineRule="exact"/>
        <w:ind w:firstLine="560" w:firstLineChars="200"/>
        <w:rPr>
          <w:rFonts w:ascii="宋体" w:hAnsi="宋体"/>
          <w:color w:val="0000FF"/>
          <w:sz w:val="28"/>
          <w:szCs w:val="28"/>
          <w:u w:val="single"/>
        </w:rPr>
      </w:pPr>
      <w:r>
        <w:rPr>
          <w:rFonts w:hint="eastAsia" w:ascii="宋体" w:hAnsi="宋体"/>
          <w:sz w:val="28"/>
          <w:szCs w:val="28"/>
        </w:rPr>
        <w:t>本项目采用评审方法</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方法二</w:t>
      </w:r>
      <w:r>
        <w:rPr>
          <w:rFonts w:hint="eastAsia" w:ascii="宋体" w:hAnsi="宋体"/>
          <w:color w:val="auto"/>
          <w:sz w:val="28"/>
          <w:szCs w:val="28"/>
          <w:u w:val="single"/>
        </w:rPr>
        <w:t xml:space="preserve"> 。</w:t>
      </w:r>
    </w:p>
    <w:p w14:paraId="17C64CA4">
      <w:pPr>
        <w:spacing w:line="560" w:lineRule="exact"/>
        <w:ind w:firstLine="562" w:firstLineChars="200"/>
        <w:rPr>
          <w:rFonts w:ascii="宋体" w:hAnsi="宋体"/>
          <w:sz w:val="28"/>
          <w:szCs w:val="28"/>
        </w:rPr>
      </w:pPr>
      <w:r>
        <w:rPr>
          <w:rFonts w:hint="eastAsia" w:ascii="宋体" w:hAnsi="宋体"/>
          <w:b/>
          <w:bCs/>
          <w:sz w:val="28"/>
          <w:szCs w:val="28"/>
        </w:rPr>
        <w:t>（一）评审方法一：满足资格性和符合性要求的供应商中，按报价最低成交。</w:t>
      </w:r>
    </w:p>
    <w:p w14:paraId="2B063A89">
      <w:pPr>
        <w:spacing w:line="400" w:lineRule="exact"/>
        <w:ind w:firstLine="560" w:firstLineChars="200"/>
        <w:rPr>
          <w:rFonts w:ascii="宋体" w:hAnsi="宋体"/>
          <w:sz w:val="28"/>
          <w:szCs w:val="28"/>
        </w:rPr>
      </w:pPr>
      <w:r>
        <w:rPr>
          <w:rFonts w:hint="eastAsia" w:ascii="宋体" w:hAnsi="宋体"/>
          <w:sz w:val="28"/>
          <w:szCs w:val="28"/>
        </w:rPr>
        <w:t>1.资格性和符合性评审：</w:t>
      </w:r>
    </w:p>
    <w:p w14:paraId="57DBD1F2">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14:paraId="1C3F1B2A">
      <w:pPr>
        <w:spacing w:line="560" w:lineRule="exact"/>
        <w:ind w:firstLine="562" w:firstLineChars="200"/>
        <w:rPr>
          <w:rFonts w:ascii="宋体" w:hAnsi="宋体"/>
          <w:sz w:val="28"/>
          <w:szCs w:val="28"/>
        </w:rPr>
      </w:pPr>
      <w:r>
        <w:rPr>
          <w:rFonts w:hint="eastAsia" w:ascii="宋体" w:hAnsi="宋体"/>
          <w:b/>
          <w:bCs/>
          <w:sz w:val="28"/>
          <w:szCs w:val="28"/>
        </w:rPr>
        <w:t>2、详细性评审：</w:t>
      </w:r>
      <w:r>
        <w:rPr>
          <w:rFonts w:hint="eastAsia" w:ascii="宋体" w:hAnsi="宋体"/>
          <w:sz w:val="28"/>
          <w:szCs w:val="28"/>
        </w:rPr>
        <w:t>评审小组按照报价最低原则确定成交供应商。有效报价最低的的供应商推荐为成交供应商。最低报价相等时，由采购方代表确定1家作为成交供应商。</w:t>
      </w:r>
    </w:p>
    <w:p w14:paraId="6DF1F267">
      <w:pPr>
        <w:spacing w:line="560" w:lineRule="exact"/>
        <w:ind w:firstLine="562" w:firstLineChars="200"/>
        <w:rPr>
          <w:rFonts w:ascii="宋体" w:hAnsi="宋体"/>
          <w:b/>
          <w:bCs/>
          <w:sz w:val="28"/>
          <w:szCs w:val="28"/>
        </w:rPr>
      </w:pPr>
      <w:r>
        <w:rPr>
          <w:rFonts w:hint="eastAsia" w:ascii="宋体" w:hAnsi="宋体"/>
          <w:b/>
          <w:bCs/>
          <w:sz w:val="28"/>
          <w:szCs w:val="28"/>
        </w:rPr>
        <w:t>（二）评审方法二：评审小组对符合响应条件的供应商进行综合评审，综合得分最高推荐为成交供应商。</w:t>
      </w:r>
    </w:p>
    <w:p w14:paraId="2F9E3050">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14:paraId="5BFD8474">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14:paraId="21E5422B">
      <w:pPr>
        <w:spacing w:line="560" w:lineRule="exact"/>
        <w:ind w:firstLine="641" w:firstLineChars="228"/>
        <w:rPr>
          <w:rFonts w:ascii="宋体" w:hAnsi="宋体"/>
          <w:b/>
          <w:bCs/>
          <w:sz w:val="28"/>
          <w:szCs w:val="28"/>
        </w:rPr>
      </w:pPr>
      <w:r>
        <w:rPr>
          <w:rFonts w:hint="eastAsia" w:ascii="宋体" w:hAnsi="宋体"/>
          <w:b/>
          <w:bCs/>
          <w:sz w:val="28"/>
          <w:szCs w:val="28"/>
        </w:rPr>
        <w:t>2.详细性评审</w:t>
      </w:r>
      <w:r>
        <w:rPr>
          <w:rFonts w:hint="eastAsia" w:ascii="宋体" w:hAnsi="宋体"/>
          <w:sz w:val="28"/>
          <w:szCs w:val="28"/>
        </w:rPr>
        <w:t>（评审表见附表2）</w:t>
      </w:r>
      <w:r>
        <w:rPr>
          <w:rFonts w:hint="eastAsia" w:ascii="宋体" w:hAnsi="宋体"/>
          <w:b/>
          <w:bCs/>
          <w:sz w:val="28"/>
          <w:szCs w:val="28"/>
        </w:rPr>
        <w:t>：</w:t>
      </w:r>
    </w:p>
    <w:p w14:paraId="3242839F">
      <w:pPr>
        <w:spacing w:line="560" w:lineRule="exact"/>
        <w:ind w:firstLine="638" w:firstLineChars="228"/>
        <w:rPr>
          <w:rFonts w:ascii="宋体" w:hAnsi="宋体"/>
          <w:sz w:val="28"/>
          <w:szCs w:val="28"/>
        </w:rPr>
      </w:pPr>
      <w:r>
        <w:rPr>
          <w:rFonts w:hint="eastAsia" w:ascii="宋体" w:hAnsi="宋体"/>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14:paraId="02E51CE7">
      <w:pPr>
        <w:spacing w:line="560" w:lineRule="exact"/>
        <w:ind w:firstLine="562" w:firstLineChars="200"/>
        <w:rPr>
          <w:rFonts w:ascii="宋体" w:hAnsi="宋体"/>
          <w:b/>
          <w:bCs/>
          <w:sz w:val="28"/>
          <w:szCs w:val="28"/>
        </w:rPr>
      </w:pPr>
      <w:r>
        <w:rPr>
          <w:rFonts w:hint="eastAsia" w:ascii="宋体" w:hAnsi="宋体"/>
          <w:b/>
          <w:bCs/>
          <w:sz w:val="28"/>
          <w:szCs w:val="28"/>
        </w:rPr>
        <w:t>（三）评审方法三：评审小组与符合响应条件的供应商进行一轮或多轮谈判确定具体采购需求后，按最低报价或综合评审得分最高推荐成交供应商。</w:t>
      </w:r>
    </w:p>
    <w:p w14:paraId="0EC0CC06">
      <w:pPr>
        <w:spacing w:line="560" w:lineRule="exact"/>
        <w:ind w:firstLine="560" w:firstLineChars="200"/>
        <w:rPr>
          <w:rFonts w:ascii="宋体" w:hAnsi="宋体"/>
          <w:sz w:val="28"/>
          <w:szCs w:val="28"/>
        </w:rPr>
      </w:pPr>
      <w:r>
        <w:rPr>
          <w:rFonts w:hint="eastAsia" w:ascii="宋体" w:hAnsi="宋体"/>
          <w:sz w:val="28"/>
          <w:szCs w:val="28"/>
        </w:rPr>
        <w:t>1.资格性和符合性评审</w:t>
      </w:r>
    </w:p>
    <w:p w14:paraId="23D1C07D">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评审小组依据采购书规定的要求，对报价文件中的资格性、符合性条件进行审核。未通过的报价人不能确定为成交人。</w:t>
      </w:r>
    </w:p>
    <w:p w14:paraId="7B023293">
      <w:pPr>
        <w:spacing w:line="560" w:lineRule="exact"/>
        <w:ind w:firstLine="560" w:firstLineChars="200"/>
        <w:rPr>
          <w:rFonts w:ascii="宋体" w:hAnsi="宋体"/>
          <w:sz w:val="28"/>
          <w:szCs w:val="28"/>
        </w:rPr>
      </w:pPr>
      <w:r>
        <w:rPr>
          <w:rFonts w:hint="eastAsia" w:ascii="宋体" w:hAnsi="宋体"/>
          <w:sz w:val="28"/>
          <w:szCs w:val="28"/>
        </w:rPr>
        <w:t>2.谈判</w:t>
      </w:r>
    </w:p>
    <w:p w14:paraId="4CEFBE73">
      <w:pPr>
        <w:spacing w:line="560" w:lineRule="exact"/>
        <w:ind w:firstLine="560" w:firstLineChars="200"/>
        <w:rPr>
          <w:rFonts w:ascii="宋体" w:hAnsi="宋体"/>
          <w:sz w:val="28"/>
          <w:szCs w:val="28"/>
        </w:rPr>
      </w:pPr>
      <w:r>
        <w:rPr>
          <w:rFonts w:hint="eastAsia" w:ascii="宋体" w:hAnsi="宋体"/>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14:paraId="448F0135">
      <w:pPr>
        <w:spacing w:line="560" w:lineRule="exact"/>
        <w:ind w:firstLine="560" w:firstLineChars="200"/>
        <w:rPr>
          <w:rFonts w:ascii="宋体" w:hAnsi="宋体"/>
          <w:sz w:val="28"/>
          <w:szCs w:val="28"/>
        </w:rPr>
      </w:pPr>
      <w:r>
        <w:rPr>
          <w:rFonts w:hint="eastAsia" w:ascii="宋体" w:hAnsi="宋体"/>
          <w:sz w:val="28"/>
          <w:szCs w:val="28"/>
        </w:rPr>
        <w:t>供应商回答评委的质疑与提问，对技术（服务）要求、商务要求等内容双方协商。</w:t>
      </w:r>
    </w:p>
    <w:p w14:paraId="65BEBC8A">
      <w:pPr>
        <w:spacing w:line="560" w:lineRule="exact"/>
        <w:ind w:firstLine="560" w:firstLineChars="200"/>
        <w:rPr>
          <w:rFonts w:ascii="宋体" w:hAnsi="宋体"/>
          <w:sz w:val="28"/>
          <w:szCs w:val="28"/>
        </w:rPr>
      </w:pPr>
      <w:r>
        <w:rPr>
          <w:rFonts w:hint="eastAsia" w:ascii="宋体" w:hAnsi="宋体"/>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hint="eastAsia" w:ascii="宋体" w:hAnsi="宋体"/>
          <w:sz w:val="28"/>
          <w:szCs w:val="28"/>
        </w:rPr>
        <w:t>第二次报价应当不高于第一次报价，否则第二次报价无效，以第一次报价为准。</w:t>
      </w:r>
    </w:p>
    <w:p w14:paraId="37FF44B8">
      <w:pPr>
        <w:spacing w:line="560" w:lineRule="exact"/>
        <w:ind w:firstLine="560" w:firstLineChars="200"/>
        <w:rPr>
          <w:rFonts w:ascii="宋体" w:hAnsi="宋体"/>
          <w:sz w:val="28"/>
          <w:szCs w:val="28"/>
        </w:rPr>
      </w:pPr>
      <w:r>
        <w:rPr>
          <w:rFonts w:hint="eastAsia" w:ascii="宋体" w:hAnsi="宋体"/>
          <w:sz w:val="28"/>
          <w:szCs w:val="28"/>
        </w:rPr>
        <w:t>评审小组应根据具体谈判情况制作谈判记录。</w:t>
      </w:r>
    </w:p>
    <w:p w14:paraId="49656E22">
      <w:pPr>
        <w:numPr>
          <w:ilvl w:val="0"/>
          <w:numId w:val="2"/>
        </w:numPr>
        <w:spacing w:line="560" w:lineRule="exact"/>
        <w:ind w:firstLine="560" w:firstLineChars="200"/>
        <w:rPr>
          <w:rFonts w:ascii="宋体" w:hAnsi="宋体"/>
          <w:sz w:val="28"/>
          <w:szCs w:val="28"/>
        </w:rPr>
      </w:pPr>
      <w:r>
        <w:rPr>
          <w:rFonts w:hint="eastAsia" w:ascii="宋体" w:hAnsi="宋体"/>
          <w:sz w:val="28"/>
          <w:szCs w:val="28"/>
        </w:rPr>
        <w:t>定标</w:t>
      </w:r>
    </w:p>
    <w:p w14:paraId="31428B76">
      <w:pPr>
        <w:spacing w:line="560" w:lineRule="exact"/>
        <w:ind w:firstLine="420" w:firstLineChars="150"/>
        <w:rPr>
          <w:rFonts w:ascii="宋体" w:hAnsi="宋体"/>
          <w:sz w:val="28"/>
          <w:szCs w:val="28"/>
        </w:rPr>
      </w:pPr>
      <w:r>
        <w:rPr>
          <w:rFonts w:hint="eastAsia" w:ascii="宋体" w:hAnsi="宋体"/>
          <w:sz w:val="28"/>
          <w:szCs w:val="28"/>
        </w:rPr>
        <w:t>本项目采用方式 定标。</w:t>
      </w:r>
    </w:p>
    <w:p w14:paraId="39A045F0">
      <w:pPr>
        <w:spacing w:line="560" w:lineRule="exact"/>
        <w:ind w:firstLine="560" w:firstLineChars="200"/>
        <w:rPr>
          <w:rFonts w:ascii="宋体" w:hAnsi="宋体"/>
          <w:sz w:val="28"/>
          <w:szCs w:val="28"/>
        </w:rPr>
      </w:pPr>
      <w:r>
        <w:rPr>
          <w:rFonts w:hint="eastAsia" w:ascii="宋体" w:hAnsi="宋体"/>
          <w:sz w:val="28"/>
          <w:szCs w:val="28"/>
        </w:rPr>
        <w:t>方式一：评审小组推荐第二次有效报价最低的供应商为成交供应商。最低报价相等时，由采购方代表确定1家作为成交供应商。</w:t>
      </w:r>
    </w:p>
    <w:p w14:paraId="2621DAC7">
      <w:pPr>
        <w:spacing w:line="560" w:lineRule="exact"/>
        <w:ind w:firstLine="560" w:firstLineChars="200"/>
        <w:rPr>
          <w:rFonts w:ascii="宋体" w:hAnsi="宋体"/>
          <w:sz w:val="28"/>
          <w:szCs w:val="28"/>
        </w:rPr>
      </w:pPr>
      <w:r>
        <w:rPr>
          <w:rFonts w:hint="eastAsia" w:ascii="宋体" w:hAnsi="宋体"/>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14:paraId="18FDA98B">
      <w:pPr>
        <w:pStyle w:val="3"/>
        <w:numPr>
          <w:ilvl w:val="0"/>
          <w:numId w:val="3"/>
        </w:numPr>
        <w:spacing w:line="560" w:lineRule="exact"/>
      </w:pPr>
      <w:bookmarkStart w:id="22" w:name="_Toc18663"/>
      <w:r>
        <w:rPr>
          <w:rFonts w:hint="eastAsia"/>
        </w:rPr>
        <w:t>成交供应商确定</w:t>
      </w:r>
      <w:bookmarkEnd w:id="22"/>
    </w:p>
    <w:p w14:paraId="465E472F">
      <w:pPr>
        <w:spacing w:line="560" w:lineRule="exact"/>
        <w:ind w:firstLine="560" w:firstLineChars="200"/>
        <w:rPr>
          <w:rFonts w:ascii="宋体" w:hAnsi="宋体"/>
          <w:sz w:val="28"/>
          <w:szCs w:val="28"/>
        </w:rPr>
      </w:pPr>
      <w:r>
        <w:rPr>
          <w:rFonts w:hint="eastAsia" w:ascii="宋体" w:hAnsi="宋体"/>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14:paraId="5A58BC43">
      <w:pPr>
        <w:snapToGrid w:val="0"/>
        <w:rPr>
          <w:rFonts w:ascii="宋体" w:hAnsi="宋体"/>
          <w:b/>
          <w:sz w:val="28"/>
          <w:szCs w:val="28"/>
        </w:rPr>
      </w:pPr>
    </w:p>
    <w:p w14:paraId="34E7B961">
      <w:pPr>
        <w:rPr>
          <w:rFonts w:ascii="宋体" w:hAnsi="宋体"/>
          <w:b/>
          <w:sz w:val="28"/>
          <w:szCs w:val="28"/>
        </w:rPr>
      </w:pPr>
      <w:r>
        <w:rPr>
          <w:rFonts w:hint="eastAsia" w:ascii="宋体" w:hAnsi="宋体"/>
          <w:b/>
          <w:sz w:val="28"/>
          <w:szCs w:val="28"/>
        </w:rPr>
        <w:br w:type="page"/>
      </w:r>
    </w:p>
    <w:p w14:paraId="456D078F">
      <w:pPr>
        <w:snapToGrid w:val="0"/>
        <w:rPr>
          <w:rFonts w:ascii="宋体" w:hAnsi="宋体"/>
          <w:b/>
          <w:sz w:val="28"/>
          <w:szCs w:val="28"/>
        </w:rPr>
      </w:pPr>
      <w:r>
        <w:rPr>
          <w:rFonts w:hint="eastAsia" w:ascii="宋体" w:hAnsi="宋体"/>
          <w:b/>
          <w:sz w:val="28"/>
          <w:szCs w:val="28"/>
        </w:rPr>
        <w:t>附表1</w:t>
      </w:r>
    </w:p>
    <w:p w14:paraId="38222A80">
      <w:pPr>
        <w:snapToGrid w:val="0"/>
        <w:jc w:val="center"/>
        <w:rPr>
          <w:rFonts w:ascii="宋体" w:hAnsi="宋体"/>
          <w:b/>
          <w:sz w:val="28"/>
          <w:szCs w:val="28"/>
        </w:rPr>
      </w:pPr>
      <w:r>
        <w:rPr>
          <w:rFonts w:hint="eastAsia" w:ascii="宋体" w:hAnsi="宋体"/>
          <w:b/>
          <w:sz w:val="28"/>
          <w:szCs w:val="28"/>
        </w:rPr>
        <w:t>资格性与符合性审查表</w:t>
      </w:r>
    </w:p>
    <w:p w14:paraId="2A946DFB">
      <w:pPr>
        <w:snapToGrid w:val="0"/>
        <w:jc w:val="center"/>
        <w:rPr>
          <w:rFonts w:ascii="宋体" w:hAnsi="宋体"/>
          <w:b/>
          <w:sz w:val="28"/>
          <w:szCs w:val="28"/>
        </w:rPr>
      </w:pPr>
      <w:r>
        <w:rPr>
          <w:rFonts w:hint="eastAsia" w:ascii="宋体" w:hAnsi="宋体"/>
          <w:b/>
          <w:sz w:val="28"/>
          <w:szCs w:val="28"/>
        </w:rPr>
        <w:t>（资格性审查内容应与“三、报价人资格”内容一致）</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14:paraId="0C5DE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14:paraId="54F302A5">
            <w:pPr>
              <w:spacing w:line="400" w:lineRule="exact"/>
              <w:jc w:val="center"/>
              <w:rPr>
                <w:rFonts w:ascii="宋体" w:hAnsi="宋体"/>
                <w:b/>
                <w:sz w:val="24"/>
              </w:rPr>
            </w:pPr>
            <w:r>
              <w:rPr>
                <w:rFonts w:hint="eastAsia" w:ascii="宋体" w:hAnsi="宋体"/>
                <w:b/>
                <w:sz w:val="24"/>
              </w:rPr>
              <w:t>序号</w:t>
            </w:r>
          </w:p>
        </w:tc>
        <w:tc>
          <w:tcPr>
            <w:tcW w:w="8022" w:type="dxa"/>
            <w:gridSpan w:val="2"/>
            <w:shd w:val="clear" w:color="auto" w:fill="C0C0C0"/>
            <w:noWrap/>
            <w:vAlign w:val="center"/>
          </w:tcPr>
          <w:p w14:paraId="67B030ED">
            <w:pPr>
              <w:spacing w:line="400" w:lineRule="exact"/>
              <w:rPr>
                <w:rFonts w:ascii="宋体" w:hAnsi="宋体"/>
                <w:b/>
                <w:sz w:val="18"/>
                <w:szCs w:val="18"/>
              </w:rPr>
            </w:pPr>
            <w:r>
              <w:rPr>
                <w:rFonts w:hint="eastAsia" w:ascii="宋体" w:hAnsi="宋体"/>
                <w:b/>
                <w:sz w:val="24"/>
              </w:rPr>
              <w:t>审查内容及要求</w:t>
            </w:r>
          </w:p>
        </w:tc>
      </w:tr>
      <w:tr w14:paraId="1E497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14:paraId="7F6A2415">
            <w:pPr>
              <w:spacing w:line="400" w:lineRule="exact"/>
              <w:rPr>
                <w:rFonts w:ascii="宋体" w:hAnsi="宋体"/>
                <w:b/>
                <w:sz w:val="24"/>
              </w:rPr>
            </w:pPr>
            <w:r>
              <w:rPr>
                <w:rFonts w:hint="eastAsia" w:ascii="宋体" w:hAnsi="宋体"/>
                <w:b/>
                <w:sz w:val="24"/>
              </w:rPr>
              <w:t>（一）资格性审查</w:t>
            </w:r>
          </w:p>
        </w:tc>
      </w:tr>
      <w:tr w14:paraId="481C6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5B42ADE6">
            <w:pPr>
              <w:spacing w:line="400" w:lineRule="exact"/>
              <w:jc w:val="center"/>
              <w:rPr>
                <w:rFonts w:ascii="宋体" w:hAnsi="宋体"/>
                <w:b/>
                <w:sz w:val="24"/>
              </w:rPr>
            </w:pPr>
            <w:r>
              <w:rPr>
                <w:rFonts w:hint="eastAsia" w:ascii="宋体" w:hAnsi="宋体"/>
                <w:b/>
                <w:sz w:val="24"/>
              </w:rPr>
              <w:t>序号</w:t>
            </w:r>
          </w:p>
        </w:tc>
        <w:tc>
          <w:tcPr>
            <w:tcW w:w="6557" w:type="dxa"/>
            <w:noWrap/>
            <w:vAlign w:val="center"/>
          </w:tcPr>
          <w:p w14:paraId="69A2F436">
            <w:pPr>
              <w:spacing w:line="400" w:lineRule="exact"/>
              <w:jc w:val="center"/>
              <w:rPr>
                <w:rFonts w:ascii="宋体" w:hAnsi="宋体"/>
                <w:b/>
                <w:sz w:val="24"/>
              </w:rPr>
            </w:pPr>
            <w:r>
              <w:rPr>
                <w:rFonts w:hint="eastAsia" w:ascii="宋体" w:hAnsi="宋体"/>
                <w:b/>
                <w:sz w:val="24"/>
              </w:rPr>
              <w:t>审查内容及标准</w:t>
            </w:r>
          </w:p>
        </w:tc>
        <w:tc>
          <w:tcPr>
            <w:tcW w:w="1465" w:type="dxa"/>
            <w:noWrap/>
            <w:vAlign w:val="center"/>
          </w:tcPr>
          <w:p w14:paraId="5EC05A61">
            <w:pPr>
              <w:spacing w:line="400" w:lineRule="exact"/>
              <w:jc w:val="center"/>
              <w:rPr>
                <w:rFonts w:ascii="宋体" w:hAnsi="宋体"/>
                <w:b/>
                <w:sz w:val="24"/>
              </w:rPr>
            </w:pPr>
            <w:r>
              <w:rPr>
                <w:rFonts w:hint="eastAsia" w:ascii="宋体" w:hAnsi="宋体"/>
                <w:b/>
                <w:sz w:val="24"/>
              </w:rPr>
              <w:t>审查结果</w:t>
            </w:r>
          </w:p>
        </w:tc>
      </w:tr>
      <w:tr w14:paraId="78B75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422E2425">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14:paraId="52AE759B">
            <w:pPr>
              <w:spacing w:line="400" w:lineRule="exact"/>
              <w:rPr>
                <w:rFonts w:ascii="宋体" w:hAnsi="宋体"/>
                <w:sz w:val="28"/>
                <w:szCs w:val="28"/>
              </w:rPr>
            </w:pPr>
            <w:r>
              <w:rPr>
                <w:rFonts w:hint="eastAsia" w:ascii="宋体" w:hAnsi="宋体"/>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14:paraId="25C45D10">
            <w:pPr>
              <w:spacing w:line="400" w:lineRule="exact"/>
              <w:rPr>
                <w:rFonts w:ascii="宋体" w:hAnsi="宋体"/>
                <w:b/>
                <w:sz w:val="28"/>
                <w:szCs w:val="28"/>
              </w:rPr>
            </w:pPr>
          </w:p>
        </w:tc>
      </w:tr>
      <w:tr w14:paraId="047FB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0AFC8085">
            <w:pPr>
              <w:spacing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14:paraId="4F48F120">
            <w:pPr>
              <w:spacing w:line="400" w:lineRule="exact"/>
              <w:rPr>
                <w:rFonts w:ascii="宋体" w:hAnsi="宋体"/>
                <w:sz w:val="28"/>
                <w:szCs w:val="28"/>
              </w:rPr>
            </w:pP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14:paraId="6279E2DA">
            <w:pPr>
              <w:spacing w:line="400" w:lineRule="exact"/>
              <w:rPr>
                <w:rFonts w:ascii="宋体" w:hAnsi="宋体"/>
                <w:b/>
                <w:sz w:val="28"/>
                <w:szCs w:val="28"/>
              </w:rPr>
            </w:pPr>
          </w:p>
        </w:tc>
      </w:tr>
      <w:tr w14:paraId="07824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21B08D20">
            <w:pPr>
              <w:spacing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14:paraId="6068AD77">
            <w:pPr>
              <w:spacing w:line="400" w:lineRule="exact"/>
              <w:rPr>
                <w:rFonts w:ascii="宋体" w:hAnsi="宋体"/>
                <w:sz w:val="28"/>
                <w:szCs w:val="28"/>
              </w:rPr>
            </w:pPr>
            <w:r>
              <w:rPr>
                <w:rFonts w:hint="eastAsia" w:ascii="宋体" w:hAnsi="宋体"/>
                <w:sz w:val="28"/>
                <w:szCs w:val="28"/>
              </w:rPr>
              <w:t>....</w:t>
            </w:r>
          </w:p>
        </w:tc>
        <w:tc>
          <w:tcPr>
            <w:tcW w:w="1465" w:type="dxa"/>
            <w:noWrap/>
            <w:vAlign w:val="center"/>
          </w:tcPr>
          <w:p w14:paraId="41497A57">
            <w:pPr>
              <w:spacing w:line="400" w:lineRule="exact"/>
              <w:rPr>
                <w:rFonts w:ascii="宋体" w:hAnsi="宋体"/>
                <w:b/>
                <w:sz w:val="28"/>
                <w:szCs w:val="28"/>
              </w:rPr>
            </w:pPr>
          </w:p>
        </w:tc>
      </w:tr>
      <w:tr w14:paraId="36CF4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14:paraId="58AB9017">
            <w:pPr>
              <w:spacing w:line="400" w:lineRule="exact"/>
              <w:rPr>
                <w:rFonts w:ascii="宋体" w:hAnsi="宋体"/>
                <w:b/>
                <w:sz w:val="28"/>
                <w:szCs w:val="28"/>
              </w:rPr>
            </w:pPr>
            <w:r>
              <w:rPr>
                <w:rFonts w:hint="eastAsia" w:ascii="宋体" w:hAnsi="宋体"/>
                <w:b/>
                <w:sz w:val="28"/>
                <w:szCs w:val="28"/>
              </w:rPr>
              <w:t>（二）符合性审查</w:t>
            </w:r>
          </w:p>
        </w:tc>
      </w:tr>
      <w:tr w14:paraId="06DE5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7C171D29">
            <w:pPr>
              <w:spacing w:line="400" w:lineRule="exact"/>
              <w:jc w:val="center"/>
              <w:rPr>
                <w:rFonts w:ascii="宋体" w:hAnsi="宋体"/>
                <w:b/>
                <w:sz w:val="28"/>
                <w:szCs w:val="28"/>
              </w:rPr>
            </w:pPr>
            <w:r>
              <w:rPr>
                <w:rFonts w:hint="eastAsia" w:ascii="宋体" w:hAnsi="宋体"/>
                <w:b/>
                <w:sz w:val="28"/>
                <w:szCs w:val="28"/>
              </w:rPr>
              <w:t>序号</w:t>
            </w:r>
          </w:p>
        </w:tc>
        <w:tc>
          <w:tcPr>
            <w:tcW w:w="6557" w:type="dxa"/>
            <w:noWrap/>
            <w:vAlign w:val="center"/>
          </w:tcPr>
          <w:p w14:paraId="05A2296D">
            <w:pPr>
              <w:spacing w:line="400" w:lineRule="exact"/>
              <w:jc w:val="center"/>
              <w:rPr>
                <w:rFonts w:ascii="宋体" w:hAnsi="宋体"/>
                <w:b/>
                <w:sz w:val="28"/>
                <w:szCs w:val="28"/>
              </w:rPr>
            </w:pPr>
            <w:r>
              <w:rPr>
                <w:rFonts w:hint="eastAsia" w:ascii="宋体" w:hAnsi="宋体"/>
                <w:b/>
                <w:sz w:val="28"/>
                <w:szCs w:val="28"/>
              </w:rPr>
              <w:t>审查内容及标准</w:t>
            </w:r>
          </w:p>
        </w:tc>
        <w:tc>
          <w:tcPr>
            <w:tcW w:w="1465" w:type="dxa"/>
            <w:noWrap/>
            <w:vAlign w:val="center"/>
          </w:tcPr>
          <w:p w14:paraId="2B397D41">
            <w:pPr>
              <w:spacing w:line="400" w:lineRule="exact"/>
              <w:jc w:val="center"/>
              <w:rPr>
                <w:rFonts w:ascii="宋体" w:hAnsi="宋体"/>
                <w:b/>
                <w:sz w:val="28"/>
                <w:szCs w:val="28"/>
              </w:rPr>
            </w:pPr>
            <w:r>
              <w:rPr>
                <w:rFonts w:hint="eastAsia" w:ascii="宋体" w:hAnsi="宋体"/>
                <w:b/>
                <w:sz w:val="28"/>
                <w:szCs w:val="28"/>
              </w:rPr>
              <w:t>审查结果</w:t>
            </w:r>
          </w:p>
        </w:tc>
      </w:tr>
      <w:tr w14:paraId="0B1FE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7E5D90B3">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14:paraId="60530CE1">
            <w:pPr>
              <w:spacing w:line="400" w:lineRule="exact"/>
              <w:rPr>
                <w:rFonts w:ascii="宋体" w:hAnsi="宋体"/>
                <w:sz w:val="28"/>
                <w:szCs w:val="28"/>
              </w:rPr>
            </w:pPr>
            <w:r>
              <w:rPr>
                <w:rFonts w:hint="eastAsia" w:ascii="宋体" w:hAnsi="宋体"/>
                <w:sz w:val="28"/>
                <w:szCs w:val="28"/>
              </w:rPr>
              <w:t>提供法人或负责人资格证明；授权委托书</w:t>
            </w:r>
          </w:p>
        </w:tc>
        <w:tc>
          <w:tcPr>
            <w:tcW w:w="1465" w:type="dxa"/>
            <w:noWrap/>
            <w:vAlign w:val="center"/>
          </w:tcPr>
          <w:p w14:paraId="48F2009D">
            <w:pPr>
              <w:spacing w:line="400" w:lineRule="exact"/>
              <w:jc w:val="center"/>
              <w:rPr>
                <w:rFonts w:ascii="宋体" w:hAnsi="宋体"/>
                <w:b/>
                <w:sz w:val="28"/>
                <w:szCs w:val="28"/>
              </w:rPr>
            </w:pPr>
          </w:p>
        </w:tc>
      </w:tr>
      <w:tr w14:paraId="0AD31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0F7533C5">
            <w:pPr>
              <w:spacing w:beforeLines="25" w:afterLines="25"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14:paraId="32C8B0BF">
            <w:pPr>
              <w:spacing w:line="400" w:lineRule="exact"/>
              <w:rPr>
                <w:rFonts w:ascii="宋体" w:hAnsi="宋体"/>
                <w:sz w:val="28"/>
                <w:szCs w:val="28"/>
              </w:rPr>
            </w:pPr>
            <w:r>
              <w:rPr>
                <w:rFonts w:hint="eastAsia" w:ascii="宋体" w:hAnsi="宋体"/>
                <w:sz w:val="28"/>
                <w:szCs w:val="28"/>
              </w:rPr>
              <w:t>提供报价一览表</w:t>
            </w:r>
          </w:p>
        </w:tc>
        <w:tc>
          <w:tcPr>
            <w:tcW w:w="1465" w:type="dxa"/>
            <w:noWrap/>
            <w:vAlign w:val="center"/>
          </w:tcPr>
          <w:p w14:paraId="2CF1FAB0">
            <w:pPr>
              <w:spacing w:line="400" w:lineRule="exact"/>
              <w:rPr>
                <w:rFonts w:ascii="宋体" w:hAnsi="宋体"/>
                <w:sz w:val="28"/>
                <w:szCs w:val="28"/>
              </w:rPr>
            </w:pPr>
          </w:p>
        </w:tc>
      </w:tr>
      <w:tr w14:paraId="460D0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71BA8E3F">
            <w:pPr>
              <w:spacing w:beforeLines="25" w:afterLines="25"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14:paraId="3631C77B">
            <w:pPr>
              <w:spacing w:line="400" w:lineRule="exact"/>
              <w:rPr>
                <w:rFonts w:ascii="宋体" w:hAnsi="宋体"/>
                <w:sz w:val="28"/>
                <w:szCs w:val="28"/>
              </w:rPr>
            </w:pPr>
            <w:r>
              <w:rPr>
                <w:rFonts w:hint="eastAsia" w:ascii="宋体" w:hAnsi="宋体"/>
                <w:sz w:val="28"/>
                <w:szCs w:val="28"/>
              </w:rPr>
              <w:t>提供报价明细表</w:t>
            </w:r>
          </w:p>
        </w:tc>
        <w:tc>
          <w:tcPr>
            <w:tcW w:w="1465" w:type="dxa"/>
            <w:noWrap/>
            <w:vAlign w:val="center"/>
          </w:tcPr>
          <w:p w14:paraId="00B22DFF">
            <w:pPr>
              <w:spacing w:line="400" w:lineRule="exact"/>
              <w:rPr>
                <w:rFonts w:ascii="宋体" w:hAnsi="宋体"/>
                <w:sz w:val="28"/>
                <w:szCs w:val="28"/>
              </w:rPr>
            </w:pPr>
          </w:p>
        </w:tc>
      </w:tr>
      <w:tr w14:paraId="7DF1F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7FBC069D">
            <w:pPr>
              <w:spacing w:beforeLines="25" w:afterLines="25" w:line="400" w:lineRule="exact"/>
              <w:jc w:val="center"/>
              <w:rPr>
                <w:rFonts w:ascii="宋体" w:hAnsi="宋体"/>
                <w:b/>
                <w:sz w:val="28"/>
                <w:szCs w:val="28"/>
              </w:rPr>
            </w:pPr>
            <w:r>
              <w:rPr>
                <w:rFonts w:hint="eastAsia" w:ascii="宋体" w:hAnsi="宋体"/>
                <w:b/>
                <w:sz w:val="28"/>
                <w:szCs w:val="28"/>
              </w:rPr>
              <w:t>4</w:t>
            </w:r>
          </w:p>
        </w:tc>
        <w:tc>
          <w:tcPr>
            <w:tcW w:w="6557" w:type="dxa"/>
            <w:noWrap/>
            <w:vAlign w:val="center"/>
          </w:tcPr>
          <w:p w14:paraId="7D8C8280">
            <w:pPr>
              <w:spacing w:line="400" w:lineRule="exact"/>
              <w:rPr>
                <w:rFonts w:ascii="宋体" w:hAnsi="宋体"/>
                <w:sz w:val="28"/>
                <w:szCs w:val="28"/>
              </w:rPr>
            </w:pPr>
            <w:r>
              <w:rPr>
                <w:rFonts w:hint="eastAsia" w:ascii="宋体" w:hAnsi="宋体"/>
                <w:sz w:val="28"/>
                <w:szCs w:val="28"/>
              </w:rPr>
              <w:t>提供“技术（服务）条款响应表”和“商务条款响应表”</w:t>
            </w:r>
          </w:p>
        </w:tc>
        <w:tc>
          <w:tcPr>
            <w:tcW w:w="1465" w:type="dxa"/>
            <w:noWrap/>
            <w:vAlign w:val="center"/>
          </w:tcPr>
          <w:p w14:paraId="15C530C7">
            <w:pPr>
              <w:spacing w:line="400" w:lineRule="exact"/>
              <w:rPr>
                <w:rFonts w:ascii="宋体" w:hAnsi="宋体"/>
                <w:sz w:val="28"/>
                <w:szCs w:val="28"/>
              </w:rPr>
            </w:pPr>
          </w:p>
        </w:tc>
      </w:tr>
      <w:tr w14:paraId="7A94B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1835D727">
            <w:pPr>
              <w:spacing w:beforeLines="25" w:afterLines="25" w:line="400" w:lineRule="exact"/>
              <w:jc w:val="center"/>
              <w:rPr>
                <w:rFonts w:ascii="宋体" w:hAnsi="宋体"/>
                <w:b/>
                <w:sz w:val="28"/>
                <w:szCs w:val="28"/>
              </w:rPr>
            </w:pPr>
            <w:r>
              <w:rPr>
                <w:rFonts w:hint="eastAsia" w:ascii="宋体" w:hAnsi="宋体"/>
                <w:b/>
                <w:sz w:val="28"/>
                <w:szCs w:val="28"/>
              </w:rPr>
              <w:t>5</w:t>
            </w:r>
          </w:p>
        </w:tc>
        <w:tc>
          <w:tcPr>
            <w:tcW w:w="6557" w:type="dxa"/>
            <w:noWrap/>
            <w:vAlign w:val="center"/>
          </w:tcPr>
          <w:p w14:paraId="26B1BAEE">
            <w:pPr>
              <w:spacing w:line="400" w:lineRule="exact"/>
              <w:rPr>
                <w:rFonts w:ascii="宋体" w:hAnsi="宋体"/>
                <w:sz w:val="28"/>
                <w:szCs w:val="28"/>
              </w:rPr>
            </w:pPr>
            <w:r>
              <w:rPr>
                <w:rFonts w:hint="eastAsia" w:ascii="宋体" w:hAnsi="宋体"/>
                <w:sz w:val="28"/>
                <w:szCs w:val="28"/>
              </w:rPr>
              <w:t>提供报价人声明及承诺</w:t>
            </w:r>
          </w:p>
        </w:tc>
        <w:tc>
          <w:tcPr>
            <w:tcW w:w="1465" w:type="dxa"/>
            <w:noWrap/>
            <w:vAlign w:val="center"/>
          </w:tcPr>
          <w:p w14:paraId="3F864778">
            <w:pPr>
              <w:spacing w:line="400" w:lineRule="exact"/>
              <w:rPr>
                <w:rFonts w:ascii="宋体" w:hAnsi="宋体"/>
                <w:sz w:val="28"/>
                <w:szCs w:val="28"/>
              </w:rPr>
            </w:pPr>
          </w:p>
        </w:tc>
      </w:tr>
      <w:tr w14:paraId="0988C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57897BEB">
            <w:pPr>
              <w:spacing w:beforeLines="25" w:afterLines="25" w:line="400" w:lineRule="exact"/>
              <w:jc w:val="center"/>
              <w:rPr>
                <w:rFonts w:ascii="宋体" w:hAnsi="宋体"/>
                <w:b/>
                <w:sz w:val="28"/>
                <w:szCs w:val="28"/>
              </w:rPr>
            </w:pPr>
            <w:r>
              <w:rPr>
                <w:rFonts w:hint="eastAsia" w:ascii="宋体" w:hAnsi="宋体"/>
                <w:b/>
                <w:sz w:val="28"/>
                <w:szCs w:val="28"/>
              </w:rPr>
              <w:t>6</w:t>
            </w:r>
          </w:p>
        </w:tc>
        <w:tc>
          <w:tcPr>
            <w:tcW w:w="6557" w:type="dxa"/>
            <w:noWrap/>
            <w:vAlign w:val="center"/>
          </w:tcPr>
          <w:p w14:paraId="7592BE1B">
            <w:pPr>
              <w:spacing w:line="400" w:lineRule="exact"/>
              <w:rPr>
                <w:rFonts w:ascii="宋体" w:hAnsi="宋体"/>
                <w:sz w:val="28"/>
                <w:szCs w:val="28"/>
              </w:rPr>
            </w:pPr>
            <w:r>
              <w:rPr>
                <w:rFonts w:hint="eastAsia" w:ascii="宋体" w:hAnsi="宋体"/>
                <w:sz w:val="28"/>
                <w:szCs w:val="28"/>
              </w:rPr>
              <w:t>未出现采购单位无法接受的附加条件</w:t>
            </w:r>
          </w:p>
        </w:tc>
        <w:tc>
          <w:tcPr>
            <w:tcW w:w="1465" w:type="dxa"/>
            <w:noWrap/>
            <w:vAlign w:val="center"/>
          </w:tcPr>
          <w:p w14:paraId="44FAFC88">
            <w:pPr>
              <w:spacing w:line="400" w:lineRule="exact"/>
              <w:rPr>
                <w:rFonts w:ascii="宋体" w:hAnsi="宋体"/>
                <w:sz w:val="28"/>
                <w:szCs w:val="28"/>
              </w:rPr>
            </w:pPr>
          </w:p>
        </w:tc>
      </w:tr>
      <w:tr w14:paraId="0E10F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14:paraId="06B07AB5">
            <w:pPr>
              <w:snapToGrid w:val="0"/>
              <w:spacing w:beforeLines="25" w:afterLines="25" w:line="400" w:lineRule="exact"/>
              <w:jc w:val="right"/>
              <w:rPr>
                <w:rFonts w:ascii="宋体" w:hAnsi="宋体"/>
                <w:b/>
                <w:sz w:val="28"/>
                <w:szCs w:val="28"/>
              </w:rPr>
            </w:pPr>
            <w:r>
              <w:rPr>
                <w:rFonts w:hint="eastAsia" w:ascii="宋体" w:hAnsi="宋体"/>
                <w:b/>
                <w:sz w:val="28"/>
                <w:szCs w:val="28"/>
              </w:rPr>
              <w:t>结论</w:t>
            </w:r>
          </w:p>
        </w:tc>
        <w:tc>
          <w:tcPr>
            <w:tcW w:w="1465" w:type="dxa"/>
            <w:noWrap/>
            <w:vAlign w:val="center"/>
          </w:tcPr>
          <w:p w14:paraId="70BC11B7">
            <w:pPr>
              <w:spacing w:line="400" w:lineRule="exact"/>
              <w:rPr>
                <w:rFonts w:ascii="宋体" w:hAnsi="宋体"/>
                <w:sz w:val="28"/>
                <w:szCs w:val="28"/>
              </w:rPr>
            </w:pPr>
          </w:p>
        </w:tc>
      </w:tr>
    </w:tbl>
    <w:p w14:paraId="7D4060B2">
      <w:pPr>
        <w:snapToGrid w:val="0"/>
        <w:rPr>
          <w:rFonts w:ascii="宋体" w:hAnsi="宋体"/>
          <w:b/>
          <w:szCs w:val="21"/>
        </w:rPr>
      </w:pPr>
      <w:r>
        <w:rPr>
          <w:rFonts w:hint="eastAsia" w:ascii="宋体" w:hAnsi="宋体"/>
          <w:b/>
          <w:szCs w:val="21"/>
        </w:rPr>
        <w:t>备注：</w:t>
      </w:r>
    </w:p>
    <w:p w14:paraId="046A3AAA">
      <w:pPr>
        <w:snapToGrid w:val="0"/>
        <w:ind w:firstLine="411" w:firstLineChars="196"/>
        <w:rPr>
          <w:rFonts w:ascii="宋体" w:hAnsi="宋体"/>
          <w:szCs w:val="21"/>
        </w:rPr>
      </w:pPr>
      <w:r>
        <w:rPr>
          <w:rFonts w:hint="eastAsia" w:ascii="宋体" w:hAnsi="宋体"/>
          <w:szCs w:val="21"/>
        </w:rPr>
        <w:t>1.本表应与采购书中相关条款内容一致的。</w:t>
      </w:r>
    </w:p>
    <w:p w14:paraId="04AC688F">
      <w:pPr>
        <w:snapToGrid w:val="0"/>
        <w:ind w:firstLine="411" w:firstLineChars="196"/>
        <w:rPr>
          <w:rFonts w:ascii="宋体" w:hAnsi="宋体"/>
          <w:szCs w:val="21"/>
        </w:rPr>
      </w:pPr>
      <w:r>
        <w:rPr>
          <w:rFonts w:hint="eastAsia" w:ascii="宋体" w:hAnsi="宋体"/>
          <w:szCs w:val="21"/>
        </w:rPr>
        <w:t>2.每一项符合的打“〇”，不符合的打“×”。打“×”的，请说明理由。</w:t>
      </w:r>
    </w:p>
    <w:p w14:paraId="672EB689">
      <w:pPr>
        <w:snapToGrid w:val="0"/>
        <w:ind w:left="622" w:leftChars="196" w:hanging="210" w:hangingChars="100"/>
        <w:rPr>
          <w:rFonts w:ascii="宋体" w:hAnsi="宋体"/>
          <w:szCs w:val="21"/>
        </w:rPr>
      </w:pPr>
      <w:r>
        <w:rPr>
          <w:rFonts w:hint="eastAsia" w:ascii="宋体" w:hAnsi="宋体"/>
          <w:szCs w:val="21"/>
        </w:rPr>
        <w:t>3.“结论”一栏填写“通过”、“不通过”；任何一项出现“×”的，结论均为不通过；不通过的，为无效报价。</w:t>
      </w:r>
    </w:p>
    <w:p w14:paraId="4DAAF6C9">
      <w:pPr>
        <w:snapToGrid w:val="0"/>
        <w:ind w:left="622" w:leftChars="196" w:hanging="210" w:hangingChars="100"/>
        <w:rPr>
          <w:rFonts w:ascii="宋体" w:hAnsi="宋体"/>
          <w:szCs w:val="21"/>
        </w:rPr>
      </w:pPr>
      <w:r>
        <w:rPr>
          <w:rFonts w:hint="eastAsia" w:ascii="宋体" w:hAnsi="宋体"/>
          <w:szCs w:val="21"/>
        </w:rPr>
        <w:t>4.如“结论”意见不统一时，采用少数服从多数的原则确定评审结果，相关情况记录在评审报告中。</w:t>
      </w:r>
    </w:p>
    <w:p w14:paraId="64033865">
      <w:pPr>
        <w:rPr>
          <w:rFonts w:ascii="宋体" w:hAnsi="宋体"/>
          <w:b/>
          <w:bCs/>
          <w:sz w:val="28"/>
          <w:szCs w:val="28"/>
        </w:rPr>
      </w:pPr>
      <w:r>
        <w:rPr>
          <w:rFonts w:hint="eastAsia" w:ascii="宋体" w:hAnsi="宋体"/>
          <w:b/>
          <w:bCs/>
          <w:sz w:val="28"/>
          <w:szCs w:val="28"/>
        </w:rPr>
        <w:br w:type="page"/>
      </w:r>
    </w:p>
    <w:p w14:paraId="3D2EA654">
      <w:pPr>
        <w:spacing w:line="560" w:lineRule="exact"/>
        <w:ind w:firstLine="562" w:firstLineChars="200"/>
        <w:rPr>
          <w:rFonts w:ascii="宋体" w:hAnsi="宋体"/>
          <w:b/>
          <w:sz w:val="28"/>
          <w:szCs w:val="28"/>
        </w:rPr>
      </w:pPr>
      <w:r>
        <w:rPr>
          <w:rFonts w:hint="eastAsia" w:ascii="宋体" w:hAnsi="宋体"/>
          <w:b/>
          <w:sz w:val="28"/>
          <w:szCs w:val="28"/>
        </w:rPr>
        <w:t>附表2：</w:t>
      </w:r>
    </w:p>
    <w:p w14:paraId="66244284">
      <w:pPr>
        <w:spacing w:line="560" w:lineRule="exact"/>
        <w:ind w:firstLine="562" w:firstLineChars="200"/>
        <w:jc w:val="center"/>
        <w:rPr>
          <w:rFonts w:ascii="宋体" w:hAnsi="宋体"/>
          <w:b/>
          <w:bCs/>
          <w:sz w:val="28"/>
          <w:szCs w:val="28"/>
        </w:rPr>
      </w:pPr>
      <w:r>
        <w:rPr>
          <w:rFonts w:hint="eastAsia" w:ascii="宋体" w:hAnsi="宋体"/>
          <w:b/>
          <w:bCs/>
          <w:sz w:val="28"/>
          <w:szCs w:val="28"/>
        </w:rPr>
        <w:t>详细评审表</w:t>
      </w:r>
    </w:p>
    <w:p w14:paraId="7FA3F260">
      <w:pPr>
        <w:spacing w:line="400" w:lineRule="exact"/>
        <w:ind w:firstLine="480" w:firstLineChars="200"/>
        <w:rPr>
          <w:rFonts w:ascii="宋体" w:hAnsi="宋体"/>
          <w:sz w:val="28"/>
          <w:szCs w:val="28"/>
        </w:rPr>
      </w:pPr>
      <w:r>
        <w:rPr>
          <w:rFonts w:hint="eastAsia" w:asciiTheme="minorEastAsia" w:hAnsiTheme="minorEastAsia" w:eastAsiaTheme="minorEastAsia"/>
          <w:color w:val="000000"/>
          <w:sz w:val="24"/>
        </w:rPr>
        <w:t>注：各评委按规定的范围内进行量化打分，并统计总分。</w:t>
      </w:r>
    </w:p>
    <w:tbl>
      <w:tblPr>
        <w:tblStyle w:val="28"/>
        <w:tblpPr w:leftFromText="180" w:rightFromText="180" w:vertAnchor="text" w:horzAnchor="margin" w:tblpXSpec="center" w:tblpY="2"/>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980"/>
        <w:gridCol w:w="1080"/>
        <w:gridCol w:w="5400"/>
      </w:tblGrid>
      <w:tr w14:paraId="6E9CF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628" w:type="dxa"/>
            <w:gridSpan w:val="2"/>
            <w:noWrap/>
            <w:vAlign w:val="center"/>
          </w:tcPr>
          <w:p w14:paraId="4637B5B9">
            <w:pPr>
              <w:jc w:val="center"/>
              <w:rPr>
                <w:b/>
                <w:color w:val="auto"/>
                <w:sz w:val="28"/>
                <w:szCs w:val="28"/>
              </w:rPr>
            </w:pPr>
            <w:bookmarkStart w:id="23" w:name="_Toc60236707"/>
            <w:r>
              <w:rPr>
                <w:b/>
                <w:color w:val="auto"/>
                <w:sz w:val="28"/>
                <w:szCs w:val="28"/>
              </w:rPr>
              <w:t>评审因素</w:t>
            </w:r>
          </w:p>
        </w:tc>
        <w:tc>
          <w:tcPr>
            <w:tcW w:w="1080" w:type="dxa"/>
            <w:noWrap/>
            <w:vAlign w:val="center"/>
          </w:tcPr>
          <w:p w14:paraId="37E9B030">
            <w:pPr>
              <w:jc w:val="center"/>
              <w:rPr>
                <w:b/>
                <w:color w:val="auto"/>
                <w:sz w:val="28"/>
                <w:szCs w:val="28"/>
              </w:rPr>
            </w:pPr>
            <w:r>
              <w:rPr>
                <w:rFonts w:hint="eastAsia"/>
                <w:b/>
                <w:color w:val="auto"/>
                <w:sz w:val="28"/>
                <w:szCs w:val="28"/>
              </w:rPr>
              <w:t>权重</w:t>
            </w:r>
          </w:p>
        </w:tc>
        <w:tc>
          <w:tcPr>
            <w:tcW w:w="5400" w:type="dxa"/>
            <w:noWrap/>
            <w:vAlign w:val="center"/>
          </w:tcPr>
          <w:p w14:paraId="11B418F1">
            <w:pPr>
              <w:jc w:val="center"/>
              <w:rPr>
                <w:b/>
                <w:color w:val="auto"/>
                <w:sz w:val="28"/>
                <w:szCs w:val="28"/>
              </w:rPr>
            </w:pPr>
            <w:r>
              <w:rPr>
                <w:b/>
                <w:color w:val="auto"/>
                <w:sz w:val="28"/>
                <w:szCs w:val="28"/>
              </w:rPr>
              <w:t>评分细则</w:t>
            </w:r>
          </w:p>
        </w:tc>
      </w:tr>
      <w:tr w14:paraId="420EA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628" w:type="dxa"/>
            <w:gridSpan w:val="2"/>
            <w:noWrap/>
            <w:vAlign w:val="center"/>
          </w:tcPr>
          <w:p w14:paraId="04F1532B">
            <w:pPr>
              <w:spacing w:after="156" w:afterLines="50" w:line="440" w:lineRule="exact"/>
              <w:ind w:firstLine="105" w:firstLineChars="50"/>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rPr>
              <w:t>价格</w:t>
            </w:r>
            <w:r>
              <w:rPr>
                <w:rFonts w:hint="eastAsia" w:ascii="宋体" w:hAnsi="宋体" w:eastAsia="宋体" w:cs="宋体"/>
                <w:b/>
                <w:bCs/>
                <w:color w:val="auto"/>
                <w:sz w:val="21"/>
                <w:szCs w:val="21"/>
                <w:lang w:val="en-US" w:eastAsia="zh-CN"/>
              </w:rPr>
              <w:t>因素</w:t>
            </w:r>
          </w:p>
          <w:p w14:paraId="6B10E812">
            <w:pPr>
              <w:jc w:val="center"/>
              <w:rPr>
                <w:rFonts w:hint="eastAsia" w:ascii="宋体" w:hAnsi="宋体" w:eastAsia="宋体" w:cs="宋体"/>
                <w:color w:val="auto"/>
                <w:sz w:val="21"/>
                <w:szCs w:val="21"/>
              </w:rPr>
            </w:pPr>
          </w:p>
        </w:tc>
        <w:tc>
          <w:tcPr>
            <w:tcW w:w="1080" w:type="dxa"/>
            <w:noWrap/>
            <w:vAlign w:val="center"/>
          </w:tcPr>
          <w:p w14:paraId="0933251C">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5400" w:type="dxa"/>
            <w:noWrap/>
            <w:vAlign w:val="center"/>
          </w:tcPr>
          <w:p w14:paraId="5E470DA8">
            <w:pPr>
              <w:widowControl/>
              <w:spacing w:line="24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价格分采用低价优先法计算，即满足磋商文件要求且最后报价最低的磋商报价为评标基准价，其价格分为满分。其他供应商的价格分统一按下列公式计算：</w:t>
            </w:r>
          </w:p>
          <w:p w14:paraId="2C11107E">
            <w:pPr>
              <w:widowControl/>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磋商报价得分=（评标基准价/磋商报价）×10分</w:t>
            </w:r>
          </w:p>
          <w:p w14:paraId="27C44B06">
            <w:pPr>
              <w:spacing w:line="240" w:lineRule="auto"/>
              <w:ind w:left="735" w:hanging="735" w:hangingChars="350"/>
              <w:jc w:val="both"/>
              <w:rPr>
                <w:rFonts w:hint="eastAsia" w:ascii="宋体" w:hAnsi="宋体" w:eastAsia="宋体" w:cs="宋体"/>
                <w:color w:val="auto"/>
                <w:sz w:val="21"/>
                <w:szCs w:val="21"/>
              </w:rPr>
            </w:pPr>
            <w:r>
              <w:rPr>
                <w:rFonts w:hint="eastAsia" w:ascii="宋体" w:hAnsi="宋体" w:eastAsia="宋体" w:cs="宋体"/>
                <w:color w:val="auto"/>
                <w:sz w:val="21"/>
                <w:szCs w:val="21"/>
              </w:rPr>
              <w:t>注：（1）对小型和微型企业产品的价格给予6%的扣除，用扣除后的价格参与评审。（适用于面向中小企业非预留采购份额）</w:t>
            </w:r>
          </w:p>
          <w:p w14:paraId="3D548344">
            <w:pPr>
              <w:numPr>
                <w:ilvl w:val="0"/>
                <w:numId w:val="4"/>
              </w:numPr>
              <w:spacing w:line="240" w:lineRule="auto"/>
              <w:ind w:left="735" w:leftChars="150" w:hanging="420" w:hanging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监狱企业视同小型、微型企业，享受评审中价格扣除等政府促进中小企业发展的政府采购政策。</w:t>
            </w:r>
          </w:p>
          <w:p w14:paraId="4DDAEAA3">
            <w:pPr>
              <w:numPr>
                <w:ilvl w:val="0"/>
                <w:numId w:val="4"/>
              </w:numPr>
              <w:spacing w:line="240" w:lineRule="auto"/>
              <w:ind w:left="735" w:leftChars="150" w:hanging="420" w:hanging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残疾人福利性单位视同小型、微型企业，享受评审中价格扣除等政府促进中小企业发展的政府采购政策；福利性单位属于小型、微型企业的，不重复享受政策。</w:t>
            </w:r>
          </w:p>
        </w:tc>
      </w:tr>
      <w:tr w14:paraId="36026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48" w:type="dxa"/>
            <w:vMerge w:val="restart"/>
            <w:noWrap/>
            <w:textDirection w:val="tbRlV"/>
            <w:vAlign w:val="center"/>
          </w:tcPr>
          <w:p w14:paraId="0AC340FC">
            <w:pPr>
              <w:ind w:left="113" w:right="113"/>
              <w:jc w:val="center"/>
              <w:rPr>
                <w:rFonts w:hint="eastAsia" w:ascii="宋体" w:hAnsi="宋体" w:eastAsia="宋体" w:cs="宋体"/>
                <w:color w:val="auto"/>
                <w:sz w:val="21"/>
                <w:szCs w:val="21"/>
                <w:lang w:eastAsia="zh-CN"/>
              </w:rPr>
            </w:pPr>
            <w:r>
              <w:rPr>
                <w:rFonts w:hint="eastAsia" w:ascii="宋体" w:hAnsi="宋体" w:eastAsia="宋体" w:cs="宋体"/>
                <w:b/>
                <w:color w:val="auto"/>
                <w:sz w:val="21"/>
                <w:szCs w:val="21"/>
              </w:rPr>
              <w:t>技术</w:t>
            </w:r>
            <w:r>
              <w:rPr>
                <w:rFonts w:hint="eastAsia" w:ascii="宋体" w:hAnsi="宋体" w:eastAsia="宋体" w:cs="宋体"/>
                <w:b/>
                <w:color w:val="auto"/>
                <w:sz w:val="21"/>
                <w:szCs w:val="21"/>
                <w:lang w:val="en-US" w:eastAsia="zh-CN"/>
              </w:rPr>
              <w:t>因素</w:t>
            </w:r>
          </w:p>
        </w:tc>
        <w:tc>
          <w:tcPr>
            <w:tcW w:w="1980" w:type="dxa"/>
            <w:noWrap/>
            <w:vAlign w:val="center"/>
          </w:tcPr>
          <w:p w14:paraId="2CE18B5A">
            <w:pPr>
              <w:jc w:val="center"/>
              <w:rPr>
                <w:rFonts w:hint="eastAsia" w:ascii="宋体" w:hAnsi="宋体" w:eastAsia="宋体" w:cs="宋体"/>
                <w:b/>
                <w:bCs w:val="0"/>
                <w:color w:val="auto"/>
                <w:sz w:val="21"/>
                <w:szCs w:val="21"/>
              </w:rPr>
            </w:pPr>
            <w:r>
              <w:rPr>
                <w:rFonts w:hint="eastAsia" w:ascii="宋体" w:hAnsi="宋体" w:eastAsia="宋体" w:cs="宋体"/>
                <w:b/>
                <w:bCs w:val="0"/>
                <w:color w:val="auto"/>
                <w:kern w:val="0"/>
                <w:sz w:val="21"/>
                <w:szCs w:val="21"/>
              </w:rPr>
              <w:t>符合性评审</w:t>
            </w:r>
          </w:p>
        </w:tc>
        <w:tc>
          <w:tcPr>
            <w:tcW w:w="1080" w:type="dxa"/>
            <w:noWrap/>
            <w:vAlign w:val="center"/>
          </w:tcPr>
          <w:p w14:paraId="22129794">
            <w:pPr>
              <w:jc w:val="center"/>
              <w:rPr>
                <w:rFonts w:hint="eastAsia" w:ascii="宋体" w:hAnsi="宋体" w:eastAsia="宋体" w:cs="宋体"/>
                <w:color w:val="auto"/>
                <w:sz w:val="21"/>
                <w:szCs w:val="21"/>
                <w:lang w:val="en-US" w:eastAsia="zh-CN"/>
              </w:rPr>
            </w:pPr>
          </w:p>
        </w:tc>
        <w:tc>
          <w:tcPr>
            <w:tcW w:w="5400" w:type="dxa"/>
            <w:noWrap/>
            <w:vAlign w:val="center"/>
          </w:tcPr>
          <w:p w14:paraId="24DB0BCB">
            <w:pPr>
              <w:pStyle w:val="105"/>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完全响应招标文件服务需求表及采购需求/二、采购需求的/（一）技术要求，否则投标无效。</w:t>
            </w:r>
          </w:p>
          <w:p w14:paraId="64142344">
            <w:pPr>
              <w:jc w:val="both"/>
              <w:rPr>
                <w:rFonts w:hint="eastAsia" w:ascii="宋体" w:hAnsi="宋体" w:eastAsia="宋体" w:cs="宋体"/>
                <w:color w:val="auto"/>
                <w:sz w:val="21"/>
                <w:szCs w:val="21"/>
              </w:rPr>
            </w:pPr>
            <w:r>
              <w:rPr>
                <w:rFonts w:hint="eastAsia" w:ascii="宋体" w:hAnsi="宋体" w:eastAsia="宋体" w:cs="宋体"/>
                <w:b/>
                <w:color w:val="auto"/>
                <w:sz w:val="21"/>
                <w:szCs w:val="21"/>
              </w:rPr>
              <w:t>评审依据：响应文件中提供技术响应/偏离表，文件另有约定的从其约定。</w:t>
            </w:r>
          </w:p>
        </w:tc>
      </w:tr>
      <w:tr w14:paraId="220EC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14:paraId="2132F585">
            <w:pPr>
              <w:ind w:left="113" w:right="113"/>
              <w:jc w:val="center"/>
              <w:rPr>
                <w:rFonts w:hint="eastAsia" w:ascii="宋体" w:hAnsi="宋体" w:eastAsia="宋体" w:cs="宋体"/>
                <w:color w:val="auto"/>
                <w:sz w:val="21"/>
                <w:szCs w:val="21"/>
              </w:rPr>
            </w:pPr>
          </w:p>
        </w:tc>
        <w:tc>
          <w:tcPr>
            <w:tcW w:w="1980" w:type="dxa"/>
            <w:noWrap/>
            <w:vAlign w:val="center"/>
          </w:tcPr>
          <w:p w14:paraId="70BED881">
            <w:pPr>
              <w:jc w:val="center"/>
              <w:rPr>
                <w:rFonts w:hint="eastAsia" w:ascii="宋体" w:hAnsi="宋体" w:eastAsia="宋体" w:cs="宋体"/>
                <w:b/>
                <w:bCs w:val="0"/>
                <w:color w:val="auto"/>
                <w:sz w:val="21"/>
                <w:szCs w:val="21"/>
              </w:rPr>
            </w:pPr>
            <w:r>
              <w:rPr>
                <w:rFonts w:hint="eastAsia" w:ascii="宋体" w:hAnsi="宋体" w:eastAsia="宋体" w:cs="宋体"/>
                <w:b/>
                <w:bCs w:val="0"/>
                <w:color w:val="auto"/>
                <w:kern w:val="0"/>
                <w:sz w:val="21"/>
                <w:szCs w:val="21"/>
              </w:rPr>
              <w:t>线上技术保障</w:t>
            </w:r>
          </w:p>
        </w:tc>
        <w:tc>
          <w:tcPr>
            <w:tcW w:w="1080" w:type="dxa"/>
            <w:noWrap/>
            <w:vAlign w:val="center"/>
          </w:tcPr>
          <w:p w14:paraId="600F3582">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w:t>
            </w:r>
          </w:p>
        </w:tc>
        <w:tc>
          <w:tcPr>
            <w:tcW w:w="5400" w:type="dxa"/>
            <w:noWrap/>
            <w:vAlign w:val="center"/>
          </w:tcPr>
          <w:p w14:paraId="02216314">
            <w:pPr>
              <w:pStyle w:val="105"/>
              <w:spacing w:line="240" w:lineRule="auto"/>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1、体验周线上部分，有单独的学生端入口，可定制学校活动宣传图。教师端后台可以监控活动数据，可以查看每天参与活动的人数。</w:t>
            </w:r>
          </w:p>
          <w:p w14:paraId="185D8EEA">
            <w:pPr>
              <w:pStyle w:val="105"/>
              <w:spacing w:line="240" w:lineRule="auto"/>
              <w:jc w:val="both"/>
              <w:rPr>
                <w:rFonts w:hint="eastAsia" w:ascii="宋体" w:hAnsi="宋体" w:eastAsia="宋体" w:cs="宋体"/>
                <w:b/>
                <w:color w:val="auto"/>
                <w:kern w:val="2"/>
                <w:sz w:val="21"/>
                <w:szCs w:val="21"/>
              </w:rPr>
            </w:pPr>
            <w:r>
              <w:rPr>
                <w:rFonts w:hint="eastAsia" w:ascii="宋体" w:hAnsi="宋体" w:eastAsia="宋体" w:cs="宋体"/>
                <w:b/>
                <w:color w:val="auto"/>
                <w:kern w:val="2"/>
                <w:sz w:val="21"/>
                <w:szCs w:val="21"/>
              </w:rPr>
              <w:t>评审依据：响应文件须提供截图证明得5分，未提供不得分。</w:t>
            </w:r>
          </w:p>
          <w:p w14:paraId="392B4385">
            <w:pPr>
              <w:pStyle w:val="105"/>
              <w:spacing w:line="240" w:lineRule="auto"/>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2、平台需为学生提供生涯成熟度、职业匹配度、职业胜任力、生涯决策力、生涯困难诊断5类活动。</w:t>
            </w:r>
          </w:p>
          <w:p w14:paraId="05F5B2CD">
            <w:pPr>
              <w:pStyle w:val="105"/>
              <w:spacing w:line="240" w:lineRule="auto"/>
              <w:jc w:val="both"/>
              <w:rPr>
                <w:rFonts w:hint="eastAsia" w:ascii="宋体" w:hAnsi="宋体" w:eastAsia="宋体" w:cs="宋体"/>
                <w:b/>
                <w:bCs/>
                <w:color w:val="auto"/>
                <w:kern w:val="2"/>
                <w:sz w:val="21"/>
                <w:szCs w:val="21"/>
              </w:rPr>
            </w:pPr>
            <w:r>
              <w:rPr>
                <w:rFonts w:hint="eastAsia" w:ascii="宋体" w:hAnsi="宋体" w:eastAsia="宋体" w:cs="宋体"/>
                <w:color w:val="auto"/>
                <w:kern w:val="2"/>
                <w:sz w:val="21"/>
                <w:szCs w:val="21"/>
              </w:rPr>
              <w:t>（</w:t>
            </w:r>
            <w:r>
              <w:rPr>
                <w:rFonts w:hint="eastAsia" w:ascii="宋体" w:hAnsi="宋体" w:eastAsia="宋体" w:cs="宋体"/>
                <w:b/>
                <w:bCs/>
                <w:color w:val="auto"/>
                <w:kern w:val="2"/>
                <w:sz w:val="21"/>
                <w:szCs w:val="21"/>
              </w:rPr>
              <w:t>5类活动所包括的活动关卡总计等于11个及以上得5分，7-9个得3分，4-6个得1分）</w:t>
            </w:r>
          </w:p>
          <w:p w14:paraId="1BC3C106">
            <w:pPr>
              <w:pStyle w:val="105"/>
              <w:spacing w:line="240" w:lineRule="auto"/>
              <w:jc w:val="both"/>
              <w:rPr>
                <w:rFonts w:hint="eastAsia" w:ascii="宋体" w:hAnsi="宋体" w:eastAsia="宋体" w:cs="宋体"/>
                <w:b/>
                <w:color w:val="auto"/>
                <w:kern w:val="2"/>
                <w:sz w:val="21"/>
                <w:szCs w:val="21"/>
              </w:rPr>
            </w:pPr>
            <w:r>
              <w:rPr>
                <w:rFonts w:hint="eastAsia" w:ascii="宋体" w:hAnsi="宋体" w:eastAsia="宋体" w:cs="宋体"/>
                <w:b/>
                <w:color w:val="auto"/>
                <w:kern w:val="2"/>
                <w:sz w:val="21"/>
                <w:szCs w:val="21"/>
              </w:rPr>
              <w:t>评审依据：响应文件须提供截图并加盖公章，未提供不得分。</w:t>
            </w:r>
          </w:p>
          <w:p w14:paraId="1675A690">
            <w:pPr>
              <w:pStyle w:val="105"/>
              <w:spacing w:line="240" w:lineRule="auto"/>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3、平台需为学生提供专家咨询、在线支持、抽奖、个人报告、多宝库等5个功能模块，可以通过线上游戏闯关、线上互动交流、线上专家咨询、线上抽奖等多种线上活动形式配合线下体验周项目，进行自我探索与外部探索、了解自己的生涯发展状态、习得生涯知识、并学习生涯规划的方法</w:t>
            </w:r>
          </w:p>
          <w:p w14:paraId="30311549">
            <w:pPr>
              <w:pStyle w:val="105"/>
              <w:spacing w:line="240" w:lineRule="auto"/>
              <w:jc w:val="both"/>
              <w:rPr>
                <w:rFonts w:hint="eastAsia" w:ascii="宋体" w:hAnsi="宋体" w:eastAsia="宋体" w:cs="宋体"/>
                <w:b/>
                <w:color w:val="auto"/>
                <w:kern w:val="2"/>
                <w:sz w:val="21"/>
                <w:szCs w:val="21"/>
              </w:rPr>
            </w:pPr>
            <w:r>
              <w:rPr>
                <w:rFonts w:hint="eastAsia" w:ascii="宋体" w:hAnsi="宋体" w:eastAsia="宋体" w:cs="宋体"/>
                <w:b/>
                <w:color w:val="auto"/>
                <w:kern w:val="2"/>
                <w:sz w:val="21"/>
                <w:szCs w:val="21"/>
              </w:rPr>
              <w:t>评审依据：响应文件须提供截图证明，得5分，未提供不得分。</w:t>
            </w:r>
          </w:p>
          <w:p w14:paraId="7EF0F943">
            <w:pPr>
              <w:jc w:val="both"/>
              <w:rPr>
                <w:rFonts w:hint="eastAsia" w:ascii="宋体" w:hAnsi="宋体" w:eastAsia="宋体" w:cs="宋体"/>
                <w:color w:val="auto"/>
                <w:sz w:val="21"/>
                <w:szCs w:val="21"/>
              </w:rPr>
            </w:pPr>
          </w:p>
        </w:tc>
      </w:tr>
      <w:tr w14:paraId="31D64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14:paraId="269FDCC4">
            <w:pPr>
              <w:ind w:left="113" w:right="113"/>
              <w:jc w:val="center"/>
              <w:rPr>
                <w:rFonts w:hint="eastAsia" w:ascii="宋体" w:hAnsi="宋体" w:eastAsia="宋体" w:cs="宋体"/>
                <w:color w:val="auto"/>
                <w:sz w:val="21"/>
                <w:szCs w:val="21"/>
              </w:rPr>
            </w:pPr>
          </w:p>
        </w:tc>
        <w:tc>
          <w:tcPr>
            <w:tcW w:w="1980" w:type="dxa"/>
            <w:noWrap/>
            <w:vAlign w:val="center"/>
          </w:tcPr>
          <w:p w14:paraId="083F78BD">
            <w:pPr>
              <w:jc w:val="center"/>
              <w:rPr>
                <w:rFonts w:hint="eastAsia" w:ascii="宋体" w:hAnsi="宋体" w:eastAsia="宋体" w:cs="宋体"/>
                <w:color w:val="auto"/>
                <w:sz w:val="21"/>
                <w:szCs w:val="21"/>
              </w:rPr>
            </w:pPr>
            <w:r>
              <w:rPr>
                <w:rFonts w:hint="eastAsia" w:ascii="宋体" w:hAnsi="宋体" w:eastAsia="宋体" w:cs="宋体"/>
                <w:b/>
                <w:bCs w:val="0"/>
                <w:color w:val="auto"/>
                <w:kern w:val="0"/>
                <w:sz w:val="21"/>
                <w:szCs w:val="21"/>
              </w:rPr>
              <w:t>服务质量保证方案</w:t>
            </w:r>
          </w:p>
        </w:tc>
        <w:tc>
          <w:tcPr>
            <w:tcW w:w="1080" w:type="dxa"/>
            <w:noWrap/>
            <w:vAlign w:val="center"/>
          </w:tcPr>
          <w:p w14:paraId="1867C3FE">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w:t>
            </w:r>
          </w:p>
        </w:tc>
        <w:tc>
          <w:tcPr>
            <w:tcW w:w="5400" w:type="dxa"/>
            <w:noWrap/>
            <w:vAlign w:val="center"/>
          </w:tcPr>
          <w:p w14:paraId="36C681B8">
            <w:pPr>
              <w:tabs>
                <w:tab w:val="left" w:pos="426"/>
              </w:tabs>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根据采购人的服务需求，供应商从下述几点（包含但不限于）：1）时间地点安排；2）活动安排等内容，阐述如何保证服务质量。</w:t>
            </w:r>
          </w:p>
          <w:p w14:paraId="09418F99">
            <w:pPr>
              <w:tabs>
                <w:tab w:val="left" w:pos="540"/>
              </w:tabs>
              <w:adjustRightInd w:val="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第一档次（10-15分）：服务商根据《服务需求》中服务内容为学校实际需求提供项目整体服务设计方案，综合分析及全面理解项目针对性强，服务设计方案大纲清楚地表达服务内容，服务内容完全满足且方案整体设计针对性强；根据学校要求提供定制化服务；</w:t>
            </w:r>
          </w:p>
          <w:p w14:paraId="55B2BBE5">
            <w:pPr>
              <w:tabs>
                <w:tab w:val="left" w:pos="540"/>
              </w:tabs>
              <w:adjustRightInd w:val="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第二档次（5-10分）：服务商根据《服务需求》中服务内容为学校实际需求提供项目整体服务设计方案，综合分析及全面理解项目可行，服务设计方案大纲较清楚地表达服务内容，服务内容满足且方案整体设计针对性一般；基本能根据学校要求提供定制化服务；</w:t>
            </w:r>
          </w:p>
          <w:p w14:paraId="2FB1DDA8">
            <w:pPr>
              <w:tabs>
                <w:tab w:val="left" w:pos="540"/>
              </w:tabs>
              <w:adjustRightInd w:val="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第三档次（1-5 分）：服务商根据《服务需求》中服务内容为学校实际需求提供项目整体服务设计方案，综合分析及全面理解项目较差，服务设计方案大纲能表达服务内容，服务内容基本满足且方案整体设计针对性较差；不能根据学校要求提供定制化服务；</w:t>
            </w:r>
          </w:p>
          <w:p w14:paraId="6E72FB4E">
            <w:pPr>
              <w:tabs>
                <w:tab w:val="left" w:pos="426"/>
              </w:tabs>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未提供服务质量保证方案的得0分。</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（由磋商小组根据各磋商响应文件实际情况综合评分）</w:t>
            </w:r>
          </w:p>
          <w:p w14:paraId="4EE685C6">
            <w:pPr>
              <w:jc w:val="both"/>
              <w:rPr>
                <w:rFonts w:hint="eastAsia" w:ascii="宋体" w:hAnsi="宋体" w:eastAsia="宋体" w:cs="宋体"/>
                <w:color w:val="auto"/>
                <w:sz w:val="21"/>
                <w:szCs w:val="21"/>
              </w:rPr>
            </w:pPr>
            <w:r>
              <w:rPr>
                <w:rFonts w:hint="eastAsia" w:ascii="宋体" w:hAnsi="宋体" w:eastAsia="宋体" w:cs="宋体"/>
                <w:b/>
                <w:bCs/>
                <w:color w:val="auto"/>
                <w:sz w:val="21"/>
                <w:szCs w:val="21"/>
              </w:rPr>
              <w:t>评审依据：响应文件中提供的服务质量保证方案。</w:t>
            </w:r>
          </w:p>
        </w:tc>
      </w:tr>
      <w:tr w14:paraId="59398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14:paraId="7C251323">
            <w:pPr>
              <w:ind w:left="113" w:right="113"/>
              <w:jc w:val="center"/>
              <w:rPr>
                <w:rFonts w:hint="eastAsia" w:ascii="宋体" w:hAnsi="宋体" w:eastAsia="宋体" w:cs="宋体"/>
                <w:color w:val="auto"/>
                <w:sz w:val="21"/>
                <w:szCs w:val="21"/>
              </w:rPr>
            </w:pPr>
          </w:p>
        </w:tc>
        <w:tc>
          <w:tcPr>
            <w:tcW w:w="1980" w:type="dxa"/>
            <w:noWrap/>
            <w:vAlign w:val="center"/>
          </w:tcPr>
          <w:p w14:paraId="72F79BA5">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进度保证</w:t>
            </w:r>
          </w:p>
        </w:tc>
        <w:tc>
          <w:tcPr>
            <w:tcW w:w="1080" w:type="dxa"/>
            <w:noWrap/>
            <w:vAlign w:val="center"/>
          </w:tcPr>
          <w:p w14:paraId="50E9E710">
            <w:pPr>
              <w:jc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30</w:t>
            </w:r>
          </w:p>
        </w:tc>
        <w:tc>
          <w:tcPr>
            <w:tcW w:w="5400" w:type="dxa"/>
            <w:noWrap/>
            <w:vAlign w:val="center"/>
          </w:tcPr>
          <w:p w14:paraId="55881D05">
            <w:pPr>
              <w:tabs>
                <w:tab w:val="left" w:pos="540"/>
              </w:tabs>
              <w:adjustRightInd w:val="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根据采购人的服务需求，供应商从下述几点（包含但不限于）：1）具体的进度计划安排；2）关键节点分析；3）主要工作和人员安排；4）具体的保障措施。阐述如何保证进度，满分30分。</w:t>
            </w:r>
          </w:p>
          <w:p w14:paraId="618B43A4">
            <w:pPr>
              <w:tabs>
                <w:tab w:val="left" w:pos="540"/>
              </w:tabs>
              <w:adjustRightInd w:val="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第一档次（21-30分）：实施周期及进度计划安排合理，项目总体规划和详细计划可行性强，具备有效的保障措施；按照项目管理制定完整、详细实施周期及进度计划。</w:t>
            </w:r>
          </w:p>
          <w:p w14:paraId="5290A4FC">
            <w:pPr>
              <w:tabs>
                <w:tab w:val="left" w:pos="540"/>
              </w:tabs>
              <w:adjustRightInd w:val="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第二档次（11-20分）：实施周期及进度计划安排基本合理，项目总体规划和详细计划基本可行，具备基本的保障措施；按照项目管理制定较完整、较详细实施周期及进度计划。</w:t>
            </w:r>
          </w:p>
          <w:p w14:paraId="0BCF6B7E">
            <w:pPr>
              <w:tabs>
                <w:tab w:val="left" w:pos="540"/>
              </w:tabs>
              <w:adjustRightInd w:val="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第三档次（1-10分）：实施周期及进度计划安排不合理，总体计划和详细计划不全面、可行性较差。按照项目管理制定的实施周期及进度计划内容欠缺、宽泛。</w:t>
            </w:r>
          </w:p>
          <w:p w14:paraId="1F953342">
            <w:pPr>
              <w:tabs>
                <w:tab w:val="left" w:pos="540"/>
              </w:tabs>
              <w:adjustRightInd w:val="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无项目实施周期及进度计划安排的得0分。</w:t>
            </w:r>
          </w:p>
          <w:p w14:paraId="175A72CB">
            <w:pPr>
              <w:tabs>
                <w:tab w:val="left" w:pos="540"/>
              </w:tabs>
              <w:adjustRightInd w:val="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（由磋商小组根据各磋商响应文件实际情况综合评分）</w:t>
            </w:r>
          </w:p>
          <w:p w14:paraId="45B01648">
            <w:pPr>
              <w:jc w:val="both"/>
              <w:rPr>
                <w:rFonts w:hint="eastAsia" w:ascii="宋体" w:hAnsi="宋体" w:eastAsia="宋体" w:cs="宋体"/>
                <w:color w:val="auto"/>
                <w:sz w:val="21"/>
                <w:szCs w:val="21"/>
              </w:rPr>
            </w:pPr>
            <w:r>
              <w:rPr>
                <w:rFonts w:hint="eastAsia" w:ascii="宋体" w:hAnsi="宋体" w:eastAsia="宋体" w:cs="宋体"/>
                <w:b/>
                <w:bCs/>
                <w:color w:val="auto"/>
                <w:sz w:val="21"/>
                <w:szCs w:val="21"/>
              </w:rPr>
              <w:t>评审依据：响应文件中提的进度保证方案。</w:t>
            </w:r>
          </w:p>
        </w:tc>
      </w:tr>
      <w:tr w14:paraId="6B086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648" w:type="dxa"/>
            <w:vMerge w:val="restart"/>
            <w:noWrap/>
            <w:textDirection w:val="tbRlV"/>
            <w:vAlign w:val="center"/>
          </w:tcPr>
          <w:p w14:paraId="1B64992D">
            <w:pPr>
              <w:ind w:left="113" w:leftChars="54" w:right="113" w:firstLine="527" w:firstLineChars="250"/>
              <w:jc w:val="center"/>
              <w:rPr>
                <w:rFonts w:hint="eastAsia" w:ascii="宋体" w:hAnsi="宋体" w:eastAsia="宋体" w:cs="宋体"/>
                <w:color w:val="auto"/>
                <w:sz w:val="21"/>
                <w:szCs w:val="21"/>
              </w:rPr>
            </w:pPr>
            <w:r>
              <w:rPr>
                <w:rFonts w:hint="eastAsia" w:ascii="宋体" w:hAnsi="宋体" w:eastAsia="宋体" w:cs="宋体"/>
                <w:b/>
                <w:color w:val="auto"/>
                <w:sz w:val="21"/>
                <w:szCs w:val="21"/>
              </w:rPr>
              <w:t>商务评分</w:t>
            </w:r>
          </w:p>
        </w:tc>
        <w:tc>
          <w:tcPr>
            <w:tcW w:w="1980" w:type="dxa"/>
            <w:noWrap/>
            <w:vAlign w:val="center"/>
          </w:tcPr>
          <w:p w14:paraId="0D057091">
            <w:pPr>
              <w:jc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商务符合性评审</w:t>
            </w:r>
          </w:p>
        </w:tc>
        <w:tc>
          <w:tcPr>
            <w:tcW w:w="1080" w:type="dxa"/>
            <w:noWrap/>
            <w:vAlign w:val="center"/>
          </w:tcPr>
          <w:p w14:paraId="182CEBA4">
            <w:pPr>
              <w:jc w:val="center"/>
              <w:rPr>
                <w:rFonts w:hint="eastAsia" w:ascii="宋体" w:hAnsi="宋体" w:eastAsia="宋体" w:cs="宋体"/>
                <w:color w:val="auto"/>
                <w:sz w:val="21"/>
                <w:szCs w:val="21"/>
              </w:rPr>
            </w:pPr>
          </w:p>
        </w:tc>
        <w:tc>
          <w:tcPr>
            <w:tcW w:w="5400" w:type="dxa"/>
            <w:noWrap/>
            <w:vAlign w:val="center"/>
          </w:tcPr>
          <w:p w14:paraId="1F9A91DE">
            <w:pPr>
              <w:pStyle w:val="105"/>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完全响应招标文件中的服务需求表及采购需求/商务条款，否则响应无效。</w:t>
            </w:r>
          </w:p>
          <w:p w14:paraId="005E2E58">
            <w:pPr>
              <w:jc w:val="both"/>
              <w:rPr>
                <w:rFonts w:hint="eastAsia" w:ascii="宋体" w:hAnsi="宋体" w:eastAsia="宋体" w:cs="宋体"/>
                <w:color w:val="auto"/>
                <w:sz w:val="21"/>
                <w:szCs w:val="21"/>
              </w:rPr>
            </w:pPr>
            <w:r>
              <w:rPr>
                <w:rFonts w:hint="eastAsia" w:ascii="宋体" w:hAnsi="宋体" w:eastAsia="宋体" w:cs="宋体"/>
                <w:b/>
                <w:color w:val="auto"/>
                <w:sz w:val="21"/>
                <w:szCs w:val="21"/>
              </w:rPr>
              <w:t>评审依据：商务响应/偏离表，文件另有约定的从其约定。</w:t>
            </w:r>
          </w:p>
        </w:tc>
      </w:tr>
      <w:tr w14:paraId="16DAD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648" w:type="dxa"/>
            <w:vMerge w:val="continue"/>
            <w:noWrap/>
            <w:textDirection w:val="tbRlV"/>
            <w:vAlign w:val="center"/>
          </w:tcPr>
          <w:p w14:paraId="066CE6A4">
            <w:pPr>
              <w:ind w:left="113" w:right="113"/>
              <w:jc w:val="center"/>
              <w:rPr>
                <w:rFonts w:hint="eastAsia" w:ascii="宋体" w:hAnsi="宋体" w:eastAsia="宋体" w:cs="宋体"/>
                <w:color w:val="auto"/>
                <w:sz w:val="21"/>
                <w:szCs w:val="21"/>
              </w:rPr>
            </w:pPr>
          </w:p>
        </w:tc>
        <w:tc>
          <w:tcPr>
            <w:tcW w:w="1980" w:type="dxa"/>
            <w:noWrap/>
            <w:vAlign w:val="center"/>
          </w:tcPr>
          <w:p w14:paraId="0840CD51">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业绩</w:t>
            </w:r>
          </w:p>
        </w:tc>
        <w:tc>
          <w:tcPr>
            <w:tcW w:w="1080" w:type="dxa"/>
            <w:noWrap/>
            <w:vAlign w:val="center"/>
          </w:tcPr>
          <w:p w14:paraId="06ADE9F8">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w:t>
            </w:r>
          </w:p>
        </w:tc>
        <w:tc>
          <w:tcPr>
            <w:tcW w:w="5400" w:type="dxa"/>
            <w:noWrap/>
            <w:vAlign w:val="center"/>
          </w:tcPr>
          <w:p w14:paraId="77DD0DB9">
            <w:pPr>
              <w:spacing w:line="240" w:lineRule="auto"/>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类似项目业绩评审评分（满分15分）</w:t>
            </w:r>
          </w:p>
          <w:p w14:paraId="24AB0221">
            <w:pPr>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根据（</w:t>
            </w:r>
            <w:r>
              <w:rPr>
                <w:rFonts w:hint="eastAsia" w:ascii="宋体" w:hAnsi="宋体" w:eastAsia="宋体" w:cs="宋体"/>
                <w:color w:val="auto"/>
                <w:kern w:val="0"/>
                <w:sz w:val="21"/>
                <w:szCs w:val="21"/>
              </w:rPr>
              <w:t>本项目响应文件提交截止时间前，</w:t>
            </w:r>
            <w:r>
              <w:rPr>
                <w:rFonts w:hint="eastAsia" w:ascii="宋体" w:hAnsi="宋体" w:eastAsia="宋体" w:cs="宋体"/>
                <w:color w:val="auto"/>
                <w:sz w:val="21"/>
                <w:szCs w:val="21"/>
              </w:rPr>
              <w:t>已完成或正在实施中）类似项目业绩进行打分，每提供一项业绩得1 分，最高得15分。</w:t>
            </w:r>
          </w:p>
          <w:p w14:paraId="0A3C285D">
            <w:pPr>
              <w:jc w:val="both"/>
              <w:rPr>
                <w:rFonts w:hint="eastAsia" w:ascii="宋体" w:hAnsi="宋体" w:eastAsia="宋体" w:cs="宋体"/>
                <w:color w:val="auto"/>
                <w:sz w:val="21"/>
                <w:szCs w:val="21"/>
              </w:rPr>
            </w:pPr>
            <w:r>
              <w:rPr>
                <w:rFonts w:hint="eastAsia" w:ascii="宋体" w:hAnsi="宋体" w:eastAsia="宋体" w:cs="宋体"/>
                <w:color w:val="auto"/>
                <w:sz w:val="21"/>
                <w:szCs w:val="21"/>
              </w:rPr>
              <w:t>注：响应文件中须提供业绩列表及相对应的业绩证明材料，业绩证明材料为中标（成交）通知书或合同。无证明材料或证明材料不明确、无法体现业绩内容的，不予认可</w:t>
            </w:r>
            <w:r>
              <w:rPr>
                <w:rFonts w:hint="eastAsia" w:ascii="宋体" w:hAnsi="宋体" w:eastAsia="宋体" w:cs="宋体"/>
                <w:bCs/>
                <w:color w:val="auto"/>
                <w:sz w:val="21"/>
                <w:szCs w:val="21"/>
              </w:rPr>
              <w:t>。</w:t>
            </w:r>
            <w:r>
              <w:rPr>
                <w:rFonts w:hint="eastAsia" w:ascii="宋体" w:hAnsi="宋体" w:eastAsia="宋体" w:cs="宋体"/>
                <w:color w:val="auto"/>
                <w:sz w:val="21"/>
                <w:szCs w:val="21"/>
              </w:rPr>
              <w:t>（由磋商小组根据各磋商响应文件实际情况综合评定）</w:t>
            </w:r>
          </w:p>
        </w:tc>
      </w:tr>
      <w:tr w14:paraId="668A1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48" w:type="dxa"/>
            <w:vMerge w:val="continue"/>
            <w:noWrap/>
            <w:textDirection w:val="tbRlV"/>
            <w:vAlign w:val="center"/>
          </w:tcPr>
          <w:p w14:paraId="08A7659F">
            <w:pPr>
              <w:ind w:left="113" w:right="113"/>
              <w:jc w:val="center"/>
              <w:rPr>
                <w:rFonts w:hint="eastAsia" w:ascii="宋体" w:hAnsi="宋体" w:eastAsia="宋体" w:cs="宋体"/>
                <w:color w:val="auto"/>
                <w:sz w:val="21"/>
                <w:szCs w:val="21"/>
              </w:rPr>
            </w:pPr>
          </w:p>
        </w:tc>
        <w:tc>
          <w:tcPr>
            <w:tcW w:w="1980" w:type="dxa"/>
            <w:noWrap/>
            <w:vAlign w:val="center"/>
          </w:tcPr>
          <w:p w14:paraId="6028B5F5">
            <w:pPr>
              <w:jc w:val="center"/>
              <w:rPr>
                <w:rFonts w:hint="eastAsia" w:ascii="宋体" w:hAnsi="宋体" w:eastAsia="宋体" w:cs="宋体"/>
                <w:color w:val="auto"/>
                <w:sz w:val="21"/>
                <w:szCs w:val="21"/>
              </w:rPr>
            </w:pPr>
            <w:r>
              <w:rPr>
                <w:rFonts w:hint="eastAsia" w:ascii="宋体" w:hAnsi="宋体" w:eastAsia="宋体" w:cs="宋体"/>
                <w:snapToGrid w:val="0"/>
                <w:color w:val="auto"/>
                <w:spacing w:val="-2"/>
                <w:sz w:val="21"/>
                <w:szCs w:val="21"/>
              </w:rPr>
              <w:t>服务实力</w:t>
            </w:r>
          </w:p>
        </w:tc>
        <w:tc>
          <w:tcPr>
            <w:tcW w:w="1080" w:type="dxa"/>
            <w:noWrap/>
            <w:vAlign w:val="center"/>
          </w:tcPr>
          <w:p w14:paraId="4B2EA24B">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w:t>
            </w:r>
          </w:p>
        </w:tc>
        <w:tc>
          <w:tcPr>
            <w:tcW w:w="5400" w:type="dxa"/>
            <w:noWrap/>
            <w:vAlign w:val="center"/>
          </w:tcPr>
          <w:p w14:paraId="600EF388">
            <w:pPr>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1、体验周项目专家团队，具有心理咨询师证书的，每提供1人加1分，满分3分。</w:t>
            </w:r>
          </w:p>
          <w:p w14:paraId="192A356D">
            <w:pPr>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2、体验周项目专家团队，具有高级职称（如副教授），每提供1人加2分，满分4分。</w:t>
            </w:r>
          </w:p>
          <w:p w14:paraId="30C3AE69">
            <w:pPr>
              <w:pStyle w:val="1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3、提供测评项目相关软件著作权证书的，每提供1个加1分，满分2分。</w:t>
            </w:r>
          </w:p>
          <w:p w14:paraId="1F4D8F5F">
            <w:pPr>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（1至3项评审依据：响应文件中提供对应证书复印件加盖制造商公章。）</w:t>
            </w:r>
          </w:p>
          <w:p w14:paraId="29050B65">
            <w:pPr>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4、体验周项目专家团队，出版过著作的，每提供1本加2分，满分6分。</w:t>
            </w:r>
          </w:p>
          <w:p w14:paraId="0224FE40">
            <w:pPr>
              <w:jc w:val="both"/>
              <w:rPr>
                <w:rFonts w:hint="eastAsia" w:ascii="宋体" w:hAnsi="宋体" w:eastAsia="宋体" w:cs="宋体"/>
                <w:color w:val="auto"/>
                <w:sz w:val="21"/>
                <w:szCs w:val="21"/>
              </w:rPr>
            </w:pPr>
            <w:r>
              <w:rPr>
                <w:rFonts w:hint="eastAsia" w:ascii="宋体" w:hAnsi="宋体" w:eastAsia="宋体" w:cs="宋体"/>
                <w:b/>
                <w:bCs/>
                <w:color w:val="auto"/>
                <w:sz w:val="21"/>
                <w:szCs w:val="21"/>
              </w:rPr>
              <w:t>评审依据：响应文件中提供：1）著作名称；2）ISBN编号；3)讲师名称所在页的复印件。</w:t>
            </w:r>
          </w:p>
        </w:tc>
      </w:tr>
      <w:tr w14:paraId="6116E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9108" w:type="dxa"/>
            <w:gridSpan w:val="4"/>
            <w:noWrap/>
            <w:vAlign w:val="center"/>
          </w:tcPr>
          <w:p w14:paraId="784EC0D5">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备注：评分细则中如需要报价人提供证明材料的，供应商应在报价文件中提交证明材料。</w:t>
            </w:r>
          </w:p>
        </w:tc>
      </w:tr>
    </w:tbl>
    <w:p w14:paraId="51D6ED89">
      <w:pPr>
        <w:pStyle w:val="2"/>
      </w:pPr>
      <w:r>
        <w:rPr>
          <w:rFonts w:hint="eastAsia"/>
        </w:rPr>
        <w:br w:type="page"/>
      </w:r>
      <w:bookmarkStart w:id="24" w:name="_Toc5254"/>
      <w:r>
        <w:rPr>
          <w:rFonts w:hint="eastAsia"/>
        </w:rPr>
        <w:t>第二部分</w:t>
      </w:r>
      <w:bookmarkEnd w:id="23"/>
      <w:r>
        <w:rPr>
          <w:rFonts w:hint="eastAsia"/>
        </w:rPr>
        <w:t xml:space="preserve">  采购需求书</w:t>
      </w:r>
      <w:bookmarkEnd w:id="24"/>
    </w:p>
    <w:p w14:paraId="597BB195">
      <w:pPr>
        <w:pStyle w:val="3"/>
        <w:spacing w:line="560" w:lineRule="exact"/>
      </w:pPr>
      <w:bookmarkStart w:id="25" w:name="_Toc179"/>
      <w:r>
        <w:rPr>
          <w:rFonts w:hint="eastAsia"/>
        </w:rPr>
        <w:t>一、技术（服务）要求</w:t>
      </w:r>
      <w:bookmarkEnd w:id="25"/>
    </w:p>
    <w:p w14:paraId="4A6025DB">
      <w:pPr>
        <w:spacing w:line="560" w:lineRule="exact"/>
        <w:ind w:firstLine="560" w:firstLineChars="200"/>
        <w:rPr>
          <w:rFonts w:hint="eastAsia" w:ascii="宋体" w:hAnsi="宋体"/>
          <w:b w:val="0"/>
          <w:bCs w:val="0"/>
          <w:kern w:val="0"/>
          <w:sz w:val="28"/>
          <w:szCs w:val="28"/>
        </w:rPr>
      </w:pPr>
      <w:r>
        <w:rPr>
          <w:rFonts w:hint="eastAsia" w:ascii="宋体" w:hAnsi="宋体"/>
          <w:b w:val="0"/>
          <w:bCs w:val="0"/>
          <w:kern w:val="0"/>
          <w:sz w:val="28"/>
          <w:szCs w:val="28"/>
          <w:lang w:val="en-US" w:eastAsia="zh-CN"/>
        </w:rPr>
        <w:t>1.</w:t>
      </w:r>
      <w:r>
        <w:rPr>
          <w:rFonts w:hint="eastAsia" w:ascii="宋体" w:hAnsi="宋体"/>
          <w:b w:val="0"/>
          <w:bCs w:val="0"/>
          <w:kern w:val="0"/>
          <w:sz w:val="28"/>
          <w:szCs w:val="28"/>
        </w:rPr>
        <w:t>需有整体活动方案，包括活动开幕式和广州校区、佛山校区两个场地的活动方案、场地搭建、人员指导等。</w:t>
      </w:r>
    </w:p>
    <w:p w14:paraId="2C36A46F">
      <w:pPr>
        <w:spacing w:line="560" w:lineRule="exact"/>
        <w:ind w:firstLine="560" w:firstLineChars="200"/>
        <w:rPr>
          <w:rFonts w:hint="eastAsia" w:ascii="宋体" w:hAnsi="宋体"/>
          <w:b w:val="0"/>
          <w:bCs w:val="0"/>
          <w:kern w:val="0"/>
          <w:sz w:val="28"/>
          <w:szCs w:val="28"/>
        </w:rPr>
      </w:pPr>
      <w:r>
        <w:rPr>
          <w:rFonts w:hint="eastAsia" w:ascii="宋体" w:hAnsi="宋体"/>
          <w:b w:val="0"/>
          <w:bCs w:val="0"/>
          <w:kern w:val="0"/>
          <w:sz w:val="28"/>
          <w:szCs w:val="28"/>
          <w:lang w:val="en-US" w:eastAsia="zh-CN"/>
        </w:rPr>
        <w:t>2.</w:t>
      </w:r>
      <w:r>
        <w:rPr>
          <w:rFonts w:hint="eastAsia" w:ascii="宋体" w:hAnsi="宋体"/>
          <w:b w:val="0"/>
          <w:bCs w:val="0"/>
          <w:kern w:val="0"/>
          <w:sz w:val="28"/>
          <w:szCs w:val="28"/>
        </w:rPr>
        <w:t>所有活动周物料由公司提供，企业负责搭建活动场地，并全程跟进活动。</w:t>
      </w:r>
    </w:p>
    <w:p w14:paraId="7367E616">
      <w:pPr>
        <w:spacing w:line="560" w:lineRule="exact"/>
        <w:ind w:firstLine="560" w:firstLineChars="200"/>
        <w:rPr>
          <w:rFonts w:hint="eastAsia" w:ascii="宋体" w:hAnsi="宋体"/>
          <w:b w:val="0"/>
          <w:bCs w:val="0"/>
          <w:kern w:val="0"/>
          <w:sz w:val="28"/>
          <w:szCs w:val="28"/>
        </w:rPr>
      </w:pPr>
      <w:r>
        <w:rPr>
          <w:rFonts w:hint="eastAsia" w:ascii="宋体" w:hAnsi="宋体"/>
          <w:b w:val="0"/>
          <w:bCs w:val="0"/>
          <w:kern w:val="0"/>
          <w:sz w:val="28"/>
          <w:szCs w:val="28"/>
          <w:lang w:val="en-US" w:eastAsia="zh-CN"/>
        </w:rPr>
        <w:t>3.</w:t>
      </w:r>
      <w:r>
        <w:rPr>
          <w:rFonts w:hint="eastAsia" w:ascii="宋体" w:hAnsi="宋体"/>
          <w:b w:val="0"/>
          <w:bCs w:val="0"/>
          <w:kern w:val="0"/>
          <w:sz w:val="28"/>
          <w:szCs w:val="28"/>
        </w:rPr>
        <w:t>企业需有专业大学生职业生涯规划和就业指导培训资质，有专职科研和教学人员，有专职数据分析人员。</w:t>
      </w:r>
    </w:p>
    <w:p w14:paraId="5A895BAC">
      <w:pPr>
        <w:spacing w:line="560" w:lineRule="exact"/>
        <w:ind w:firstLine="560" w:firstLineChars="200"/>
        <w:rPr>
          <w:rFonts w:hint="eastAsia" w:ascii="宋体" w:hAnsi="宋体"/>
          <w:b w:val="0"/>
          <w:bCs w:val="0"/>
          <w:kern w:val="0"/>
          <w:sz w:val="28"/>
          <w:szCs w:val="28"/>
        </w:rPr>
      </w:pPr>
      <w:r>
        <w:rPr>
          <w:rFonts w:hint="eastAsia" w:ascii="宋体" w:hAnsi="宋体"/>
          <w:b w:val="0"/>
          <w:bCs w:val="0"/>
          <w:kern w:val="0"/>
          <w:sz w:val="28"/>
          <w:szCs w:val="28"/>
          <w:lang w:val="en-US" w:eastAsia="zh-CN"/>
        </w:rPr>
        <w:t>4.</w:t>
      </w:r>
      <w:r>
        <w:rPr>
          <w:rFonts w:hint="eastAsia" w:ascii="宋体" w:hAnsi="宋体"/>
          <w:b w:val="0"/>
          <w:bCs w:val="0"/>
          <w:kern w:val="0"/>
          <w:sz w:val="28"/>
          <w:szCs w:val="28"/>
        </w:rPr>
        <w:t xml:space="preserve">须根据学校需求，定制广东财经大学特色生涯就业手册，内容根据学校修订确认。 </w:t>
      </w:r>
    </w:p>
    <w:p w14:paraId="78A1B1DE">
      <w:pPr>
        <w:spacing w:line="560" w:lineRule="exact"/>
        <w:ind w:firstLine="560" w:firstLineChars="200"/>
        <w:rPr>
          <w:rFonts w:hint="eastAsia" w:ascii="宋体" w:hAnsi="宋体"/>
          <w:b w:val="0"/>
          <w:bCs w:val="0"/>
          <w:kern w:val="0"/>
          <w:sz w:val="28"/>
          <w:szCs w:val="28"/>
          <w:lang w:eastAsia="zh-CN"/>
        </w:rPr>
      </w:pPr>
      <w:r>
        <w:rPr>
          <w:rFonts w:hint="eastAsia" w:ascii="宋体" w:hAnsi="宋体"/>
          <w:b w:val="0"/>
          <w:bCs w:val="0"/>
          <w:kern w:val="0"/>
          <w:sz w:val="28"/>
          <w:szCs w:val="28"/>
          <w:lang w:val="en-US" w:eastAsia="zh-CN"/>
        </w:rPr>
        <w:t>5.</w:t>
      </w:r>
      <w:r>
        <w:rPr>
          <w:rFonts w:hint="eastAsia" w:ascii="宋体" w:hAnsi="宋体"/>
          <w:b w:val="0"/>
          <w:bCs w:val="0"/>
          <w:kern w:val="0"/>
          <w:sz w:val="28"/>
          <w:szCs w:val="28"/>
        </w:rPr>
        <w:t>提供线上体验周活动内容，并提供相应的技术保障</w:t>
      </w:r>
      <w:r>
        <w:rPr>
          <w:rFonts w:hint="eastAsia" w:ascii="宋体" w:hAnsi="宋体"/>
          <w:b w:val="0"/>
          <w:bCs w:val="0"/>
          <w:kern w:val="0"/>
          <w:sz w:val="28"/>
          <w:szCs w:val="28"/>
          <w:lang w:eastAsia="zh-CN"/>
        </w:rPr>
        <w:t>；</w:t>
      </w:r>
    </w:p>
    <w:p w14:paraId="285914CD">
      <w:pPr>
        <w:spacing w:line="560" w:lineRule="exact"/>
        <w:ind w:firstLine="560" w:firstLineChars="200"/>
        <w:rPr>
          <w:rFonts w:hint="eastAsia" w:ascii="宋体" w:hAnsi="宋体"/>
          <w:b w:val="0"/>
          <w:bCs w:val="0"/>
          <w:kern w:val="0"/>
          <w:sz w:val="28"/>
          <w:szCs w:val="28"/>
          <w:lang w:eastAsia="zh-CN"/>
        </w:rPr>
      </w:pPr>
      <w:r>
        <w:rPr>
          <w:rFonts w:hint="eastAsia" w:ascii="宋体" w:hAnsi="宋体"/>
          <w:b w:val="0"/>
          <w:bCs w:val="0"/>
          <w:kern w:val="0"/>
          <w:sz w:val="28"/>
          <w:szCs w:val="28"/>
          <w:lang w:val="en-US" w:eastAsia="zh-CN"/>
        </w:rPr>
        <w:t>6.</w:t>
      </w:r>
      <w:r>
        <w:rPr>
          <w:rFonts w:hint="eastAsia" w:ascii="宋体" w:hAnsi="宋体"/>
          <w:b w:val="0"/>
          <w:bCs w:val="0"/>
          <w:kern w:val="0"/>
          <w:sz w:val="28"/>
          <w:szCs w:val="28"/>
        </w:rPr>
        <w:t>专家全程实施督导，并在活动开始前为活动志愿者进行培训</w:t>
      </w:r>
      <w:r>
        <w:rPr>
          <w:rFonts w:hint="eastAsia" w:ascii="宋体" w:hAnsi="宋体"/>
          <w:b w:val="0"/>
          <w:bCs w:val="0"/>
          <w:kern w:val="0"/>
          <w:sz w:val="28"/>
          <w:szCs w:val="28"/>
          <w:lang w:eastAsia="zh-CN"/>
        </w:rPr>
        <w:t>；</w:t>
      </w:r>
    </w:p>
    <w:p w14:paraId="748FCF48">
      <w:pPr>
        <w:spacing w:line="560" w:lineRule="exact"/>
        <w:ind w:firstLine="560" w:firstLineChars="200"/>
        <w:rPr>
          <w:rFonts w:hint="eastAsia" w:ascii="宋体" w:hAnsi="宋体"/>
          <w:b w:val="0"/>
          <w:bCs w:val="0"/>
          <w:kern w:val="0"/>
          <w:sz w:val="28"/>
          <w:szCs w:val="28"/>
          <w:lang w:eastAsia="zh-CN"/>
        </w:rPr>
      </w:pPr>
      <w:r>
        <w:rPr>
          <w:rFonts w:hint="eastAsia" w:ascii="宋体" w:hAnsi="宋体"/>
          <w:b w:val="0"/>
          <w:bCs w:val="0"/>
          <w:kern w:val="0"/>
          <w:sz w:val="28"/>
          <w:szCs w:val="28"/>
          <w:lang w:val="en-US" w:eastAsia="zh-CN"/>
        </w:rPr>
        <w:t>7.</w:t>
      </w:r>
      <w:r>
        <w:rPr>
          <w:rFonts w:hint="eastAsia" w:ascii="宋体" w:hAnsi="宋体"/>
          <w:b w:val="0"/>
          <w:bCs w:val="0"/>
          <w:kern w:val="0"/>
          <w:sz w:val="28"/>
          <w:szCs w:val="28"/>
        </w:rPr>
        <w:t>提供参与学生8-10个维度的生涯决策与生涯困难诊断团体分析报告和学生就业信心分析报告</w:t>
      </w:r>
      <w:r>
        <w:rPr>
          <w:rFonts w:hint="eastAsia" w:ascii="宋体" w:hAnsi="宋体"/>
          <w:b w:val="0"/>
          <w:bCs w:val="0"/>
          <w:kern w:val="0"/>
          <w:sz w:val="28"/>
          <w:szCs w:val="28"/>
          <w:lang w:eastAsia="zh-CN"/>
        </w:rPr>
        <w:t>；</w:t>
      </w:r>
    </w:p>
    <w:p w14:paraId="5916F616">
      <w:pPr>
        <w:spacing w:line="560" w:lineRule="exact"/>
        <w:ind w:firstLine="560" w:firstLineChars="200"/>
        <w:rPr>
          <w:rFonts w:hint="eastAsia" w:ascii="宋体" w:hAnsi="宋体"/>
          <w:b w:val="0"/>
          <w:bCs w:val="0"/>
          <w:kern w:val="0"/>
          <w:sz w:val="28"/>
          <w:szCs w:val="28"/>
          <w:lang w:eastAsia="zh-CN"/>
        </w:rPr>
      </w:pPr>
      <w:r>
        <w:rPr>
          <w:rFonts w:hint="eastAsia" w:ascii="宋体" w:hAnsi="宋体"/>
          <w:b w:val="0"/>
          <w:bCs w:val="0"/>
          <w:kern w:val="0"/>
          <w:sz w:val="28"/>
          <w:szCs w:val="28"/>
          <w:lang w:val="en-US" w:eastAsia="zh-CN"/>
        </w:rPr>
        <w:t>8.</w:t>
      </w:r>
      <w:r>
        <w:rPr>
          <w:rFonts w:hint="eastAsia" w:ascii="宋体" w:hAnsi="宋体"/>
          <w:b w:val="0"/>
          <w:bCs w:val="0"/>
          <w:kern w:val="0"/>
          <w:sz w:val="28"/>
          <w:szCs w:val="28"/>
        </w:rPr>
        <w:t>提供各活动关卡所需的志愿者手卡，现场测试所需专业卡片，每关所需的道具及物料</w:t>
      </w:r>
      <w:r>
        <w:rPr>
          <w:rFonts w:hint="eastAsia" w:ascii="宋体" w:hAnsi="宋体"/>
          <w:b w:val="0"/>
          <w:bCs w:val="0"/>
          <w:kern w:val="0"/>
          <w:sz w:val="28"/>
          <w:szCs w:val="28"/>
          <w:lang w:eastAsia="zh-CN"/>
        </w:rPr>
        <w:t>；</w:t>
      </w:r>
    </w:p>
    <w:p w14:paraId="221DDF7A">
      <w:pPr>
        <w:spacing w:line="560" w:lineRule="exact"/>
        <w:ind w:firstLine="560" w:firstLineChars="200"/>
        <w:rPr>
          <w:rFonts w:hint="eastAsia" w:ascii="宋体" w:hAnsi="宋体"/>
          <w:b w:val="0"/>
          <w:bCs w:val="0"/>
          <w:kern w:val="0"/>
          <w:sz w:val="28"/>
          <w:szCs w:val="28"/>
        </w:rPr>
      </w:pPr>
      <w:r>
        <w:rPr>
          <w:rFonts w:hint="eastAsia" w:ascii="宋体" w:hAnsi="宋体"/>
          <w:b w:val="0"/>
          <w:bCs w:val="0"/>
          <w:kern w:val="0"/>
          <w:sz w:val="28"/>
          <w:szCs w:val="28"/>
          <w:lang w:val="en-US" w:eastAsia="zh-CN"/>
        </w:rPr>
        <w:t>9.</w:t>
      </w:r>
      <w:r>
        <w:rPr>
          <w:rFonts w:hint="eastAsia" w:ascii="宋体" w:hAnsi="宋体"/>
          <w:b w:val="0"/>
          <w:bCs w:val="0"/>
          <w:kern w:val="0"/>
          <w:sz w:val="28"/>
          <w:szCs w:val="28"/>
        </w:rPr>
        <w:t>学生参与的活动中可以提供手机端测评，学生通过手机端完成关卡内容后，及时生成8-10个维度个人报告。</w:t>
      </w:r>
    </w:p>
    <w:p w14:paraId="6F131FD6">
      <w:pPr>
        <w:spacing w:line="560" w:lineRule="exact"/>
        <w:ind w:firstLine="560" w:firstLineChars="200"/>
        <w:rPr>
          <w:rFonts w:hint="eastAsia" w:ascii="宋体" w:hAnsi="宋体"/>
          <w:b w:val="0"/>
          <w:bCs w:val="0"/>
          <w:kern w:val="0"/>
          <w:sz w:val="28"/>
          <w:szCs w:val="28"/>
        </w:rPr>
      </w:pPr>
      <w:r>
        <w:rPr>
          <w:rFonts w:hint="eastAsia" w:ascii="宋体" w:hAnsi="宋体"/>
          <w:b w:val="0"/>
          <w:bCs w:val="0"/>
          <w:kern w:val="0"/>
          <w:sz w:val="28"/>
          <w:szCs w:val="28"/>
          <w:lang w:val="en-US" w:eastAsia="zh-CN"/>
        </w:rPr>
        <w:t>10.</w:t>
      </w:r>
      <w:r>
        <w:rPr>
          <w:rFonts w:hint="eastAsia" w:ascii="宋体" w:hAnsi="宋体"/>
          <w:b w:val="0"/>
          <w:bCs w:val="0"/>
          <w:kern w:val="0"/>
          <w:sz w:val="28"/>
          <w:szCs w:val="28"/>
        </w:rPr>
        <w:t>生涯决策与生涯困难诊断团体分析报告至少包含以下内容：</w:t>
      </w:r>
    </w:p>
    <w:p w14:paraId="4BB950C0">
      <w:pPr>
        <w:spacing w:line="560" w:lineRule="exact"/>
        <w:ind w:firstLine="560" w:firstLineChars="200"/>
        <w:rPr>
          <w:rFonts w:hint="eastAsia" w:ascii="宋体" w:hAnsi="宋体"/>
          <w:b w:val="0"/>
          <w:bCs w:val="0"/>
          <w:kern w:val="0"/>
          <w:sz w:val="28"/>
          <w:szCs w:val="28"/>
        </w:rPr>
      </w:pPr>
      <w:r>
        <w:rPr>
          <w:rFonts w:hint="eastAsia" w:ascii="宋体" w:hAnsi="宋体"/>
          <w:b w:val="0"/>
          <w:bCs w:val="0"/>
          <w:kern w:val="0"/>
          <w:sz w:val="28"/>
          <w:szCs w:val="28"/>
        </w:rPr>
        <w:t>概述：</w:t>
      </w:r>
    </w:p>
    <w:p w14:paraId="1F5BA0E8">
      <w:pPr>
        <w:spacing w:line="560" w:lineRule="exact"/>
        <w:ind w:firstLine="560" w:firstLineChars="200"/>
        <w:rPr>
          <w:rFonts w:hint="eastAsia" w:ascii="宋体" w:hAnsi="宋体"/>
          <w:b w:val="0"/>
          <w:bCs w:val="0"/>
          <w:kern w:val="0"/>
          <w:sz w:val="28"/>
          <w:szCs w:val="28"/>
        </w:rPr>
      </w:pPr>
      <w:r>
        <w:rPr>
          <w:rFonts w:hint="eastAsia" w:ascii="宋体" w:hAnsi="宋体"/>
          <w:b w:val="0"/>
          <w:bCs w:val="0"/>
          <w:kern w:val="0"/>
          <w:sz w:val="28"/>
          <w:szCs w:val="28"/>
        </w:rPr>
        <w:t>一、生涯周活动效果概览</w:t>
      </w:r>
    </w:p>
    <w:p w14:paraId="19389EE1">
      <w:pPr>
        <w:spacing w:line="560" w:lineRule="exact"/>
        <w:ind w:firstLine="560" w:firstLineChars="200"/>
        <w:rPr>
          <w:rFonts w:hint="eastAsia" w:ascii="宋体" w:hAnsi="宋体"/>
          <w:b w:val="0"/>
          <w:bCs w:val="0"/>
          <w:kern w:val="0"/>
          <w:sz w:val="28"/>
          <w:szCs w:val="28"/>
        </w:rPr>
      </w:pPr>
      <w:r>
        <w:rPr>
          <w:rFonts w:hint="eastAsia" w:ascii="宋体" w:hAnsi="宋体"/>
          <w:b w:val="0"/>
          <w:bCs w:val="0"/>
          <w:kern w:val="0"/>
          <w:sz w:val="28"/>
          <w:szCs w:val="28"/>
        </w:rPr>
        <w:t>二、学生的生涯发展状况概览</w:t>
      </w:r>
    </w:p>
    <w:p w14:paraId="2C33D2DD">
      <w:pPr>
        <w:spacing w:line="560" w:lineRule="exact"/>
        <w:ind w:firstLine="560" w:firstLineChars="200"/>
        <w:rPr>
          <w:rFonts w:hint="eastAsia" w:ascii="宋体" w:hAnsi="宋体"/>
          <w:b w:val="0"/>
          <w:bCs w:val="0"/>
          <w:kern w:val="0"/>
          <w:sz w:val="28"/>
          <w:szCs w:val="28"/>
        </w:rPr>
      </w:pPr>
      <w:r>
        <w:rPr>
          <w:rFonts w:hint="eastAsia" w:ascii="宋体" w:hAnsi="宋体"/>
          <w:b w:val="0"/>
          <w:bCs w:val="0"/>
          <w:kern w:val="0"/>
          <w:sz w:val="28"/>
          <w:szCs w:val="28"/>
        </w:rPr>
        <w:t>第一部分 生涯周满意度分析</w:t>
      </w:r>
    </w:p>
    <w:p w14:paraId="5B2D39CE">
      <w:pPr>
        <w:spacing w:line="560" w:lineRule="exact"/>
        <w:ind w:firstLine="560" w:firstLineChars="200"/>
        <w:rPr>
          <w:rFonts w:hint="eastAsia" w:ascii="宋体" w:hAnsi="宋体"/>
          <w:b w:val="0"/>
          <w:bCs w:val="0"/>
          <w:kern w:val="0"/>
          <w:sz w:val="28"/>
          <w:szCs w:val="28"/>
        </w:rPr>
      </w:pPr>
      <w:r>
        <w:rPr>
          <w:rFonts w:hint="eastAsia" w:ascii="宋体" w:hAnsi="宋体"/>
          <w:b w:val="0"/>
          <w:bCs w:val="0"/>
          <w:kern w:val="0"/>
          <w:sz w:val="28"/>
          <w:szCs w:val="28"/>
        </w:rPr>
        <w:t>一、参与学生对生涯周的满意度和价值度评分</w:t>
      </w:r>
    </w:p>
    <w:p w14:paraId="710F85A6">
      <w:pPr>
        <w:spacing w:line="560" w:lineRule="exact"/>
        <w:ind w:firstLine="560" w:firstLineChars="200"/>
        <w:rPr>
          <w:rFonts w:hint="eastAsia" w:ascii="宋体" w:hAnsi="宋体"/>
          <w:b w:val="0"/>
          <w:bCs w:val="0"/>
          <w:kern w:val="0"/>
          <w:sz w:val="28"/>
          <w:szCs w:val="28"/>
        </w:rPr>
      </w:pPr>
      <w:r>
        <w:rPr>
          <w:rFonts w:hint="eastAsia" w:ascii="宋体" w:hAnsi="宋体"/>
          <w:b w:val="0"/>
          <w:bCs w:val="0"/>
          <w:kern w:val="0"/>
          <w:sz w:val="28"/>
          <w:szCs w:val="28"/>
        </w:rPr>
        <w:t>二、参与学生评价生涯周的三个关键词</w:t>
      </w:r>
    </w:p>
    <w:p w14:paraId="7B872E22">
      <w:pPr>
        <w:spacing w:line="560" w:lineRule="exact"/>
        <w:ind w:firstLine="560" w:firstLineChars="200"/>
        <w:rPr>
          <w:rFonts w:hint="eastAsia" w:ascii="宋体" w:hAnsi="宋体"/>
          <w:b w:val="0"/>
          <w:bCs w:val="0"/>
          <w:kern w:val="0"/>
          <w:sz w:val="28"/>
          <w:szCs w:val="28"/>
        </w:rPr>
      </w:pPr>
      <w:r>
        <w:rPr>
          <w:rFonts w:hint="eastAsia" w:ascii="宋体" w:hAnsi="宋体"/>
          <w:b w:val="0"/>
          <w:bCs w:val="0"/>
          <w:kern w:val="0"/>
          <w:sz w:val="28"/>
          <w:szCs w:val="28"/>
        </w:rPr>
        <w:t>三、参与学生在活动前后生涯规划意识的变化</w:t>
      </w:r>
    </w:p>
    <w:p w14:paraId="0C01BFDF">
      <w:pPr>
        <w:spacing w:line="560" w:lineRule="exact"/>
        <w:ind w:firstLine="560" w:firstLineChars="200"/>
        <w:rPr>
          <w:rFonts w:hint="eastAsia" w:ascii="宋体" w:hAnsi="宋体"/>
          <w:b w:val="0"/>
          <w:bCs w:val="0"/>
          <w:kern w:val="0"/>
          <w:sz w:val="28"/>
          <w:szCs w:val="28"/>
        </w:rPr>
      </w:pPr>
      <w:r>
        <w:rPr>
          <w:rFonts w:hint="eastAsia" w:ascii="宋体" w:hAnsi="宋体"/>
          <w:b w:val="0"/>
          <w:bCs w:val="0"/>
          <w:kern w:val="0"/>
          <w:sz w:val="28"/>
          <w:szCs w:val="28"/>
        </w:rPr>
        <w:t>四、参与学生对生涯周的推荐意愿</w:t>
      </w:r>
    </w:p>
    <w:p w14:paraId="3A2A88AE">
      <w:pPr>
        <w:spacing w:line="560" w:lineRule="exact"/>
        <w:ind w:firstLine="560" w:firstLineChars="200"/>
        <w:rPr>
          <w:rFonts w:hint="eastAsia" w:ascii="宋体" w:hAnsi="宋体"/>
          <w:b w:val="0"/>
          <w:bCs w:val="0"/>
          <w:kern w:val="0"/>
          <w:sz w:val="28"/>
          <w:szCs w:val="28"/>
        </w:rPr>
      </w:pPr>
      <w:r>
        <w:rPr>
          <w:rFonts w:hint="eastAsia" w:ascii="宋体" w:hAnsi="宋体"/>
          <w:b w:val="0"/>
          <w:bCs w:val="0"/>
          <w:kern w:val="0"/>
          <w:sz w:val="28"/>
          <w:szCs w:val="28"/>
        </w:rPr>
        <w:t>五、志愿者对生涯周的评价</w:t>
      </w:r>
    </w:p>
    <w:p w14:paraId="0CCA5DAC">
      <w:pPr>
        <w:spacing w:line="560" w:lineRule="exact"/>
        <w:ind w:firstLine="560" w:firstLineChars="200"/>
        <w:rPr>
          <w:rFonts w:hint="eastAsia" w:ascii="宋体" w:hAnsi="宋体"/>
          <w:b w:val="0"/>
          <w:bCs w:val="0"/>
          <w:kern w:val="0"/>
          <w:sz w:val="28"/>
          <w:szCs w:val="28"/>
        </w:rPr>
      </w:pPr>
      <w:r>
        <w:rPr>
          <w:rFonts w:hint="eastAsia" w:ascii="宋体" w:hAnsi="宋体"/>
          <w:b w:val="0"/>
          <w:bCs w:val="0"/>
          <w:kern w:val="0"/>
          <w:sz w:val="28"/>
          <w:szCs w:val="28"/>
        </w:rPr>
        <w:t>第二部分 我校学生生涯发展状况分析</w:t>
      </w:r>
    </w:p>
    <w:p w14:paraId="4A783686">
      <w:pPr>
        <w:spacing w:line="560" w:lineRule="exact"/>
        <w:ind w:firstLine="560" w:firstLineChars="200"/>
        <w:rPr>
          <w:rFonts w:hint="eastAsia" w:ascii="宋体" w:hAnsi="宋体"/>
          <w:b w:val="0"/>
          <w:bCs w:val="0"/>
          <w:kern w:val="0"/>
          <w:sz w:val="28"/>
          <w:szCs w:val="28"/>
        </w:rPr>
      </w:pPr>
      <w:r>
        <w:rPr>
          <w:rFonts w:hint="eastAsia" w:ascii="宋体" w:hAnsi="宋体"/>
          <w:b w:val="0"/>
          <w:bCs w:val="0"/>
          <w:kern w:val="0"/>
          <w:sz w:val="28"/>
          <w:szCs w:val="28"/>
        </w:rPr>
        <w:t>调研框架说明</w:t>
      </w:r>
    </w:p>
    <w:p w14:paraId="00D07E83">
      <w:pPr>
        <w:spacing w:line="560" w:lineRule="exact"/>
        <w:ind w:firstLine="560" w:firstLineChars="200"/>
        <w:rPr>
          <w:rFonts w:hint="eastAsia" w:ascii="宋体" w:hAnsi="宋体"/>
          <w:b w:val="0"/>
          <w:bCs w:val="0"/>
          <w:kern w:val="0"/>
          <w:sz w:val="28"/>
          <w:szCs w:val="28"/>
        </w:rPr>
      </w:pPr>
      <w:r>
        <w:rPr>
          <w:rFonts w:hint="eastAsia" w:ascii="宋体" w:hAnsi="宋体"/>
          <w:b w:val="0"/>
          <w:bCs w:val="0"/>
          <w:kern w:val="0"/>
          <w:sz w:val="28"/>
          <w:szCs w:val="28"/>
        </w:rPr>
        <w:t>参与调研的学生基本信息分析</w:t>
      </w:r>
    </w:p>
    <w:p w14:paraId="5992142C">
      <w:pPr>
        <w:spacing w:line="560" w:lineRule="exact"/>
        <w:ind w:firstLine="560" w:firstLineChars="200"/>
        <w:rPr>
          <w:rFonts w:hint="eastAsia" w:ascii="宋体" w:hAnsi="宋体"/>
          <w:b w:val="0"/>
          <w:bCs w:val="0"/>
          <w:kern w:val="0"/>
          <w:sz w:val="28"/>
          <w:szCs w:val="28"/>
        </w:rPr>
      </w:pPr>
      <w:r>
        <w:rPr>
          <w:rFonts w:hint="eastAsia" w:ascii="宋体" w:hAnsi="宋体"/>
          <w:b w:val="0"/>
          <w:bCs w:val="0"/>
          <w:kern w:val="0"/>
          <w:sz w:val="28"/>
          <w:szCs w:val="28"/>
        </w:rPr>
        <w:t>一、决策风格</w:t>
      </w:r>
    </w:p>
    <w:p w14:paraId="541CB8BF">
      <w:pPr>
        <w:spacing w:line="560" w:lineRule="exact"/>
        <w:ind w:firstLine="560" w:firstLineChars="200"/>
        <w:rPr>
          <w:rFonts w:hint="eastAsia" w:ascii="宋体" w:hAnsi="宋体"/>
          <w:b w:val="0"/>
          <w:bCs w:val="0"/>
          <w:kern w:val="0"/>
          <w:sz w:val="28"/>
          <w:szCs w:val="28"/>
        </w:rPr>
      </w:pPr>
      <w:r>
        <w:rPr>
          <w:rFonts w:hint="eastAsia" w:ascii="宋体" w:hAnsi="宋体"/>
          <w:b w:val="0"/>
          <w:bCs w:val="0"/>
          <w:kern w:val="0"/>
          <w:sz w:val="28"/>
          <w:szCs w:val="28"/>
        </w:rPr>
        <w:t>二、环境感知</w:t>
      </w:r>
    </w:p>
    <w:p w14:paraId="6CE857BE">
      <w:pPr>
        <w:spacing w:line="560" w:lineRule="exact"/>
        <w:ind w:firstLine="560" w:firstLineChars="200"/>
        <w:rPr>
          <w:rFonts w:hint="eastAsia" w:ascii="宋体" w:hAnsi="宋体"/>
          <w:b w:val="0"/>
          <w:bCs w:val="0"/>
          <w:kern w:val="0"/>
          <w:sz w:val="28"/>
          <w:szCs w:val="28"/>
        </w:rPr>
      </w:pPr>
      <w:r>
        <w:rPr>
          <w:rFonts w:hint="eastAsia" w:ascii="宋体" w:hAnsi="宋体"/>
          <w:b w:val="0"/>
          <w:bCs w:val="0"/>
          <w:kern w:val="0"/>
          <w:sz w:val="28"/>
          <w:szCs w:val="28"/>
        </w:rPr>
        <w:t>1、专业认同</w:t>
      </w:r>
    </w:p>
    <w:p w14:paraId="287B047E">
      <w:pPr>
        <w:spacing w:line="560" w:lineRule="exact"/>
        <w:ind w:firstLine="560" w:firstLineChars="200"/>
        <w:rPr>
          <w:rFonts w:hint="eastAsia" w:ascii="宋体" w:hAnsi="宋体"/>
          <w:b w:val="0"/>
          <w:bCs w:val="0"/>
          <w:kern w:val="0"/>
          <w:sz w:val="28"/>
          <w:szCs w:val="28"/>
        </w:rPr>
      </w:pPr>
      <w:r>
        <w:rPr>
          <w:rFonts w:hint="eastAsia" w:ascii="宋体" w:hAnsi="宋体"/>
          <w:b w:val="0"/>
          <w:bCs w:val="0"/>
          <w:kern w:val="0"/>
          <w:sz w:val="28"/>
          <w:szCs w:val="28"/>
        </w:rPr>
        <w:t>2、生涯教育和就业指导资源的使用情况和评价</w:t>
      </w:r>
    </w:p>
    <w:p w14:paraId="126821FB">
      <w:pPr>
        <w:spacing w:line="560" w:lineRule="exact"/>
        <w:ind w:firstLine="560" w:firstLineChars="200"/>
        <w:rPr>
          <w:rFonts w:hint="eastAsia" w:ascii="宋体" w:hAnsi="宋体"/>
          <w:b w:val="0"/>
          <w:bCs w:val="0"/>
          <w:kern w:val="0"/>
          <w:sz w:val="28"/>
          <w:szCs w:val="28"/>
        </w:rPr>
      </w:pPr>
      <w:r>
        <w:rPr>
          <w:rFonts w:hint="eastAsia" w:ascii="宋体" w:hAnsi="宋体"/>
          <w:b w:val="0"/>
          <w:bCs w:val="0"/>
          <w:kern w:val="0"/>
          <w:sz w:val="28"/>
          <w:szCs w:val="28"/>
        </w:rPr>
        <w:t>三、目标和行动</w:t>
      </w:r>
    </w:p>
    <w:p w14:paraId="3FEC433F">
      <w:pPr>
        <w:spacing w:line="560" w:lineRule="exact"/>
        <w:ind w:firstLine="560" w:firstLineChars="200"/>
        <w:rPr>
          <w:rFonts w:hint="eastAsia" w:ascii="宋体" w:hAnsi="宋体"/>
          <w:b w:val="0"/>
          <w:bCs w:val="0"/>
          <w:kern w:val="0"/>
          <w:sz w:val="28"/>
          <w:szCs w:val="28"/>
        </w:rPr>
      </w:pPr>
      <w:r>
        <w:rPr>
          <w:rFonts w:hint="eastAsia" w:ascii="宋体" w:hAnsi="宋体"/>
          <w:b w:val="0"/>
          <w:bCs w:val="0"/>
          <w:kern w:val="0"/>
          <w:sz w:val="28"/>
          <w:szCs w:val="28"/>
        </w:rPr>
        <w:t>1、就业意向</w:t>
      </w:r>
    </w:p>
    <w:p w14:paraId="65DC900A">
      <w:pPr>
        <w:spacing w:line="560" w:lineRule="exact"/>
        <w:ind w:firstLine="560" w:firstLineChars="200"/>
        <w:rPr>
          <w:rFonts w:hint="eastAsia" w:ascii="宋体" w:hAnsi="宋体"/>
          <w:b w:val="0"/>
          <w:bCs w:val="0"/>
          <w:kern w:val="0"/>
          <w:sz w:val="28"/>
          <w:szCs w:val="28"/>
        </w:rPr>
      </w:pPr>
      <w:r>
        <w:rPr>
          <w:rFonts w:hint="eastAsia" w:ascii="宋体" w:hAnsi="宋体"/>
          <w:b w:val="0"/>
          <w:bCs w:val="0"/>
          <w:kern w:val="0"/>
          <w:sz w:val="28"/>
          <w:szCs w:val="28"/>
        </w:rPr>
        <w:t>2、对意向的确定程度</w:t>
      </w:r>
    </w:p>
    <w:p w14:paraId="598ECCC3">
      <w:pPr>
        <w:spacing w:line="560" w:lineRule="exact"/>
        <w:ind w:firstLine="560" w:firstLineChars="200"/>
        <w:rPr>
          <w:rFonts w:hint="eastAsia" w:ascii="宋体" w:hAnsi="宋体"/>
          <w:b w:val="0"/>
          <w:bCs w:val="0"/>
          <w:kern w:val="0"/>
          <w:sz w:val="28"/>
          <w:szCs w:val="28"/>
        </w:rPr>
      </w:pPr>
      <w:r>
        <w:rPr>
          <w:rFonts w:hint="eastAsia" w:ascii="宋体" w:hAnsi="宋体"/>
          <w:b w:val="0"/>
          <w:bCs w:val="0"/>
          <w:kern w:val="0"/>
          <w:sz w:val="28"/>
          <w:szCs w:val="28"/>
        </w:rPr>
        <w:t>3、规划和行动</w:t>
      </w:r>
    </w:p>
    <w:p w14:paraId="56523BB7">
      <w:pPr>
        <w:spacing w:line="560" w:lineRule="exact"/>
        <w:ind w:firstLine="560" w:firstLineChars="200"/>
        <w:rPr>
          <w:rFonts w:hint="eastAsia" w:ascii="宋体" w:hAnsi="宋体"/>
          <w:b w:val="0"/>
          <w:bCs w:val="0"/>
          <w:kern w:val="0"/>
          <w:sz w:val="28"/>
          <w:szCs w:val="28"/>
        </w:rPr>
      </w:pPr>
      <w:r>
        <w:rPr>
          <w:rFonts w:hint="eastAsia" w:ascii="宋体" w:hAnsi="宋体"/>
          <w:b w:val="0"/>
          <w:bCs w:val="0"/>
          <w:kern w:val="0"/>
          <w:sz w:val="28"/>
          <w:szCs w:val="28"/>
        </w:rPr>
        <w:t>四、是否存在生涯决策困难</w:t>
      </w:r>
    </w:p>
    <w:p w14:paraId="2BC9C462">
      <w:pPr>
        <w:spacing w:line="560" w:lineRule="exact"/>
        <w:ind w:firstLine="560" w:firstLineChars="200"/>
        <w:rPr>
          <w:rFonts w:hint="eastAsia" w:ascii="宋体" w:hAnsi="宋体"/>
          <w:b w:val="0"/>
          <w:bCs w:val="0"/>
          <w:kern w:val="0"/>
          <w:sz w:val="28"/>
          <w:szCs w:val="28"/>
        </w:rPr>
      </w:pPr>
      <w:r>
        <w:rPr>
          <w:rFonts w:hint="eastAsia" w:ascii="宋体" w:hAnsi="宋体"/>
          <w:b w:val="0"/>
          <w:bCs w:val="0"/>
          <w:kern w:val="0"/>
          <w:sz w:val="28"/>
          <w:szCs w:val="28"/>
        </w:rPr>
        <w:t>调研工具（CDDQ）说明</w:t>
      </w:r>
    </w:p>
    <w:p w14:paraId="767FA277">
      <w:pPr>
        <w:spacing w:line="560" w:lineRule="exact"/>
        <w:ind w:firstLine="560" w:firstLineChars="200"/>
        <w:rPr>
          <w:rFonts w:hint="eastAsia" w:ascii="宋体" w:hAnsi="宋体"/>
          <w:b w:val="0"/>
          <w:bCs w:val="0"/>
          <w:kern w:val="0"/>
          <w:sz w:val="28"/>
          <w:szCs w:val="28"/>
        </w:rPr>
      </w:pPr>
      <w:r>
        <w:rPr>
          <w:rFonts w:hint="eastAsia" w:ascii="宋体" w:hAnsi="宋体"/>
          <w:b w:val="0"/>
          <w:bCs w:val="0"/>
          <w:kern w:val="0"/>
          <w:sz w:val="28"/>
          <w:szCs w:val="28"/>
        </w:rPr>
        <w:t>1、学生整体生涯决策困难分析</w:t>
      </w:r>
    </w:p>
    <w:p w14:paraId="19889848">
      <w:pPr>
        <w:spacing w:line="560" w:lineRule="exact"/>
        <w:ind w:firstLine="560" w:firstLineChars="200"/>
        <w:rPr>
          <w:rFonts w:hint="eastAsia" w:ascii="宋体" w:hAnsi="宋体"/>
          <w:b w:val="0"/>
          <w:bCs w:val="0"/>
          <w:kern w:val="0"/>
          <w:sz w:val="28"/>
          <w:szCs w:val="28"/>
        </w:rPr>
      </w:pPr>
      <w:r>
        <w:rPr>
          <w:rFonts w:hint="eastAsia" w:ascii="宋体" w:hAnsi="宋体"/>
          <w:b w:val="0"/>
          <w:bCs w:val="0"/>
          <w:kern w:val="0"/>
          <w:sz w:val="28"/>
          <w:szCs w:val="28"/>
        </w:rPr>
        <w:t>2、与全国大学生对比</w:t>
      </w:r>
    </w:p>
    <w:p w14:paraId="2846CF1C">
      <w:pPr>
        <w:spacing w:line="560" w:lineRule="exact"/>
        <w:ind w:firstLine="560" w:firstLineChars="200"/>
        <w:rPr>
          <w:rFonts w:hint="eastAsia" w:ascii="宋体" w:hAnsi="宋体"/>
          <w:b w:val="0"/>
          <w:bCs w:val="0"/>
          <w:kern w:val="0"/>
          <w:sz w:val="28"/>
          <w:szCs w:val="28"/>
        </w:rPr>
      </w:pPr>
      <w:r>
        <w:rPr>
          <w:rFonts w:hint="eastAsia" w:ascii="宋体" w:hAnsi="宋体"/>
          <w:b w:val="0"/>
          <w:bCs w:val="0"/>
          <w:kern w:val="0"/>
          <w:sz w:val="28"/>
          <w:szCs w:val="28"/>
        </w:rPr>
        <w:t>3、不同学院学生生涯决策困难分析</w:t>
      </w:r>
    </w:p>
    <w:p w14:paraId="1A98420B">
      <w:pPr>
        <w:spacing w:line="560" w:lineRule="exact"/>
        <w:ind w:firstLine="560" w:firstLineChars="200"/>
        <w:rPr>
          <w:rFonts w:hint="eastAsia" w:ascii="宋体" w:hAnsi="宋体"/>
          <w:b w:val="0"/>
          <w:bCs w:val="0"/>
          <w:kern w:val="0"/>
          <w:sz w:val="28"/>
          <w:szCs w:val="28"/>
        </w:rPr>
      </w:pPr>
      <w:r>
        <w:rPr>
          <w:rFonts w:hint="eastAsia" w:ascii="宋体" w:hAnsi="宋体"/>
          <w:b w:val="0"/>
          <w:bCs w:val="0"/>
          <w:kern w:val="0"/>
          <w:sz w:val="28"/>
          <w:szCs w:val="28"/>
        </w:rPr>
        <w:t>4、针对不同生涯决策困难的干预策略</w:t>
      </w:r>
    </w:p>
    <w:p w14:paraId="43680F0A">
      <w:pPr>
        <w:spacing w:line="560" w:lineRule="exact"/>
        <w:ind w:firstLine="560" w:firstLineChars="200"/>
        <w:rPr>
          <w:rFonts w:hint="eastAsia" w:ascii="宋体" w:hAnsi="宋体"/>
          <w:b w:val="0"/>
          <w:bCs w:val="0"/>
          <w:kern w:val="0"/>
          <w:sz w:val="28"/>
          <w:szCs w:val="28"/>
        </w:rPr>
      </w:pPr>
      <w:r>
        <w:rPr>
          <w:rFonts w:hint="eastAsia" w:ascii="宋体" w:hAnsi="宋体"/>
          <w:b w:val="0"/>
          <w:bCs w:val="0"/>
          <w:kern w:val="0"/>
          <w:sz w:val="28"/>
          <w:szCs w:val="28"/>
        </w:rPr>
        <w:t>9、就业体验周总结&amp;学生就业信心分析报告</w:t>
      </w:r>
    </w:p>
    <w:p w14:paraId="742E86D6">
      <w:pPr>
        <w:spacing w:line="560" w:lineRule="exact"/>
        <w:ind w:firstLine="560" w:firstLineChars="200"/>
        <w:rPr>
          <w:rFonts w:hint="eastAsia" w:ascii="宋体" w:hAnsi="宋体"/>
          <w:b w:val="0"/>
          <w:bCs w:val="0"/>
          <w:kern w:val="0"/>
          <w:sz w:val="28"/>
          <w:szCs w:val="28"/>
        </w:rPr>
      </w:pPr>
      <w:r>
        <w:rPr>
          <w:rFonts w:hint="eastAsia" w:ascii="宋体" w:hAnsi="宋体"/>
          <w:b w:val="0"/>
          <w:bCs w:val="0"/>
          <w:kern w:val="0"/>
          <w:sz w:val="28"/>
          <w:szCs w:val="28"/>
        </w:rPr>
        <w:t>概述</w:t>
      </w:r>
      <w:r>
        <w:rPr>
          <w:rFonts w:hint="eastAsia" w:ascii="宋体" w:hAnsi="宋体"/>
          <w:b w:val="0"/>
          <w:bCs w:val="0"/>
          <w:kern w:val="0"/>
          <w:sz w:val="28"/>
          <w:szCs w:val="28"/>
        </w:rPr>
        <w:tab/>
      </w:r>
    </w:p>
    <w:p w14:paraId="37F7C770">
      <w:pPr>
        <w:spacing w:line="560" w:lineRule="exact"/>
        <w:ind w:firstLine="560" w:firstLineChars="200"/>
        <w:rPr>
          <w:rFonts w:hint="eastAsia" w:ascii="宋体" w:hAnsi="宋体"/>
          <w:b w:val="0"/>
          <w:bCs w:val="0"/>
          <w:kern w:val="0"/>
          <w:sz w:val="28"/>
          <w:szCs w:val="28"/>
        </w:rPr>
      </w:pPr>
      <w:r>
        <w:rPr>
          <w:rFonts w:hint="eastAsia" w:ascii="宋体" w:hAnsi="宋体"/>
          <w:b w:val="0"/>
          <w:bCs w:val="0"/>
          <w:kern w:val="0"/>
          <w:sz w:val="28"/>
          <w:szCs w:val="28"/>
        </w:rPr>
        <w:t>一、就业体验周活动效果概览</w:t>
      </w:r>
      <w:r>
        <w:rPr>
          <w:rFonts w:hint="eastAsia" w:ascii="宋体" w:hAnsi="宋体"/>
          <w:b w:val="0"/>
          <w:bCs w:val="0"/>
          <w:kern w:val="0"/>
          <w:sz w:val="28"/>
          <w:szCs w:val="28"/>
        </w:rPr>
        <w:tab/>
      </w:r>
    </w:p>
    <w:p w14:paraId="37AAEBBB">
      <w:pPr>
        <w:spacing w:line="560" w:lineRule="exact"/>
        <w:ind w:firstLine="560" w:firstLineChars="200"/>
        <w:rPr>
          <w:rFonts w:hint="eastAsia" w:ascii="宋体" w:hAnsi="宋体"/>
          <w:b w:val="0"/>
          <w:bCs w:val="0"/>
          <w:kern w:val="0"/>
          <w:sz w:val="28"/>
          <w:szCs w:val="28"/>
        </w:rPr>
      </w:pPr>
      <w:r>
        <w:rPr>
          <w:rFonts w:hint="eastAsia" w:ascii="宋体" w:hAnsi="宋体"/>
          <w:b w:val="0"/>
          <w:bCs w:val="0"/>
          <w:kern w:val="0"/>
          <w:sz w:val="28"/>
          <w:szCs w:val="28"/>
        </w:rPr>
        <w:t>二、学生就业信心状况概览</w:t>
      </w:r>
      <w:r>
        <w:rPr>
          <w:rFonts w:hint="eastAsia" w:ascii="宋体" w:hAnsi="宋体"/>
          <w:b w:val="0"/>
          <w:bCs w:val="0"/>
          <w:kern w:val="0"/>
          <w:sz w:val="28"/>
          <w:szCs w:val="28"/>
        </w:rPr>
        <w:tab/>
      </w:r>
    </w:p>
    <w:p w14:paraId="332228D2">
      <w:pPr>
        <w:spacing w:line="560" w:lineRule="exact"/>
        <w:ind w:firstLine="560" w:firstLineChars="200"/>
        <w:rPr>
          <w:rFonts w:hint="eastAsia" w:ascii="宋体" w:hAnsi="宋体"/>
          <w:b w:val="0"/>
          <w:bCs w:val="0"/>
          <w:kern w:val="0"/>
          <w:sz w:val="28"/>
          <w:szCs w:val="28"/>
        </w:rPr>
      </w:pPr>
      <w:r>
        <w:rPr>
          <w:rFonts w:hint="eastAsia" w:ascii="宋体" w:hAnsi="宋体"/>
          <w:b w:val="0"/>
          <w:bCs w:val="0"/>
          <w:kern w:val="0"/>
          <w:sz w:val="28"/>
          <w:szCs w:val="28"/>
        </w:rPr>
        <w:t>第一部分 就业体验周满意度分析</w:t>
      </w:r>
      <w:r>
        <w:rPr>
          <w:rFonts w:hint="eastAsia" w:ascii="宋体" w:hAnsi="宋体"/>
          <w:b w:val="0"/>
          <w:bCs w:val="0"/>
          <w:kern w:val="0"/>
          <w:sz w:val="28"/>
          <w:szCs w:val="28"/>
        </w:rPr>
        <w:tab/>
      </w:r>
    </w:p>
    <w:p w14:paraId="4084C97F">
      <w:pPr>
        <w:spacing w:line="560" w:lineRule="exact"/>
        <w:ind w:firstLine="560" w:firstLineChars="200"/>
        <w:rPr>
          <w:rFonts w:hint="eastAsia" w:ascii="宋体" w:hAnsi="宋体"/>
          <w:b w:val="0"/>
          <w:bCs w:val="0"/>
          <w:kern w:val="0"/>
          <w:sz w:val="28"/>
          <w:szCs w:val="28"/>
        </w:rPr>
      </w:pPr>
      <w:r>
        <w:rPr>
          <w:rFonts w:hint="eastAsia" w:ascii="宋体" w:hAnsi="宋体"/>
          <w:b w:val="0"/>
          <w:bCs w:val="0"/>
          <w:kern w:val="0"/>
          <w:sz w:val="28"/>
          <w:szCs w:val="28"/>
        </w:rPr>
        <w:t>一、参与学生对就业体验周的满意度</w:t>
      </w:r>
      <w:r>
        <w:rPr>
          <w:rFonts w:hint="eastAsia" w:ascii="宋体" w:hAnsi="宋体"/>
          <w:b w:val="0"/>
          <w:bCs w:val="0"/>
          <w:kern w:val="0"/>
          <w:sz w:val="28"/>
          <w:szCs w:val="28"/>
        </w:rPr>
        <w:tab/>
      </w:r>
    </w:p>
    <w:p w14:paraId="4132D25F">
      <w:pPr>
        <w:spacing w:line="560" w:lineRule="exact"/>
        <w:ind w:firstLine="560" w:firstLineChars="200"/>
        <w:rPr>
          <w:rFonts w:hint="eastAsia" w:ascii="宋体" w:hAnsi="宋体"/>
          <w:b w:val="0"/>
          <w:bCs w:val="0"/>
          <w:kern w:val="0"/>
          <w:sz w:val="28"/>
          <w:szCs w:val="28"/>
        </w:rPr>
      </w:pPr>
      <w:r>
        <w:rPr>
          <w:rFonts w:hint="eastAsia" w:ascii="宋体" w:hAnsi="宋体"/>
          <w:b w:val="0"/>
          <w:bCs w:val="0"/>
          <w:kern w:val="0"/>
          <w:sz w:val="28"/>
          <w:szCs w:val="28"/>
        </w:rPr>
        <w:t>二、参与学生对就业体验周的关键词评价</w:t>
      </w:r>
      <w:r>
        <w:rPr>
          <w:rFonts w:hint="eastAsia" w:ascii="宋体" w:hAnsi="宋体"/>
          <w:b w:val="0"/>
          <w:bCs w:val="0"/>
          <w:kern w:val="0"/>
          <w:sz w:val="28"/>
          <w:szCs w:val="28"/>
        </w:rPr>
        <w:tab/>
      </w:r>
    </w:p>
    <w:p w14:paraId="55BD5A0E">
      <w:pPr>
        <w:spacing w:line="560" w:lineRule="exact"/>
        <w:ind w:firstLine="560" w:firstLineChars="200"/>
        <w:rPr>
          <w:rFonts w:hint="eastAsia" w:ascii="宋体" w:hAnsi="宋体"/>
          <w:b w:val="0"/>
          <w:bCs w:val="0"/>
          <w:kern w:val="0"/>
          <w:sz w:val="28"/>
          <w:szCs w:val="28"/>
        </w:rPr>
      </w:pPr>
      <w:r>
        <w:rPr>
          <w:rFonts w:hint="eastAsia" w:ascii="宋体" w:hAnsi="宋体"/>
          <w:b w:val="0"/>
          <w:bCs w:val="0"/>
          <w:kern w:val="0"/>
          <w:sz w:val="28"/>
          <w:szCs w:val="28"/>
        </w:rPr>
        <w:t>三、参与学生对就业体验周的推荐意愿</w:t>
      </w:r>
      <w:r>
        <w:rPr>
          <w:rFonts w:hint="eastAsia" w:ascii="宋体" w:hAnsi="宋体"/>
          <w:b w:val="0"/>
          <w:bCs w:val="0"/>
          <w:kern w:val="0"/>
          <w:sz w:val="28"/>
          <w:szCs w:val="28"/>
        </w:rPr>
        <w:tab/>
      </w:r>
    </w:p>
    <w:p w14:paraId="5C34B93B">
      <w:pPr>
        <w:spacing w:line="560" w:lineRule="exact"/>
        <w:ind w:firstLine="560" w:firstLineChars="200"/>
        <w:rPr>
          <w:rFonts w:hint="eastAsia" w:ascii="宋体" w:hAnsi="宋体"/>
          <w:b w:val="0"/>
          <w:bCs w:val="0"/>
          <w:kern w:val="0"/>
          <w:sz w:val="28"/>
          <w:szCs w:val="28"/>
        </w:rPr>
      </w:pPr>
      <w:r>
        <w:rPr>
          <w:rFonts w:hint="eastAsia" w:ascii="宋体" w:hAnsi="宋体"/>
          <w:b w:val="0"/>
          <w:bCs w:val="0"/>
          <w:kern w:val="0"/>
          <w:sz w:val="28"/>
          <w:szCs w:val="28"/>
        </w:rPr>
        <w:t>四、参与学生印象最深刻的活动</w:t>
      </w:r>
      <w:r>
        <w:rPr>
          <w:rFonts w:hint="eastAsia" w:ascii="宋体" w:hAnsi="宋体"/>
          <w:b w:val="0"/>
          <w:bCs w:val="0"/>
          <w:kern w:val="0"/>
          <w:sz w:val="28"/>
          <w:szCs w:val="28"/>
        </w:rPr>
        <w:tab/>
      </w:r>
    </w:p>
    <w:p w14:paraId="6DB2E6B8">
      <w:pPr>
        <w:spacing w:line="560" w:lineRule="exact"/>
        <w:ind w:firstLine="560" w:firstLineChars="200"/>
        <w:rPr>
          <w:rFonts w:hint="eastAsia" w:ascii="宋体" w:hAnsi="宋体"/>
          <w:b w:val="0"/>
          <w:bCs w:val="0"/>
          <w:kern w:val="0"/>
          <w:sz w:val="28"/>
          <w:szCs w:val="28"/>
        </w:rPr>
      </w:pPr>
      <w:r>
        <w:rPr>
          <w:rFonts w:hint="eastAsia" w:ascii="宋体" w:hAnsi="宋体"/>
          <w:b w:val="0"/>
          <w:bCs w:val="0"/>
          <w:kern w:val="0"/>
          <w:sz w:val="28"/>
          <w:szCs w:val="28"/>
        </w:rPr>
        <w:t>五、参与学生的最大收获</w:t>
      </w:r>
      <w:r>
        <w:rPr>
          <w:rFonts w:hint="eastAsia" w:ascii="宋体" w:hAnsi="宋体"/>
          <w:b w:val="0"/>
          <w:bCs w:val="0"/>
          <w:kern w:val="0"/>
          <w:sz w:val="28"/>
          <w:szCs w:val="28"/>
        </w:rPr>
        <w:tab/>
      </w:r>
    </w:p>
    <w:p w14:paraId="034A1C54">
      <w:pPr>
        <w:spacing w:line="560" w:lineRule="exact"/>
        <w:ind w:firstLine="560" w:firstLineChars="200"/>
        <w:rPr>
          <w:rFonts w:hint="eastAsia" w:ascii="宋体" w:hAnsi="宋体"/>
          <w:b w:val="0"/>
          <w:bCs w:val="0"/>
          <w:kern w:val="0"/>
          <w:sz w:val="28"/>
          <w:szCs w:val="28"/>
        </w:rPr>
      </w:pPr>
      <w:r>
        <w:rPr>
          <w:rFonts w:hint="eastAsia" w:ascii="宋体" w:hAnsi="宋体"/>
          <w:b w:val="0"/>
          <w:bCs w:val="0"/>
          <w:kern w:val="0"/>
          <w:sz w:val="28"/>
          <w:szCs w:val="28"/>
        </w:rPr>
        <w:t>第二部分 学生就业信心状况分析</w:t>
      </w:r>
      <w:r>
        <w:rPr>
          <w:rFonts w:hint="eastAsia" w:ascii="宋体" w:hAnsi="宋体"/>
          <w:b w:val="0"/>
          <w:bCs w:val="0"/>
          <w:kern w:val="0"/>
          <w:sz w:val="28"/>
          <w:szCs w:val="28"/>
        </w:rPr>
        <w:tab/>
      </w:r>
    </w:p>
    <w:p w14:paraId="4D2D832E">
      <w:pPr>
        <w:spacing w:line="560" w:lineRule="exact"/>
        <w:ind w:firstLine="560" w:firstLineChars="200"/>
        <w:rPr>
          <w:rFonts w:hint="eastAsia" w:ascii="宋体" w:hAnsi="宋体"/>
          <w:b w:val="0"/>
          <w:bCs w:val="0"/>
          <w:kern w:val="0"/>
          <w:sz w:val="28"/>
          <w:szCs w:val="28"/>
        </w:rPr>
      </w:pPr>
      <w:r>
        <w:rPr>
          <w:rFonts w:hint="eastAsia" w:ascii="宋体" w:hAnsi="宋体"/>
          <w:b w:val="0"/>
          <w:bCs w:val="0"/>
          <w:kern w:val="0"/>
          <w:sz w:val="28"/>
          <w:szCs w:val="28"/>
        </w:rPr>
        <w:t>调研框架说明</w:t>
      </w:r>
      <w:r>
        <w:rPr>
          <w:rFonts w:hint="eastAsia" w:ascii="宋体" w:hAnsi="宋体"/>
          <w:b w:val="0"/>
          <w:bCs w:val="0"/>
          <w:kern w:val="0"/>
          <w:sz w:val="28"/>
          <w:szCs w:val="28"/>
        </w:rPr>
        <w:tab/>
      </w:r>
    </w:p>
    <w:p w14:paraId="660E4C2F">
      <w:pPr>
        <w:spacing w:line="560" w:lineRule="exact"/>
        <w:ind w:firstLine="560" w:firstLineChars="200"/>
        <w:rPr>
          <w:rFonts w:hint="eastAsia" w:ascii="宋体" w:hAnsi="宋体"/>
          <w:b w:val="0"/>
          <w:bCs w:val="0"/>
          <w:kern w:val="0"/>
          <w:sz w:val="28"/>
          <w:szCs w:val="28"/>
        </w:rPr>
      </w:pPr>
      <w:r>
        <w:rPr>
          <w:rFonts w:hint="eastAsia" w:ascii="宋体" w:hAnsi="宋体"/>
          <w:b w:val="0"/>
          <w:bCs w:val="0"/>
          <w:kern w:val="0"/>
          <w:sz w:val="28"/>
          <w:szCs w:val="28"/>
        </w:rPr>
        <w:t>参与调研的学生基本信息分析</w:t>
      </w:r>
      <w:r>
        <w:rPr>
          <w:rFonts w:hint="eastAsia" w:ascii="宋体" w:hAnsi="宋体"/>
          <w:b w:val="0"/>
          <w:bCs w:val="0"/>
          <w:kern w:val="0"/>
          <w:sz w:val="28"/>
          <w:szCs w:val="28"/>
        </w:rPr>
        <w:tab/>
      </w:r>
    </w:p>
    <w:p w14:paraId="4D8D9B10">
      <w:pPr>
        <w:spacing w:line="560" w:lineRule="exact"/>
        <w:ind w:firstLine="560" w:firstLineChars="200"/>
        <w:rPr>
          <w:rFonts w:hint="eastAsia" w:ascii="宋体" w:hAnsi="宋体"/>
          <w:b w:val="0"/>
          <w:bCs w:val="0"/>
          <w:kern w:val="0"/>
          <w:sz w:val="28"/>
          <w:szCs w:val="28"/>
        </w:rPr>
      </w:pPr>
      <w:r>
        <w:rPr>
          <w:rFonts w:hint="eastAsia" w:ascii="宋体" w:hAnsi="宋体"/>
          <w:b w:val="0"/>
          <w:bCs w:val="0"/>
          <w:kern w:val="0"/>
          <w:sz w:val="28"/>
          <w:szCs w:val="28"/>
        </w:rPr>
        <w:t>一、就业自动思维</w:t>
      </w:r>
      <w:r>
        <w:rPr>
          <w:rFonts w:hint="eastAsia" w:ascii="宋体" w:hAnsi="宋体"/>
          <w:b w:val="0"/>
          <w:bCs w:val="0"/>
          <w:kern w:val="0"/>
          <w:sz w:val="28"/>
          <w:szCs w:val="28"/>
        </w:rPr>
        <w:tab/>
      </w:r>
    </w:p>
    <w:p w14:paraId="4C82958B">
      <w:pPr>
        <w:spacing w:line="560" w:lineRule="exact"/>
        <w:ind w:firstLine="560" w:firstLineChars="200"/>
        <w:rPr>
          <w:rFonts w:hint="eastAsia" w:ascii="宋体" w:hAnsi="宋体"/>
          <w:b w:val="0"/>
          <w:bCs w:val="0"/>
          <w:kern w:val="0"/>
          <w:sz w:val="28"/>
          <w:szCs w:val="28"/>
        </w:rPr>
      </w:pPr>
      <w:r>
        <w:rPr>
          <w:rFonts w:hint="eastAsia" w:ascii="宋体" w:hAnsi="宋体"/>
          <w:b w:val="0"/>
          <w:bCs w:val="0"/>
          <w:kern w:val="0"/>
          <w:sz w:val="28"/>
          <w:szCs w:val="28"/>
        </w:rPr>
        <w:t>1、就业自动思维整体现状</w:t>
      </w:r>
      <w:r>
        <w:rPr>
          <w:rFonts w:hint="eastAsia" w:ascii="宋体" w:hAnsi="宋体"/>
          <w:b w:val="0"/>
          <w:bCs w:val="0"/>
          <w:kern w:val="0"/>
          <w:sz w:val="28"/>
          <w:szCs w:val="28"/>
        </w:rPr>
        <w:tab/>
      </w:r>
    </w:p>
    <w:p w14:paraId="48AFE271">
      <w:pPr>
        <w:spacing w:line="560" w:lineRule="exact"/>
        <w:ind w:firstLine="560" w:firstLineChars="200"/>
        <w:rPr>
          <w:rFonts w:hint="eastAsia" w:ascii="宋体" w:hAnsi="宋体"/>
          <w:b w:val="0"/>
          <w:bCs w:val="0"/>
          <w:kern w:val="0"/>
          <w:sz w:val="28"/>
          <w:szCs w:val="28"/>
        </w:rPr>
      </w:pPr>
      <w:r>
        <w:rPr>
          <w:rFonts w:hint="eastAsia" w:ascii="宋体" w:hAnsi="宋体"/>
          <w:b w:val="0"/>
          <w:bCs w:val="0"/>
          <w:kern w:val="0"/>
          <w:sz w:val="28"/>
          <w:szCs w:val="28"/>
        </w:rPr>
        <w:t>2、各学院就业自动思维得分情况</w:t>
      </w:r>
      <w:r>
        <w:rPr>
          <w:rFonts w:hint="eastAsia" w:ascii="宋体" w:hAnsi="宋体"/>
          <w:b w:val="0"/>
          <w:bCs w:val="0"/>
          <w:kern w:val="0"/>
          <w:sz w:val="28"/>
          <w:szCs w:val="28"/>
        </w:rPr>
        <w:tab/>
      </w:r>
    </w:p>
    <w:p w14:paraId="1E8EE6F0">
      <w:pPr>
        <w:spacing w:line="560" w:lineRule="exact"/>
        <w:ind w:firstLine="560" w:firstLineChars="200"/>
        <w:rPr>
          <w:rFonts w:hint="eastAsia" w:ascii="宋体" w:hAnsi="宋体"/>
          <w:b w:val="0"/>
          <w:bCs w:val="0"/>
          <w:kern w:val="0"/>
          <w:sz w:val="28"/>
          <w:szCs w:val="28"/>
        </w:rPr>
      </w:pPr>
      <w:r>
        <w:rPr>
          <w:rFonts w:hint="eastAsia" w:ascii="宋体" w:hAnsi="宋体"/>
          <w:b w:val="0"/>
          <w:bCs w:val="0"/>
          <w:kern w:val="0"/>
          <w:sz w:val="28"/>
          <w:szCs w:val="28"/>
        </w:rPr>
        <w:t>3、各年级就业自动思维得分情况</w:t>
      </w:r>
      <w:r>
        <w:rPr>
          <w:rFonts w:hint="eastAsia" w:ascii="宋体" w:hAnsi="宋体"/>
          <w:b w:val="0"/>
          <w:bCs w:val="0"/>
          <w:kern w:val="0"/>
          <w:sz w:val="28"/>
          <w:szCs w:val="28"/>
        </w:rPr>
        <w:tab/>
      </w:r>
    </w:p>
    <w:p w14:paraId="6B3E4F84">
      <w:pPr>
        <w:spacing w:line="560" w:lineRule="exact"/>
        <w:ind w:firstLine="560" w:firstLineChars="200"/>
        <w:rPr>
          <w:rFonts w:hint="eastAsia" w:ascii="宋体" w:hAnsi="宋体"/>
          <w:b w:val="0"/>
          <w:bCs w:val="0"/>
          <w:kern w:val="0"/>
          <w:sz w:val="28"/>
          <w:szCs w:val="28"/>
        </w:rPr>
      </w:pPr>
      <w:r>
        <w:rPr>
          <w:rFonts w:hint="eastAsia" w:ascii="宋体" w:hAnsi="宋体"/>
          <w:b w:val="0"/>
          <w:bCs w:val="0"/>
          <w:kern w:val="0"/>
          <w:sz w:val="28"/>
          <w:szCs w:val="28"/>
        </w:rPr>
        <w:t>4、针对性建议</w:t>
      </w:r>
      <w:r>
        <w:rPr>
          <w:rFonts w:hint="eastAsia" w:ascii="宋体" w:hAnsi="宋体"/>
          <w:b w:val="0"/>
          <w:bCs w:val="0"/>
          <w:kern w:val="0"/>
          <w:sz w:val="28"/>
          <w:szCs w:val="28"/>
        </w:rPr>
        <w:tab/>
      </w:r>
    </w:p>
    <w:p w14:paraId="507D5BFC">
      <w:pPr>
        <w:spacing w:line="560" w:lineRule="exact"/>
        <w:ind w:firstLine="560" w:firstLineChars="200"/>
        <w:rPr>
          <w:rFonts w:hint="eastAsia" w:ascii="宋体" w:hAnsi="宋体"/>
          <w:b w:val="0"/>
          <w:bCs w:val="0"/>
          <w:kern w:val="0"/>
          <w:sz w:val="28"/>
          <w:szCs w:val="28"/>
        </w:rPr>
      </w:pPr>
      <w:r>
        <w:rPr>
          <w:rFonts w:hint="eastAsia" w:ascii="宋体" w:hAnsi="宋体"/>
          <w:b w:val="0"/>
          <w:bCs w:val="0"/>
          <w:kern w:val="0"/>
          <w:sz w:val="28"/>
          <w:szCs w:val="28"/>
        </w:rPr>
        <w:t>二、就业环境认知</w:t>
      </w:r>
    </w:p>
    <w:p w14:paraId="743EB513">
      <w:pPr>
        <w:spacing w:line="560" w:lineRule="exact"/>
        <w:ind w:firstLine="560" w:firstLineChars="200"/>
        <w:rPr>
          <w:rFonts w:hint="eastAsia" w:ascii="宋体" w:hAnsi="宋体"/>
          <w:b w:val="0"/>
          <w:bCs w:val="0"/>
          <w:kern w:val="0"/>
          <w:sz w:val="28"/>
          <w:szCs w:val="28"/>
        </w:rPr>
      </w:pPr>
      <w:r>
        <w:rPr>
          <w:rFonts w:hint="eastAsia" w:ascii="宋体" w:hAnsi="宋体"/>
          <w:b w:val="0"/>
          <w:bCs w:val="0"/>
          <w:kern w:val="0"/>
          <w:sz w:val="28"/>
          <w:szCs w:val="28"/>
        </w:rPr>
        <w:t>1、就业环境认知整体现状</w:t>
      </w:r>
      <w:r>
        <w:rPr>
          <w:rFonts w:hint="eastAsia" w:ascii="宋体" w:hAnsi="宋体"/>
          <w:b w:val="0"/>
          <w:bCs w:val="0"/>
          <w:kern w:val="0"/>
          <w:sz w:val="28"/>
          <w:szCs w:val="28"/>
        </w:rPr>
        <w:tab/>
      </w:r>
    </w:p>
    <w:p w14:paraId="24B594A3">
      <w:pPr>
        <w:spacing w:line="560" w:lineRule="exact"/>
        <w:ind w:firstLine="560" w:firstLineChars="200"/>
        <w:rPr>
          <w:rFonts w:hint="eastAsia" w:ascii="宋体" w:hAnsi="宋体"/>
          <w:b w:val="0"/>
          <w:bCs w:val="0"/>
          <w:kern w:val="0"/>
          <w:sz w:val="28"/>
          <w:szCs w:val="28"/>
        </w:rPr>
      </w:pPr>
      <w:r>
        <w:rPr>
          <w:rFonts w:hint="eastAsia" w:ascii="宋体" w:hAnsi="宋体"/>
          <w:b w:val="0"/>
          <w:bCs w:val="0"/>
          <w:kern w:val="0"/>
          <w:sz w:val="28"/>
          <w:szCs w:val="28"/>
        </w:rPr>
        <w:t>2、各学院就业环境认知情况</w:t>
      </w:r>
    </w:p>
    <w:p w14:paraId="6513F912">
      <w:pPr>
        <w:spacing w:line="560" w:lineRule="exact"/>
        <w:ind w:firstLine="560" w:firstLineChars="200"/>
        <w:rPr>
          <w:rFonts w:hint="eastAsia" w:ascii="宋体" w:hAnsi="宋体"/>
          <w:b w:val="0"/>
          <w:bCs w:val="0"/>
          <w:kern w:val="0"/>
          <w:sz w:val="28"/>
          <w:szCs w:val="28"/>
        </w:rPr>
      </w:pPr>
      <w:r>
        <w:rPr>
          <w:rFonts w:hint="eastAsia" w:ascii="宋体" w:hAnsi="宋体"/>
          <w:b w:val="0"/>
          <w:bCs w:val="0"/>
          <w:kern w:val="0"/>
          <w:sz w:val="28"/>
          <w:szCs w:val="28"/>
        </w:rPr>
        <w:t>3、各年级就业环境认知情况</w:t>
      </w:r>
      <w:r>
        <w:rPr>
          <w:rFonts w:hint="eastAsia" w:ascii="宋体" w:hAnsi="宋体"/>
          <w:b w:val="0"/>
          <w:bCs w:val="0"/>
          <w:kern w:val="0"/>
          <w:sz w:val="28"/>
          <w:szCs w:val="28"/>
        </w:rPr>
        <w:tab/>
      </w:r>
    </w:p>
    <w:p w14:paraId="4A4708CC">
      <w:pPr>
        <w:spacing w:line="560" w:lineRule="exact"/>
        <w:ind w:firstLine="560" w:firstLineChars="200"/>
        <w:rPr>
          <w:rFonts w:hint="eastAsia" w:ascii="宋体" w:hAnsi="宋体"/>
          <w:b w:val="0"/>
          <w:bCs w:val="0"/>
          <w:kern w:val="0"/>
          <w:sz w:val="28"/>
          <w:szCs w:val="28"/>
        </w:rPr>
      </w:pPr>
      <w:r>
        <w:rPr>
          <w:rFonts w:hint="eastAsia" w:ascii="宋体" w:hAnsi="宋体"/>
          <w:b w:val="0"/>
          <w:bCs w:val="0"/>
          <w:kern w:val="0"/>
          <w:sz w:val="28"/>
          <w:szCs w:val="28"/>
        </w:rPr>
        <w:t>4、针对性建议</w:t>
      </w:r>
      <w:r>
        <w:rPr>
          <w:rFonts w:hint="eastAsia" w:ascii="宋体" w:hAnsi="宋体"/>
          <w:b w:val="0"/>
          <w:bCs w:val="0"/>
          <w:kern w:val="0"/>
          <w:sz w:val="28"/>
          <w:szCs w:val="28"/>
        </w:rPr>
        <w:tab/>
      </w:r>
    </w:p>
    <w:p w14:paraId="22294B1C">
      <w:pPr>
        <w:spacing w:line="560" w:lineRule="exact"/>
        <w:ind w:firstLine="560" w:firstLineChars="200"/>
        <w:rPr>
          <w:rFonts w:hint="eastAsia" w:ascii="宋体" w:hAnsi="宋体"/>
          <w:b w:val="0"/>
          <w:bCs w:val="0"/>
          <w:kern w:val="0"/>
          <w:sz w:val="28"/>
          <w:szCs w:val="28"/>
        </w:rPr>
      </w:pPr>
      <w:r>
        <w:rPr>
          <w:rFonts w:hint="eastAsia" w:ascii="宋体" w:hAnsi="宋体"/>
          <w:b w:val="0"/>
          <w:bCs w:val="0"/>
          <w:kern w:val="0"/>
          <w:sz w:val="28"/>
          <w:szCs w:val="28"/>
        </w:rPr>
        <w:t>三、主观就业支持&amp;障碍</w:t>
      </w:r>
      <w:r>
        <w:rPr>
          <w:rFonts w:hint="eastAsia" w:ascii="宋体" w:hAnsi="宋体"/>
          <w:b w:val="0"/>
          <w:bCs w:val="0"/>
          <w:kern w:val="0"/>
          <w:sz w:val="28"/>
          <w:szCs w:val="28"/>
        </w:rPr>
        <w:tab/>
      </w:r>
    </w:p>
    <w:p w14:paraId="25333236">
      <w:pPr>
        <w:spacing w:line="560" w:lineRule="exact"/>
        <w:ind w:firstLine="560" w:firstLineChars="200"/>
        <w:rPr>
          <w:rFonts w:hint="eastAsia" w:ascii="宋体" w:hAnsi="宋体"/>
          <w:b w:val="0"/>
          <w:bCs w:val="0"/>
          <w:kern w:val="0"/>
          <w:sz w:val="28"/>
          <w:szCs w:val="28"/>
        </w:rPr>
      </w:pPr>
      <w:r>
        <w:rPr>
          <w:rFonts w:hint="eastAsia" w:ascii="宋体" w:hAnsi="宋体"/>
          <w:b w:val="0"/>
          <w:bCs w:val="0"/>
          <w:kern w:val="0"/>
          <w:sz w:val="28"/>
          <w:szCs w:val="28"/>
        </w:rPr>
        <w:t>1、主观就业障碍</w:t>
      </w:r>
      <w:r>
        <w:rPr>
          <w:rFonts w:hint="eastAsia" w:ascii="宋体" w:hAnsi="宋体"/>
          <w:b w:val="0"/>
          <w:bCs w:val="0"/>
          <w:kern w:val="0"/>
          <w:sz w:val="28"/>
          <w:szCs w:val="28"/>
        </w:rPr>
        <w:tab/>
      </w:r>
    </w:p>
    <w:p w14:paraId="381A0E92">
      <w:pPr>
        <w:spacing w:line="560" w:lineRule="exact"/>
        <w:ind w:firstLine="560" w:firstLineChars="200"/>
        <w:rPr>
          <w:rFonts w:hint="eastAsia" w:ascii="宋体" w:hAnsi="宋体"/>
          <w:b w:val="0"/>
          <w:bCs w:val="0"/>
          <w:kern w:val="0"/>
          <w:sz w:val="28"/>
          <w:szCs w:val="28"/>
        </w:rPr>
      </w:pPr>
      <w:r>
        <w:rPr>
          <w:rFonts w:hint="eastAsia" w:ascii="宋体" w:hAnsi="宋体"/>
          <w:b w:val="0"/>
          <w:bCs w:val="0"/>
          <w:kern w:val="0"/>
          <w:sz w:val="28"/>
          <w:szCs w:val="28"/>
        </w:rPr>
        <w:t>1.1 主观就业障碍整体感知</w:t>
      </w:r>
      <w:r>
        <w:rPr>
          <w:rFonts w:hint="eastAsia" w:ascii="宋体" w:hAnsi="宋体"/>
          <w:b w:val="0"/>
          <w:bCs w:val="0"/>
          <w:kern w:val="0"/>
          <w:sz w:val="28"/>
          <w:szCs w:val="28"/>
        </w:rPr>
        <w:tab/>
      </w:r>
    </w:p>
    <w:p w14:paraId="5AADBF6B">
      <w:pPr>
        <w:spacing w:line="560" w:lineRule="exact"/>
        <w:ind w:firstLine="560" w:firstLineChars="200"/>
        <w:rPr>
          <w:rFonts w:hint="eastAsia" w:ascii="宋体" w:hAnsi="宋体"/>
          <w:b w:val="0"/>
          <w:bCs w:val="0"/>
          <w:kern w:val="0"/>
          <w:sz w:val="28"/>
          <w:szCs w:val="28"/>
        </w:rPr>
      </w:pPr>
      <w:r>
        <w:rPr>
          <w:rFonts w:hint="eastAsia" w:ascii="宋体" w:hAnsi="宋体"/>
          <w:b w:val="0"/>
          <w:bCs w:val="0"/>
          <w:kern w:val="0"/>
          <w:sz w:val="28"/>
          <w:szCs w:val="28"/>
        </w:rPr>
        <w:t>1.2 各学院感知到的就业障碍</w:t>
      </w:r>
      <w:r>
        <w:rPr>
          <w:rFonts w:hint="eastAsia" w:ascii="宋体" w:hAnsi="宋体"/>
          <w:b w:val="0"/>
          <w:bCs w:val="0"/>
          <w:kern w:val="0"/>
          <w:sz w:val="28"/>
          <w:szCs w:val="28"/>
        </w:rPr>
        <w:tab/>
      </w:r>
    </w:p>
    <w:p w14:paraId="5695578B">
      <w:pPr>
        <w:spacing w:line="560" w:lineRule="exact"/>
        <w:ind w:firstLine="560" w:firstLineChars="200"/>
        <w:rPr>
          <w:rFonts w:hint="eastAsia" w:ascii="宋体" w:hAnsi="宋体"/>
          <w:b w:val="0"/>
          <w:bCs w:val="0"/>
          <w:kern w:val="0"/>
          <w:sz w:val="28"/>
          <w:szCs w:val="28"/>
        </w:rPr>
      </w:pPr>
      <w:r>
        <w:rPr>
          <w:rFonts w:hint="eastAsia" w:ascii="宋体" w:hAnsi="宋体"/>
          <w:b w:val="0"/>
          <w:bCs w:val="0"/>
          <w:kern w:val="0"/>
          <w:sz w:val="28"/>
          <w:szCs w:val="28"/>
        </w:rPr>
        <w:t>1.3 各年级感知到的就业障碍</w:t>
      </w:r>
      <w:r>
        <w:rPr>
          <w:rFonts w:hint="eastAsia" w:ascii="宋体" w:hAnsi="宋体"/>
          <w:b w:val="0"/>
          <w:bCs w:val="0"/>
          <w:kern w:val="0"/>
          <w:sz w:val="28"/>
          <w:szCs w:val="28"/>
        </w:rPr>
        <w:tab/>
      </w:r>
    </w:p>
    <w:p w14:paraId="3A4C4A03">
      <w:pPr>
        <w:spacing w:line="560" w:lineRule="exact"/>
        <w:ind w:firstLine="560" w:firstLineChars="200"/>
        <w:rPr>
          <w:rFonts w:hint="eastAsia" w:ascii="宋体" w:hAnsi="宋体"/>
          <w:b w:val="0"/>
          <w:bCs w:val="0"/>
          <w:kern w:val="0"/>
          <w:sz w:val="28"/>
          <w:szCs w:val="28"/>
        </w:rPr>
      </w:pPr>
      <w:r>
        <w:rPr>
          <w:rFonts w:hint="eastAsia" w:ascii="宋体" w:hAnsi="宋体"/>
          <w:b w:val="0"/>
          <w:bCs w:val="0"/>
          <w:kern w:val="0"/>
          <w:sz w:val="28"/>
          <w:szCs w:val="28"/>
        </w:rPr>
        <w:t>2、主观就业支持</w:t>
      </w:r>
      <w:r>
        <w:rPr>
          <w:rFonts w:hint="eastAsia" w:ascii="宋体" w:hAnsi="宋体"/>
          <w:b w:val="0"/>
          <w:bCs w:val="0"/>
          <w:kern w:val="0"/>
          <w:sz w:val="28"/>
          <w:szCs w:val="28"/>
        </w:rPr>
        <w:tab/>
      </w:r>
    </w:p>
    <w:p w14:paraId="1BC018C1">
      <w:pPr>
        <w:spacing w:line="560" w:lineRule="exact"/>
        <w:ind w:firstLine="560" w:firstLineChars="200"/>
        <w:rPr>
          <w:rFonts w:hint="eastAsia" w:ascii="宋体" w:hAnsi="宋体"/>
          <w:b w:val="0"/>
          <w:bCs w:val="0"/>
          <w:kern w:val="0"/>
          <w:sz w:val="28"/>
          <w:szCs w:val="28"/>
        </w:rPr>
      </w:pPr>
      <w:r>
        <w:rPr>
          <w:rFonts w:hint="eastAsia" w:ascii="宋体" w:hAnsi="宋体"/>
          <w:b w:val="0"/>
          <w:bCs w:val="0"/>
          <w:kern w:val="0"/>
          <w:sz w:val="28"/>
          <w:szCs w:val="28"/>
        </w:rPr>
        <w:t>2.1 主观就业支持整体感知</w:t>
      </w:r>
      <w:r>
        <w:rPr>
          <w:rFonts w:hint="eastAsia" w:ascii="宋体" w:hAnsi="宋体"/>
          <w:b w:val="0"/>
          <w:bCs w:val="0"/>
          <w:kern w:val="0"/>
          <w:sz w:val="28"/>
          <w:szCs w:val="28"/>
        </w:rPr>
        <w:tab/>
      </w:r>
    </w:p>
    <w:p w14:paraId="3382586A">
      <w:pPr>
        <w:spacing w:line="560" w:lineRule="exact"/>
        <w:ind w:firstLine="560" w:firstLineChars="200"/>
        <w:rPr>
          <w:rFonts w:hint="eastAsia" w:ascii="宋体" w:hAnsi="宋体"/>
          <w:b w:val="0"/>
          <w:bCs w:val="0"/>
          <w:kern w:val="0"/>
          <w:sz w:val="28"/>
          <w:szCs w:val="28"/>
        </w:rPr>
      </w:pPr>
      <w:r>
        <w:rPr>
          <w:rFonts w:hint="eastAsia" w:ascii="宋体" w:hAnsi="宋体"/>
          <w:b w:val="0"/>
          <w:bCs w:val="0"/>
          <w:kern w:val="0"/>
          <w:sz w:val="28"/>
          <w:szCs w:val="28"/>
        </w:rPr>
        <w:t>2.2 各学院感知到的就业支持</w:t>
      </w:r>
      <w:r>
        <w:rPr>
          <w:rFonts w:hint="eastAsia" w:ascii="宋体" w:hAnsi="宋体"/>
          <w:b w:val="0"/>
          <w:bCs w:val="0"/>
          <w:kern w:val="0"/>
          <w:sz w:val="28"/>
          <w:szCs w:val="28"/>
        </w:rPr>
        <w:tab/>
      </w:r>
    </w:p>
    <w:p w14:paraId="2A86AC1B">
      <w:pPr>
        <w:spacing w:line="560" w:lineRule="exact"/>
        <w:ind w:firstLine="560" w:firstLineChars="200"/>
        <w:rPr>
          <w:rFonts w:hint="eastAsia" w:ascii="宋体" w:hAnsi="宋体"/>
          <w:b w:val="0"/>
          <w:bCs w:val="0"/>
          <w:kern w:val="0"/>
          <w:sz w:val="28"/>
          <w:szCs w:val="28"/>
        </w:rPr>
      </w:pPr>
      <w:r>
        <w:rPr>
          <w:rFonts w:hint="eastAsia" w:ascii="宋体" w:hAnsi="宋体"/>
          <w:b w:val="0"/>
          <w:bCs w:val="0"/>
          <w:kern w:val="0"/>
          <w:sz w:val="28"/>
          <w:szCs w:val="28"/>
        </w:rPr>
        <w:t>2.3 各年级感知到的就业支持</w:t>
      </w:r>
      <w:r>
        <w:rPr>
          <w:rFonts w:hint="eastAsia" w:ascii="宋体" w:hAnsi="宋体"/>
          <w:b w:val="0"/>
          <w:bCs w:val="0"/>
          <w:kern w:val="0"/>
          <w:sz w:val="28"/>
          <w:szCs w:val="28"/>
        </w:rPr>
        <w:tab/>
      </w:r>
    </w:p>
    <w:p w14:paraId="0B855A3C">
      <w:pPr>
        <w:spacing w:line="560" w:lineRule="exact"/>
        <w:ind w:firstLine="560" w:firstLineChars="200"/>
        <w:rPr>
          <w:rFonts w:hint="eastAsia" w:ascii="宋体" w:hAnsi="宋体"/>
          <w:b w:val="0"/>
          <w:bCs w:val="0"/>
          <w:kern w:val="0"/>
          <w:sz w:val="28"/>
          <w:szCs w:val="28"/>
        </w:rPr>
      </w:pPr>
      <w:r>
        <w:rPr>
          <w:rFonts w:hint="eastAsia" w:ascii="宋体" w:hAnsi="宋体"/>
          <w:b w:val="0"/>
          <w:bCs w:val="0"/>
          <w:kern w:val="0"/>
          <w:sz w:val="28"/>
          <w:szCs w:val="28"/>
        </w:rPr>
        <w:t>3、针对性建议</w:t>
      </w:r>
    </w:p>
    <w:p w14:paraId="15E35BC8">
      <w:pPr>
        <w:spacing w:line="560" w:lineRule="exact"/>
        <w:ind w:firstLine="560" w:firstLineChars="200"/>
        <w:rPr>
          <w:rFonts w:hint="eastAsia" w:ascii="宋体" w:hAnsi="宋体"/>
          <w:b w:val="0"/>
          <w:bCs w:val="0"/>
          <w:kern w:val="0"/>
          <w:sz w:val="28"/>
          <w:szCs w:val="28"/>
        </w:rPr>
      </w:pPr>
      <w:r>
        <w:rPr>
          <w:rFonts w:hint="eastAsia" w:ascii="宋体" w:hAnsi="宋体"/>
          <w:b w:val="0"/>
          <w:bCs w:val="0"/>
          <w:kern w:val="0"/>
          <w:sz w:val="28"/>
          <w:szCs w:val="28"/>
        </w:rPr>
        <w:t>四、就业信心指数</w:t>
      </w:r>
      <w:r>
        <w:rPr>
          <w:rFonts w:hint="eastAsia" w:ascii="宋体" w:hAnsi="宋体"/>
          <w:b w:val="0"/>
          <w:bCs w:val="0"/>
          <w:kern w:val="0"/>
          <w:sz w:val="28"/>
          <w:szCs w:val="28"/>
        </w:rPr>
        <w:tab/>
      </w:r>
    </w:p>
    <w:p w14:paraId="4E44D309">
      <w:pPr>
        <w:spacing w:line="560" w:lineRule="exact"/>
        <w:ind w:firstLine="560" w:firstLineChars="200"/>
        <w:rPr>
          <w:rFonts w:hint="eastAsia" w:ascii="宋体" w:hAnsi="宋体"/>
          <w:b w:val="0"/>
          <w:bCs w:val="0"/>
          <w:kern w:val="0"/>
          <w:sz w:val="28"/>
          <w:szCs w:val="28"/>
        </w:rPr>
      </w:pPr>
      <w:r>
        <w:rPr>
          <w:rFonts w:hint="eastAsia" w:ascii="宋体" w:hAnsi="宋体"/>
          <w:b w:val="0"/>
          <w:bCs w:val="0"/>
          <w:kern w:val="0"/>
          <w:sz w:val="28"/>
          <w:szCs w:val="28"/>
        </w:rPr>
        <w:t>1、就业信心整体现状</w:t>
      </w:r>
      <w:r>
        <w:rPr>
          <w:rFonts w:hint="eastAsia" w:ascii="宋体" w:hAnsi="宋体"/>
          <w:b w:val="0"/>
          <w:bCs w:val="0"/>
          <w:kern w:val="0"/>
          <w:sz w:val="28"/>
          <w:szCs w:val="28"/>
        </w:rPr>
        <w:tab/>
      </w:r>
    </w:p>
    <w:p w14:paraId="4160CFC5">
      <w:pPr>
        <w:spacing w:line="560" w:lineRule="exact"/>
        <w:ind w:firstLine="560" w:firstLineChars="200"/>
        <w:rPr>
          <w:rFonts w:hint="eastAsia" w:ascii="宋体" w:hAnsi="宋体"/>
          <w:b w:val="0"/>
          <w:bCs w:val="0"/>
          <w:kern w:val="0"/>
          <w:sz w:val="28"/>
          <w:szCs w:val="28"/>
        </w:rPr>
      </w:pPr>
      <w:r>
        <w:rPr>
          <w:rFonts w:hint="eastAsia" w:ascii="宋体" w:hAnsi="宋体"/>
          <w:b w:val="0"/>
          <w:bCs w:val="0"/>
          <w:kern w:val="0"/>
          <w:sz w:val="28"/>
          <w:szCs w:val="28"/>
        </w:rPr>
        <w:t>1.1 学生认为的“高质量工作”</w:t>
      </w:r>
      <w:r>
        <w:rPr>
          <w:rFonts w:hint="eastAsia" w:ascii="宋体" w:hAnsi="宋体"/>
          <w:b w:val="0"/>
          <w:bCs w:val="0"/>
          <w:kern w:val="0"/>
          <w:sz w:val="28"/>
          <w:szCs w:val="28"/>
        </w:rPr>
        <w:tab/>
      </w:r>
    </w:p>
    <w:p w14:paraId="3A0F87B1">
      <w:pPr>
        <w:spacing w:line="560" w:lineRule="exact"/>
        <w:ind w:firstLine="560" w:firstLineChars="200"/>
        <w:rPr>
          <w:rFonts w:hint="eastAsia" w:ascii="宋体" w:hAnsi="宋体"/>
          <w:b w:val="0"/>
          <w:bCs w:val="0"/>
          <w:kern w:val="0"/>
          <w:sz w:val="28"/>
          <w:szCs w:val="28"/>
        </w:rPr>
      </w:pPr>
      <w:r>
        <w:rPr>
          <w:rFonts w:hint="eastAsia" w:ascii="宋体" w:hAnsi="宋体"/>
          <w:b w:val="0"/>
          <w:bCs w:val="0"/>
          <w:kern w:val="0"/>
          <w:sz w:val="28"/>
          <w:szCs w:val="28"/>
        </w:rPr>
        <w:t>1.2 就业信心现状</w:t>
      </w:r>
      <w:r>
        <w:rPr>
          <w:rFonts w:hint="eastAsia" w:ascii="宋体" w:hAnsi="宋体"/>
          <w:b w:val="0"/>
          <w:bCs w:val="0"/>
          <w:kern w:val="0"/>
          <w:sz w:val="28"/>
          <w:szCs w:val="28"/>
        </w:rPr>
        <w:tab/>
      </w:r>
    </w:p>
    <w:p w14:paraId="00D563F3">
      <w:pPr>
        <w:spacing w:line="560" w:lineRule="exact"/>
        <w:ind w:firstLine="560" w:firstLineChars="200"/>
        <w:rPr>
          <w:rFonts w:hint="eastAsia" w:ascii="宋体" w:hAnsi="宋体"/>
          <w:b w:val="0"/>
          <w:bCs w:val="0"/>
          <w:kern w:val="0"/>
          <w:sz w:val="28"/>
          <w:szCs w:val="28"/>
        </w:rPr>
      </w:pPr>
      <w:r>
        <w:rPr>
          <w:rFonts w:hint="eastAsia" w:ascii="宋体" w:hAnsi="宋体"/>
          <w:b w:val="0"/>
          <w:bCs w:val="0"/>
          <w:kern w:val="0"/>
          <w:sz w:val="28"/>
          <w:szCs w:val="28"/>
        </w:rPr>
        <w:t>2、各学院就业信心</w:t>
      </w:r>
      <w:r>
        <w:rPr>
          <w:rFonts w:hint="eastAsia" w:ascii="宋体" w:hAnsi="宋体"/>
          <w:b w:val="0"/>
          <w:bCs w:val="0"/>
          <w:kern w:val="0"/>
          <w:sz w:val="28"/>
          <w:szCs w:val="28"/>
        </w:rPr>
        <w:tab/>
      </w:r>
    </w:p>
    <w:p w14:paraId="1568222B">
      <w:pPr>
        <w:spacing w:line="560" w:lineRule="exact"/>
        <w:ind w:firstLine="560" w:firstLineChars="200"/>
        <w:rPr>
          <w:rFonts w:hint="eastAsia" w:ascii="宋体" w:hAnsi="宋体"/>
          <w:b w:val="0"/>
          <w:bCs w:val="0"/>
          <w:kern w:val="0"/>
          <w:sz w:val="28"/>
          <w:szCs w:val="28"/>
        </w:rPr>
      </w:pPr>
      <w:r>
        <w:rPr>
          <w:rFonts w:hint="eastAsia" w:ascii="宋体" w:hAnsi="宋体"/>
          <w:b w:val="0"/>
          <w:bCs w:val="0"/>
          <w:kern w:val="0"/>
          <w:sz w:val="28"/>
          <w:szCs w:val="28"/>
        </w:rPr>
        <w:t>3、各年级就业信心</w:t>
      </w:r>
    </w:p>
    <w:p w14:paraId="56F38AA3">
      <w:pPr>
        <w:spacing w:line="560" w:lineRule="exact"/>
        <w:ind w:firstLine="560" w:firstLineChars="200"/>
        <w:rPr>
          <w:rFonts w:hint="eastAsia" w:ascii="宋体" w:hAnsi="宋体"/>
          <w:b w:val="0"/>
          <w:bCs w:val="0"/>
          <w:kern w:val="0"/>
          <w:sz w:val="28"/>
          <w:szCs w:val="28"/>
        </w:rPr>
      </w:pPr>
      <w:r>
        <w:rPr>
          <w:rFonts w:hint="eastAsia" w:ascii="宋体" w:hAnsi="宋体"/>
          <w:b w:val="0"/>
          <w:bCs w:val="0"/>
          <w:kern w:val="0"/>
          <w:sz w:val="28"/>
          <w:szCs w:val="28"/>
        </w:rPr>
        <w:t>4、针对性建议</w:t>
      </w:r>
      <w:r>
        <w:rPr>
          <w:rFonts w:hint="eastAsia" w:ascii="宋体" w:hAnsi="宋体"/>
          <w:b w:val="0"/>
          <w:bCs w:val="0"/>
          <w:kern w:val="0"/>
          <w:sz w:val="28"/>
          <w:szCs w:val="28"/>
        </w:rPr>
        <w:tab/>
      </w:r>
    </w:p>
    <w:p w14:paraId="7E007A8E">
      <w:pPr>
        <w:spacing w:line="560" w:lineRule="exact"/>
        <w:ind w:firstLine="560" w:firstLineChars="200"/>
        <w:rPr>
          <w:rFonts w:hint="default" w:ascii="宋体" w:hAnsi="宋体"/>
          <w:b w:val="0"/>
          <w:bCs w:val="0"/>
          <w:kern w:val="0"/>
          <w:sz w:val="28"/>
          <w:szCs w:val="28"/>
          <w:lang w:val="en-US" w:eastAsia="zh-CN"/>
        </w:rPr>
      </w:pPr>
    </w:p>
    <w:p w14:paraId="61E529C3">
      <w:pPr>
        <w:spacing w:line="560" w:lineRule="exact"/>
        <w:ind w:firstLine="560" w:firstLineChars="200"/>
        <w:rPr>
          <w:rFonts w:hint="default" w:ascii="宋体" w:hAnsi="宋体"/>
          <w:b w:val="0"/>
          <w:bCs w:val="0"/>
          <w:kern w:val="0"/>
          <w:sz w:val="28"/>
          <w:szCs w:val="28"/>
          <w:lang w:val="en-US" w:eastAsia="zh-CN"/>
        </w:rPr>
      </w:pPr>
      <w:r>
        <w:rPr>
          <w:rFonts w:hint="eastAsia" w:ascii="宋体" w:hAnsi="宋体"/>
          <w:b w:val="0"/>
          <w:bCs w:val="0"/>
          <w:kern w:val="0"/>
          <w:sz w:val="28"/>
          <w:szCs w:val="28"/>
          <w:lang w:val="en-US" w:eastAsia="zh-CN"/>
        </w:rPr>
        <w:t>11.</w:t>
      </w:r>
      <w:r>
        <w:rPr>
          <w:rFonts w:hint="eastAsia" w:ascii="宋体" w:hAnsi="宋体"/>
          <w:b w:val="0"/>
          <w:bCs w:val="0"/>
          <w:kern w:val="0"/>
          <w:sz w:val="28"/>
          <w:szCs w:val="28"/>
        </w:rPr>
        <w:t xml:space="preserve">需在活动前三天到达现场指导及布置活动现场，定期向校方汇报项目进展情况；为方便用户放心享受服务，提供免费电话咨询服务；项目执行期间和售后服务期内，对所供服务项目负责；在活动中物料出现问题，由中标公司来妥善处理； </w:t>
      </w:r>
    </w:p>
    <w:p w14:paraId="237AFD8C">
      <w:pPr>
        <w:spacing w:line="560" w:lineRule="exact"/>
        <w:rPr>
          <w:rFonts w:hint="eastAsia" w:ascii="宋体" w:hAnsi="宋体"/>
          <w:b/>
          <w:bCs/>
          <w:kern w:val="0"/>
          <w:sz w:val="28"/>
          <w:szCs w:val="28"/>
        </w:rPr>
      </w:pPr>
      <w:r>
        <w:rPr>
          <w:rFonts w:hint="eastAsia" w:ascii="宋体" w:hAnsi="宋体"/>
          <w:b/>
          <w:bCs/>
          <w:kern w:val="0"/>
          <w:sz w:val="28"/>
          <w:szCs w:val="28"/>
          <w:lang w:val="en-US" w:eastAsia="zh-CN"/>
        </w:rPr>
        <w:t>服务</w:t>
      </w:r>
      <w:r>
        <w:rPr>
          <w:rFonts w:hint="eastAsia" w:ascii="宋体" w:hAnsi="宋体"/>
          <w:b/>
          <w:bCs/>
          <w:kern w:val="0"/>
          <w:sz w:val="28"/>
          <w:szCs w:val="28"/>
        </w:rPr>
        <w:t>清单：</w:t>
      </w:r>
      <w:bookmarkStart w:id="31" w:name="_GoBack"/>
      <w:bookmarkEnd w:id="31"/>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3809"/>
        <w:gridCol w:w="4956"/>
      </w:tblGrid>
      <w:tr w14:paraId="1AA05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9847" w:type="dxa"/>
            <w:gridSpan w:val="3"/>
            <w:vAlign w:val="center"/>
          </w:tcPr>
          <w:p w14:paraId="3AF168CE">
            <w:pPr>
              <w:pStyle w:val="103"/>
              <w:keepNext w:val="0"/>
              <w:keepLines w:val="0"/>
              <w:pageBreakBefore w:val="0"/>
              <w:widowControl w:val="0"/>
              <w:kinsoku/>
              <w:wordWrap/>
              <w:overflowPunct/>
              <w:topLinePunct w:val="0"/>
              <w:autoSpaceDE/>
              <w:autoSpaceDN/>
              <w:bidi w:val="0"/>
              <w:adjustRightInd/>
              <w:snapToGrid/>
              <w:spacing w:before="0" w:line="340" w:lineRule="exact"/>
              <w:ind w:left="443"/>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服务清单</w:t>
            </w:r>
          </w:p>
        </w:tc>
      </w:tr>
      <w:tr w14:paraId="2842B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082" w:type="dxa"/>
            <w:vAlign w:val="center"/>
          </w:tcPr>
          <w:p w14:paraId="29C3949E">
            <w:pPr>
              <w:pStyle w:val="103"/>
              <w:keepNext w:val="0"/>
              <w:keepLines w:val="0"/>
              <w:pageBreakBefore w:val="0"/>
              <w:widowControl w:val="0"/>
              <w:kinsoku/>
              <w:wordWrap/>
              <w:overflowPunct/>
              <w:topLinePunct w:val="0"/>
              <w:autoSpaceDE/>
              <w:autoSpaceDN/>
              <w:bidi w:val="0"/>
              <w:adjustRightInd/>
              <w:snapToGrid/>
              <w:spacing w:before="0" w:line="340" w:lineRule="exact"/>
              <w:ind w:left="108"/>
              <w:textAlignment w:val="auto"/>
              <w:rPr>
                <w:rFonts w:hint="eastAsia" w:cs="仿宋" w:asciiTheme="minorEastAsia" w:hAnsiTheme="minorEastAsia" w:eastAsiaTheme="minorEastAsia"/>
                <w:b/>
                <w:color w:val="000000" w:themeColor="text1"/>
                <w:sz w:val="24"/>
                <w14:textFill>
                  <w14:solidFill>
                    <w14:schemeClr w14:val="tx1"/>
                  </w14:solidFill>
                </w14:textFill>
              </w:rPr>
            </w:pPr>
            <w:r>
              <w:rPr>
                <w:rFonts w:hint="eastAsia" w:cs="仿宋" w:asciiTheme="minorEastAsia" w:hAnsiTheme="minorEastAsia" w:eastAsiaTheme="minorEastAsia"/>
                <w:b/>
                <w:color w:val="000000" w:themeColor="text1"/>
                <w:sz w:val="24"/>
                <w14:textFill>
                  <w14:solidFill>
                    <w14:schemeClr w14:val="tx1"/>
                  </w14:solidFill>
                </w14:textFill>
              </w:rPr>
              <w:t>序号</w:t>
            </w:r>
            <w:r>
              <w:rPr>
                <w:rFonts w:hint="eastAsia" w:cs="仿宋" w:asciiTheme="minorEastAsia" w:hAnsiTheme="minorEastAsia" w:eastAsiaTheme="minorEastAsia"/>
                <w:b/>
                <w:color w:val="000000" w:themeColor="text1"/>
                <w:w w:val="99"/>
                <w:sz w:val="24"/>
                <w14:textFill>
                  <w14:solidFill>
                    <w14:schemeClr w14:val="tx1"/>
                  </w14:solidFill>
                </w14:textFill>
              </w:rPr>
              <w:t xml:space="preserve"> </w:t>
            </w:r>
          </w:p>
        </w:tc>
        <w:tc>
          <w:tcPr>
            <w:tcW w:w="3809" w:type="dxa"/>
            <w:vAlign w:val="center"/>
          </w:tcPr>
          <w:p w14:paraId="75B021A6">
            <w:pPr>
              <w:pStyle w:val="103"/>
              <w:keepNext w:val="0"/>
              <w:keepLines w:val="0"/>
              <w:pageBreakBefore w:val="0"/>
              <w:widowControl w:val="0"/>
              <w:kinsoku/>
              <w:wordWrap/>
              <w:overflowPunct/>
              <w:topLinePunct w:val="0"/>
              <w:autoSpaceDE/>
              <w:autoSpaceDN/>
              <w:bidi w:val="0"/>
              <w:adjustRightInd/>
              <w:snapToGrid/>
              <w:spacing w:before="0" w:line="340" w:lineRule="exact"/>
              <w:ind w:left="505"/>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b/>
                <w:color w:val="000000" w:themeColor="text1"/>
                <w:sz w:val="24"/>
                <w14:textFill>
                  <w14:solidFill>
                    <w14:schemeClr w14:val="tx1"/>
                  </w14:solidFill>
                </w14:textFill>
              </w:rPr>
              <w:t>项目</w:t>
            </w:r>
            <w:r>
              <w:rPr>
                <w:rFonts w:hint="eastAsia" w:cs="仿宋" w:asciiTheme="minorEastAsia" w:hAnsiTheme="minorEastAsia" w:eastAsiaTheme="minorEastAsia"/>
                <w:b/>
                <w:color w:val="000000" w:themeColor="text1"/>
                <w:w w:val="99"/>
                <w:sz w:val="24"/>
                <w14:textFill>
                  <w14:solidFill>
                    <w14:schemeClr w14:val="tx1"/>
                  </w14:solidFill>
                </w14:textFill>
              </w:rPr>
              <w:t xml:space="preserve"> </w:t>
            </w:r>
          </w:p>
        </w:tc>
        <w:tc>
          <w:tcPr>
            <w:tcW w:w="4956" w:type="dxa"/>
            <w:vAlign w:val="center"/>
          </w:tcPr>
          <w:p w14:paraId="59F0F1AB">
            <w:pPr>
              <w:pStyle w:val="103"/>
              <w:keepNext w:val="0"/>
              <w:keepLines w:val="0"/>
              <w:pageBreakBefore w:val="0"/>
              <w:widowControl w:val="0"/>
              <w:kinsoku/>
              <w:wordWrap/>
              <w:overflowPunct/>
              <w:topLinePunct w:val="0"/>
              <w:autoSpaceDE/>
              <w:autoSpaceDN/>
              <w:bidi w:val="0"/>
              <w:adjustRightInd/>
              <w:snapToGrid/>
              <w:spacing w:before="0" w:line="340" w:lineRule="exact"/>
              <w:ind w:left="443"/>
              <w:jc w:val="left"/>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b/>
                <w:color w:val="000000" w:themeColor="text1"/>
                <w:sz w:val="24"/>
                <w14:textFill>
                  <w14:solidFill>
                    <w14:schemeClr w14:val="tx1"/>
                  </w14:solidFill>
                </w14:textFill>
              </w:rPr>
              <w:t>备注</w:t>
            </w:r>
            <w:r>
              <w:rPr>
                <w:rFonts w:hint="eastAsia" w:cs="仿宋" w:asciiTheme="minorEastAsia" w:hAnsiTheme="minorEastAsia" w:eastAsiaTheme="minorEastAsia"/>
                <w:b/>
                <w:color w:val="000000" w:themeColor="text1"/>
                <w:w w:val="99"/>
                <w:sz w:val="24"/>
                <w14:textFill>
                  <w14:solidFill>
                    <w14:schemeClr w14:val="tx1"/>
                  </w14:solidFill>
                </w14:textFill>
              </w:rPr>
              <w:t xml:space="preserve"> </w:t>
            </w:r>
          </w:p>
        </w:tc>
      </w:tr>
      <w:tr w14:paraId="02866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082" w:type="dxa"/>
            <w:vAlign w:val="center"/>
          </w:tcPr>
          <w:p w14:paraId="3DF78C33">
            <w:pPr>
              <w:pStyle w:val="103"/>
              <w:keepNext w:val="0"/>
              <w:keepLines w:val="0"/>
              <w:pageBreakBefore w:val="0"/>
              <w:widowControl w:val="0"/>
              <w:kinsoku/>
              <w:wordWrap/>
              <w:overflowPunct/>
              <w:topLinePunct w:val="0"/>
              <w:autoSpaceDE/>
              <w:autoSpaceDN/>
              <w:bidi w:val="0"/>
              <w:adjustRightInd/>
              <w:snapToGrid/>
              <w:spacing w:before="0" w:line="340" w:lineRule="exact"/>
              <w:ind w:left="108"/>
              <w:textAlignment w:val="auto"/>
              <w:rPr>
                <w:rFonts w:hint="eastAsia" w:cs="仿宋" w:asciiTheme="minorEastAsia" w:hAnsiTheme="minorEastAsia" w:eastAsiaTheme="minorEastAsia"/>
                <w:b/>
                <w:color w:val="000000" w:themeColor="text1"/>
                <w:sz w:val="24"/>
                <w14:textFill>
                  <w14:solidFill>
                    <w14:schemeClr w14:val="tx1"/>
                  </w14:solidFill>
                </w14:textFill>
              </w:rPr>
            </w:pPr>
            <w:r>
              <w:rPr>
                <w:rFonts w:hint="eastAsia" w:cs="仿宋" w:asciiTheme="minorEastAsia" w:hAnsiTheme="minorEastAsia" w:eastAsiaTheme="minorEastAsia"/>
                <w:b/>
                <w:color w:val="000000" w:themeColor="text1"/>
                <w:sz w:val="24"/>
                <w14:textFill>
                  <w14:solidFill>
                    <w14:schemeClr w14:val="tx1"/>
                  </w14:solidFill>
                </w14:textFill>
              </w:rPr>
              <w:t>1</w:t>
            </w:r>
          </w:p>
        </w:tc>
        <w:tc>
          <w:tcPr>
            <w:tcW w:w="3809" w:type="dxa"/>
            <w:vAlign w:val="center"/>
          </w:tcPr>
          <w:p w14:paraId="0653FF94">
            <w:pPr>
              <w:pStyle w:val="103"/>
              <w:keepNext w:val="0"/>
              <w:keepLines w:val="0"/>
              <w:pageBreakBefore w:val="0"/>
              <w:widowControl w:val="0"/>
              <w:kinsoku/>
              <w:wordWrap/>
              <w:overflowPunct/>
              <w:topLinePunct w:val="0"/>
              <w:autoSpaceDE/>
              <w:autoSpaceDN/>
              <w:bidi w:val="0"/>
              <w:adjustRightInd/>
              <w:snapToGrid/>
              <w:spacing w:before="0" w:line="340" w:lineRule="exact"/>
              <w:jc w:val="left"/>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生涯就业体验周整体方案</w:t>
            </w:r>
          </w:p>
        </w:tc>
        <w:tc>
          <w:tcPr>
            <w:tcW w:w="4956" w:type="dxa"/>
            <w:vAlign w:val="center"/>
          </w:tcPr>
          <w:p w14:paraId="42F20A27">
            <w:pPr>
              <w:pStyle w:val="84"/>
              <w:numPr>
                <w:ilvl w:val="0"/>
                <w:numId w:val="5"/>
              </w:numPr>
              <w:spacing w:line="340" w:lineRule="exact"/>
              <w:ind w:firstLineChars="0"/>
              <w:jc w:val="left"/>
              <w:rPr>
                <w:rFonts w:hint="eastAsia" w:ascii="宋体" w:hAnsi="宋体" w:eastAsia="宋体" w:cs="宋体"/>
                <w:sz w:val="22"/>
                <w:szCs w:val="22"/>
                <w:lang w:bidi="ar"/>
              </w:rPr>
            </w:pPr>
            <w:r>
              <w:rPr>
                <w:rFonts w:hint="eastAsia" w:cs="仿宋" w:asciiTheme="minorEastAsia" w:hAnsiTheme="minorEastAsia" w:eastAsiaTheme="minorEastAsia"/>
                <w:color w:val="000000" w:themeColor="text1"/>
                <w:sz w:val="24"/>
                <w14:textFill>
                  <w14:solidFill>
                    <w14:schemeClr w14:val="tx1"/>
                  </w14:solidFill>
                </w14:textFill>
              </w:rPr>
              <w:t>会注有流程和需注意细节</w:t>
            </w:r>
            <w:r>
              <w:rPr>
                <w:rFonts w:hint="eastAsia" w:cs="仿宋" w:asciiTheme="minorEastAsia" w:hAnsiTheme="minorEastAsia" w:eastAsiaTheme="minorEastAsia"/>
                <w:color w:val="000000" w:themeColor="text1"/>
                <w:sz w:val="24"/>
                <w:lang w:eastAsia="zh-CN"/>
                <w14:textFill>
                  <w14:solidFill>
                    <w14:schemeClr w14:val="tx1"/>
                  </w14:solidFill>
                </w14:textFill>
              </w:rPr>
              <w:t>，</w:t>
            </w:r>
            <w:r>
              <w:rPr>
                <w:rFonts w:hint="eastAsia" w:cs="仿宋" w:asciiTheme="minorEastAsia" w:hAnsiTheme="minorEastAsia" w:eastAsiaTheme="minorEastAsia"/>
                <w:color w:val="000000" w:themeColor="text1"/>
                <w:sz w:val="24"/>
                <w:lang w:val="en-US" w:eastAsia="zh-CN"/>
                <w14:textFill>
                  <w14:solidFill>
                    <w14:schemeClr w14:val="tx1"/>
                  </w14:solidFill>
                </w14:textFill>
              </w:rPr>
              <w:t>1期2天，分别在广州校区和佛山校区，举办线下+线上的活动。</w:t>
            </w:r>
          </w:p>
          <w:p w14:paraId="58883E47">
            <w:pPr>
              <w:pStyle w:val="84"/>
              <w:numPr>
                <w:ilvl w:val="0"/>
                <w:numId w:val="5"/>
              </w:numPr>
              <w:spacing w:line="340" w:lineRule="exact"/>
              <w:ind w:firstLineChars="0"/>
              <w:jc w:val="left"/>
              <w:rPr>
                <w:rFonts w:hint="default" w:cs="仿宋" w:asciiTheme="minorEastAsia" w:hAnsiTheme="minorEastAsia" w:eastAsiaTheme="minorEastAsia"/>
                <w:color w:val="000000" w:themeColor="text1"/>
                <w:sz w:val="24"/>
                <w:lang w:val="en-US" w:eastAsia="zh-CN"/>
                <w14:textFill>
                  <w14:solidFill>
                    <w14:schemeClr w14:val="tx1"/>
                  </w14:solidFill>
                </w14:textFill>
              </w:rPr>
            </w:pPr>
            <w:r>
              <w:rPr>
                <w:rFonts w:hint="eastAsia" w:ascii="宋体" w:hAnsi="宋体" w:eastAsia="宋体" w:cs="宋体"/>
                <w:sz w:val="22"/>
                <w:szCs w:val="22"/>
                <w:lang w:bidi="ar"/>
              </w:rPr>
              <w:t>活动结束后为大一新生提供缺乏动机、犹豫不决人格、在决策过程中功能不良的信念、缺乏有关过程步骤的知识、缺乏关于自己的信息、缺乏关于各种选择的信息、缺乏获得另外的信息的方式、不可靠的信息、内部的冲突、外部冲突，10个维度的生涯困难诊断团体报告，并提供相应的报告解读。</w:t>
            </w:r>
          </w:p>
          <w:p w14:paraId="7601FC9C">
            <w:pPr>
              <w:pStyle w:val="84"/>
              <w:numPr>
                <w:ilvl w:val="0"/>
                <w:numId w:val="5"/>
              </w:numPr>
              <w:spacing w:line="340" w:lineRule="exact"/>
              <w:ind w:firstLineChars="0"/>
              <w:jc w:val="left"/>
              <w:rPr>
                <w:rFonts w:hint="default" w:cs="仿宋" w:asciiTheme="minorEastAsia" w:hAnsiTheme="minorEastAsia" w:eastAsiaTheme="minorEastAsia"/>
                <w:color w:val="000000" w:themeColor="text1"/>
                <w:sz w:val="24"/>
                <w:lang w:val="en-US" w:eastAsia="zh-CN"/>
                <w14:textFill>
                  <w14:solidFill>
                    <w14:schemeClr w14:val="tx1"/>
                  </w14:solidFill>
                </w14:textFill>
              </w:rPr>
            </w:pPr>
            <w:r>
              <w:rPr>
                <w:rFonts w:hint="eastAsia" w:ascii="宋体" w:hAnsi="宋体" w:eastAsia="宋体" w:cs="宋体"/>
                <w:sz w:val="22"/>
                <w:szCs w:val="22"/>
                <w:lang w:bidi="ar"/>
              </w:rPr>
              <w:t>活动结束后为大三、大四学生提供活动整体调研报告，从不同维度分析参与学生就业信心程度，并给学校提供专业解决方案，为学校后期学生工作提供理论依据及数据支撑。</w:t>
            </w:r>
          </w:p>
        </w:tc>
      </w:tr>
      <w:tr w14:paraId="61189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082" w:type="dxa"/>
            <w:vAlign w:val="center"/>
          </w:tcPr>
          <w:p w14:paraId="5F489DC1">
            <w:pPr>
              <w:pStyle w:val="103"/>
              <w:keepNext w:val="0"/>
              <w:keepLines w:val="0"/>
              <w:pageBreakBefore w:val="0"/>
              <w:widowControl w:val="0"/>
              <w:kinsoku/>
              <w:wordWrap/>
              <w:overflowPunct/>
              <w:topLinePunct w:val="0"/>
              <w:autoSpaceDE/>
              <w:autoSpaceDN/>
              <w:bidi w:val="0"/>
              <w:adjustRightInd/>
              <w:snapToGrid/>
              <w:spacing w:before="0" w:line="340" w:lineRule="exact"/>
              <w:ind w:left="108"/>
              <w:textAlignment w:val="auto"/>
              <w:rPr>
                <w:rFonts w:hint="eastAsia" w:cs="仿宋" w:asciiTheme="minorEastAsia" w:hAnsiTheme="minorEastAsia" w:eastAsiaTheme="minorEastAsia"/>
                <w:b/>
                <w:color w:val="000000" w:themeColor="text1"/>
                <w:sz w:val="24"/>
                <w14:textFill>
                  <w14:solidFill>
                    <w14:schemeClr w14:val="tx1"/>
                  </w14:solidFill>
                </w14:textFill>
              </w:rPr>
            </w:pPr>
            <w:r>
              <w:rPr>
                <w:rFonts w:hint="eastAsia" w:cs="仿宋" w:asciiTheme="minorEastAsia" w:hAnsiTheme="minorEastAsia" w:eastAsiaTheme="minorEastAsia"/>
                <w:b/>
                <w:color w:val="000000" w:themeColor="text1"/>
                <w:sz w:val="24"/>
                <w14:textFill>
                  <w14:solidFill>
                    <w14:schemeClr w14:val="tx1"/>
                  </w14:solidFill>
                </w14:textFill>
              </w:rPr>
              <w:t>2</w:t>
            </w:r>
          </w:p>
        </w:tc>
        <w:tc>
          <w:tcPr>
            <w:tcW w:w="3809" w:type="dxa"/>
            <w:vAlign w:val="center"/>
          </w:tcPr>
          <w:p w14:paraId="025656D6">
            <w:pPr>
              <w:pStyle w:val="103"/>
              <w:keepNext w:val="0"/>
              <w:keepLines w:val="0"/>
              <w:pageBreakBefore w:val="0"/>
              <w:widowControl w:val="0"/>
              <w:kinsoku/>
              <w:wordWrap/>
              <w:overflowPunct/>
              <w:topLinePunct w:val="0"/>
              <w:autoSpaceDE/>
              <w:autoSpaceDN/>
              <w:bidi w:val="0"/>
              <w:adjustRightInd/>
              <w:snapToGrid/>
              <w:spacing w:before="0" w:line="340" w:lineRule="exact"/>
              <w:jc w:val="left"/>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生涯就业体验周精装学生手册</w:t>
            </w:r>
          </w:p>
        </w:tc>
        <w:tc>
          <w:tcPr>
            <w:tcW w:w="4956" w:type="dxa"/>
            <w:vAlign w:val="center"/>
          </w:tcPr>
          <w:p w14:paraId="0F10B4F6">
            <w:pPr>
              <w:pStyle w:val="103"/>
              <w:keepNext w:val="0"/>
              <w:keepLines w:val="0"/>
              <w:pageBreakBefore w:val="0"/>
              <w:widowControl w:val="0"/>
              <w:kinsoku/>
              <w:wordWrap/>
              <w:overflowPunct/>
              <w:topLinePunct w:val="0"/>
              <w:autoSpaceDE/>
              <w:autoSpaceDN/>
              <w:bidi w:val="0"/>
              <w:adjustRightInd/>
              <w:snapToGrid/>
              <w:spacing w:before="0" w:line="340" w:lineRule="exact"/>
              <w:jc w:val="left"/>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8000 本</w:t>
            </w:r>
          </w:p>
        </w:tc>
      </w:tr>
      <w:tr w14:paraId="14B1B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082" w:type="dxa"/>
            <w:vAlign w:val="center"/>
          </w:tcPr>
          <w:p w14:paraId="3A6F0594">
            <w:pPr>
              <w:pStyle w:val="103"/>
              <w:keepNext w:val="0"/>
              <w:keepLines w:val="0"/>
              <w:pageBreakBefore w:val="0"/>
              <w:widowControl w:val="0"/>
              <w:kinsoku/>
              <w:wordWrap/>
              <w:overflowPunct/>
              <w:topLinePunct w:val="0"/>
              <w:autoSpaceDE/>
              <w:autoSpaceDN/>
              <w:bidi w:val="0"/>
              <w:adjustRightInd/>
              <w:snapToGrid/>
              <w:spacing w:before="0" w:line="340" w:lineRule="exact"/>
              <w:ind w:left="108"/>
              <w:textAlignment w:val="auto"/>
              <w:rPr>
                <w:rFonts w:hint="eastAsia" w:cs="仿宋" w:asciiTheme="minorEastAsia" w:hAnsiTheme="minorEastAsia" w:eastAsiaTheme="minorEastAsia"/>
                <w:b/>
                <w:color w:val="000000" w:themeColor="text1"/>
                <w:sz w:val="24"/>
                <w14:textFill>
                  <w14:solidFill>
                    <w14:schemeClr w14:val="tx1"/>
                  </w14:solidFill>
                </w14:textFill>
              </w:rPr>
            </w:pPr>
            <w:r>
              <w:rPr>
                <w:rFonts w:hint="eastAsia" w:cs="仿宋" w:asciiTheme="minorEastAsia" w:hAnsiTheme="minorEastAsia" w:eastAsiaTheme="minorEastAsia"/>
                <w:b/>
                <w:color w:val="000000" w:themeColor="text1"/>
                <w:sz w:val="24"/>
                <w14:textFill>
                  <w14:solidFill>
                    <w14:schemeClr w14:val="tx1"/>
                  </w14:solidFill>
                </w14:textFill>
              </w:rPr>
              <w:t>3</w:t>
            </w:r>
          </w:p>
        </w:tc>
        <w:tc>
          <w:tcPr>
            <w:tcW w:w="3809" w:type="dxa"/>
            <w:vAlign w:val="center"/>
          </w:tcPr>
          <w:p w14:paraId="0F3C28E6">
            <w:pPr>
              <w:pStyle w:val="103"/>
              <w:keepNext w:val="0"/>
              <w:keepLines w:val="0"/>
              <w:pageBreakBefore w:val="0"/>
              <w:widowControl w:val="0"/>
              <w:kinsoku/>
              <w:wordWrap/>
              <w:overflowPunct/>
              <w:topLinePunct w:val="0"/>
              <w:autoSpaceDE/>
              <w:autoSpaceDN/>
              <w:bidi w:val="0"/>
              <w:adjustRightInd/>
              <w:snapToGrid/>
              <w:spacing w:before="0" w:line="340" w:lineRule="exact"/>
              <w:jc w:val="left"/>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生涯就业体验周关主（志愿者）操作说明</w:t>
            </w:r>
          </w:p>
        </w:tc>
        <w:tc>
          <w:tcPr>
            <w:tcW w:w="4956" w:type="dxa"/>
            <w:vAlign w:val="center"/>
          </w:tcPr>
          <w:p w14:paraId="55E9CF61">
            <w:pPr>
              <w:pStyle w:val="103"/>
              <w:keepNext w:val="0"/>
              <w:keepLines w:val="0"/>
              <w:pageBreakBefore w:val="0"/>
              <w:widowControl w:val="0"/>
              <w:kinsoku/>
              <w:wordWrap/>
              <w:overflowPunct/>
              <w:topLinePunct w:val="0"/>
              <w:autoSpaceDE/>
              <w:autoSpaceDN/>
              <w:bidi w:val="0"/>
              <w:adjustRightInd/>
              <w:snapToGrid/>
              <w:spacing w:before="0" w:line="340" w:lineRule="exact"/>
              <w:jc w:val="left"/>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35 本</w:t>
            </w:r>
          </w:p>
        </w:tc>
      </w:tr>
      <w:tr w14:paraId="73571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082" w:type="dxa"/>
            <w:vAlign w:val="center"/>
          </w:tcPr>
          <w:p w14:paraId="2E66387B">
            <w:pPr>
              <w:pStyle w:val="103"/>
              <w:keepNext w:val="0"/>
              <w:keepLines w:val="0"/>
              <w:pageBreakBefore w:val="0"/>
              <w:widowControl w:val="0"/>
              <w:kinsoku/>
              <w:wordWrap/>
              <w:overflowPunct/>
              <w:topLinePunct w:val="0"/>
              <w:autoSpaceDE/>
              <w:autoSpaceDN/>
              <w:bidi w:val="0"/>
              <w:adjustRightInd/>
              <w:snapToGrid/>
              <w:spacing w:before="0" w:line="340" w:lineRule="exact"/>
              <w:ind w:left="108"/>
              <w:textAlignment w:val="auto"/>
              <w:rPr>
                <w:rFonts w:hint="eastAsia" w:cs="仿宋" w:asciiTheme="minorEastAsia" w:hAnsiTheme="minorEastAsia" w:eastAsiaTheme="minorEastAsia"/>
                <w:b/>
                <w:color w:val="000000" w:themeColor="text1"/>
                <w:sz w:val="24"/>
                <w14:textFill>
                  <w14:solidFill>
                    <w14:schemeClr w14:val="tx1"/>
                  </w14:solidFill>
                </w14:textFill>
              </w:rPr>
            </w:pPr>
            <w:r>
              <w:rPr>
                <w:rFonts w:hint="eastAsia" w:cs="仿宋" w:asciiTheme="minorEastAsia" w:hAnsiTheme="minorEastAsia" w:eastAsiaTheme="minorEastAsia"/>
                <w:b/>
                <w:color w:val="000000" w:themeColor="text1"/>
                <w:sz w:val="24"/>
                <w14:textFill>
                  <w14:solidFill>
                    <w14:schemeClr w14:val="tx1"/>
                  </w14:solidFill>
                </w14:textFill>
              </w:rPr>
              <w:t>4</w:t>
            </w:r>
          </w:p>
        </w:tc>
        <w:tc>
          <w:tcPr>
            <w:tcW w:w="3809" w:type="dxa"/>
            <w:vAlign w:val="center"/>
          </w:tcPr>
          <w:p w14:paraId="7ABF9469">
            <w:pPr>
              <w:pStyle w:val="103"/>
              <w:keepNext w:val="0"/>
              <w:keepLines w:val="0"/>
              <w:pageBreakBefore w:val="0"/>
              <w:widowControl w:val="0"/>
              <w:kinsoku/>
              <w:wordWrap/>
              <w:overflowPunct/>
              <w:topLinePunct w:val="0"/>
              <w:autoSpaceDE/>
              <w:autoSpaceDN/>
              <w:bidi w:val="0"/>
              <w:adjustRightInd/>
              <w:snapToGrid/>
              <w:spacing w:before="0" w:line="340" w:lineRule="exact"/>
              <w:jc w:val="left"/>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活动中用到的专业道具</w:t>
            </w:r>
          </w:p>
        </w:tc>
        <w:tc>
          <w:tcPr>
            <w:tcW w:w="4956" w:type="dxa"/>
            <w:vAlign w:val="center"/>
          </w:tcPr>
          <w:p w14:paraId="77AD4456">
            <w:pPr>
              <w:pStyle w:val="103"/>
              <w:keepNext w:val="0"/>
              <w:keepLines w:val="0"/>
              <w:pageBreakBefore w:val="0"/>
              <w:widowControl w:val="0"/>
              <w:kinsoku/>
              <w:wordWrap/>
              <w:overflowPunct/>
              <w:topLinePunct w:val="0"/>
              <w:autoSpaceDE/>
              <w:autoSpaceDN/>
              <w:bidi w:val="0"/>
              <w:adjustRightInd/>
              <w:snapToGrid/>
              <w:spacing w:before="0" w:line="340" w:lineRule="exact"/>
              <w:jc w:val="left"/>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根据所设置活动，针对性制作专业道具</w:t>
            </w:r>
          </w:p>
        </w:tc>
      </w:tr>
      <w:tr w14:paraId="27C25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082" w:type="dxa"/>
            <w:vAlign w:val="center"/>
          </w:tcPr>
          <w:p w14:paraId="7FE238E3">
            <w:pPr>
              <w:pStyle w:val="103"/>
              <w:keepNext w:val="0"/>
              <w:keepLines w:val="0"/>
              <w:pageBreakBefore w:val="0"/>
              <w:widowControl w:val="0"/>
              <w:kinsoku/>
              <w:wordWrap/>
              <w:overflowPunct/>
              <w:topLinePunct w:val="0"/>
              <w:autoSpaceDE/>
              <w:autoSpaceDN/>
              <w:bidi w:val="0"/>
              <w:adjustRightInd/>
              <w:snapToGrid/>
              <w:spacing w:before="0" w:line="340" w:lineRule="exact"/>
              <w:ind w:left="108"/>
              <w:textAlignment w:val="auto"/>
              <w:rPr>
                <w:rFonts w:hint="eastAsia" w:cs="仿宋" w:asciiTheme="minorEastAsia" w:hAnsiTheme="minorEastAsia" w:eastAsiaTheme="minorEastAsia"/>
                <w:b/>
                <w:color w:val="000000" w:themeColor="text1"/>
                <w:sz w:val="24"/>
                <w14:textFill>
                  <w14:solidFill>
                    <w14:schemeClr w14:val="tx1"/>
                  </w14:solidFill>
                </w14:textFill>
              </w:rPr>
            </w:pPr>
            <w:r>
              <w:rPr>
                <w:rFonts w:hint="eastAsia" w:cs="仿宋" w:asciiTheme="minorEastAsia" w:hAnsiTheme="minorEastAsia" w:eastAsiaTheme="minorEastAsia"/>
                <w:b/>
                <w:color w:val="000000" w:themeColor="text1"/>
                <w:sz w:val="24"/>
                <w14:textFill>
                  <w14:solidFill>
                    <w14:schemeClr w14:val="tx1"/>
                  </w14:solidFill>
                </w14:textFill>
              </w:rPr>
              <w:t>5</w:t>
            </w:r>
          </w:p>
        </w:tc>
        <w:tc>
          <w:tcPr>
            <w:tcW w:w="3809" w:type="dxa"/>
            <w:vAlign w:val="center"/>
          </w:tcPr>
          <w:p w14:paraId="5528C4AE">
            <w:pPr>
              <w:pStyle w:val="103"/>
              <w:keepNext w:val="0"/>
              <w:keepLines w:val="0"/>
              <w:pageBreakBefore w:val="0"/>
              <w:widowControl w:val="0"/>
              <w:kinsoku/>
              <w:wordWrap/>
              <w:overflowPunct/>
              <w:topLinePunct w:val="0"/>
              <w:autoSpaceDE/>
              <w:autoSpaceDN/>
              <w:bidi w:val="0"/>
              <w:adjustRightInd/>
              <w:snapToGrid/>
              <w:spacing w:before="0" w:line="340" w:lineRule="exact"/>
              <w:jc w:val="left"/>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关于活动中涉及到的设计稿件</w:t>
            </w:r>
          </w:p>
        </w:tc>
        <w:tc>
          <w:tcPr>
            <w:tcW w:w="4956" w:type="dxa"/>
            <w:vAlign w:val="center"/>
          </w:tcPr>
          <w:p w14:paraId="3FC96BCF">
            <w:pPr>
              <w:pStyle w:val="103"/>
              <w:keepNext w:val="0"/>
              <w:keepLines w:val="0"/>
              <w:pageBreakBefore w:val="0"/>
              <w:widowControl w:val="0"/>
              <w:kinsoku/>
              <w:wordWrap/>
              <w:overflowPunct/>
              <w:topLinePunct w:val="0"/>
              <w:autoSpaceDE/>
              <w:autoSpaceDN/>
              <w:bidi w:val="0"/>
              <w:adjustRightInd/>
              <w:snapToGrid/>
              <w:spacing w:before="0" w:line="340" w:lineRule="exact"/>
              <w:jc w:val="left"/>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下面有“设计内容附表”</w:t>
            </w:r>
          </w:p>
        </w:tc>
      </w:tr>
      <w:tr w14:paraId="42BED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082" w:type="dxa"/>
            <w:vAlign w:val="center"/>
          </w:tcPr>
          <w:p w14:paraId="5514659C">
            <w:pPr>
              <w:pStyle w:val="103"/>
              <w:keepNext w:val="0"/>
              <w:keepLines w:val="0"/>
              <w:pageBreakBefore w:val="0"/>
              <w:widowControl w:val="0"/>
              <w:kinsoku/>
              <w:wordWrap/>
              <w:overflowPunct/>
              <w:topLinePunct w:val="0"/>
              <w:autoSpaceDE/>
              <w:autoSpaceDN/>
              <w:bidi w:val="0"/>
              <w:adjustRightInd/>
              <w:snapToGrid/>
              <w:spacing w:before="0" w:line="340" w:lineRule="exact"/>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 xml:space="preserve"> 6</w:t>
            </w:r>
          </w:p>
        </w:tc>
        <w:tc>
          <w:tcPr>
            <w:tcW w:w="3809" w:type="dxa"/>
            <w:vAlign w:val="center"/>
          </w:tcPr>
          <w:p w14:paraId="0CE5DFB3">
            <w:pPr>
              <w:pStyle w:val="103"/>
              <w:keepNext w:val="0"/>
              <w:keepLines w:val="0"/>
              <w:pageBreakBefore w:val="0"/>
              <w:widowControl w:val="0"/>
              <w:kinsoku/>
              <w:wordWrap/>
              <w:overflowPunct/>
              <w:topLinePunct w:val="0"/>
              <w:autoSpaceDE/>
              <w:autoSpaceDN/>
              <w:bidi w:val="0"/>
              <w:adjustRightInd/>
              <w:snapToGrid/>
              <w:spacing w:before="0" w:line="340" w:lineRule="exact"/>
              <w:jc w:val="left"/>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活动中所需物料</w:t>
            </w:r>
          </w:p>
        </w:tc>
        <w:tc>
          <w:tcPr>
            <w:tcW w:w="4956" w:type="dxa"/>
            <w:vAlign w:val="center"/>
          </w:tcPr>
          <w:p w14:paraId="7F26A949">
            <w:pPr>
              <w:pStyle w:val="103"/>
              <w:keepNext w:val="0"/>
              <w:keepLines w:val="0"/>
              <w:pageBreakBefore w:val="0"/>
              <w:widowControl w:val="0"/>
              <w:kinsoku/>
              <w:wordWrap/>
              <w:overflowPunct/>
              <w:topLinePunct w:val="0"/>
              <w:autoSpaceDE/>
              <w:autoSpaceDN/>
              <w:bidi w:val="0"/>
              <w:adjustRightInd/>
              <w:snapToGrid/>
              <w:spacing w:before="0" w:line="340" w:lineRule="exact"/>
              <w:jc w:val="left"/>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活动中所需物料的准备、制作、</w:t>
            </w:r>
          </w:p>
        </w:tc>
      </w:tr>
      <w:tr w14:paraId="08958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082" w:type="dxa"/>
            <w:vAlign w:val="center"/>
          </w:tcPr>
          <w:p w14:paraId="790ED188">
            <w:pPr>
              <w:pStyle w:val="103"/>
              <w:keepNext w:val="0"/>
              <w:keepLines w:val="0"/>
              <w:pageBreakBefore w:val="0"/>
              <w:widowControl w:val="0"/>
              <w:kinsoku/>
              <w:wordWrap/>
              <w:overflowPunct/>
              <w:topLinePunct w:val="0"/>
              <w:autoSpaceDE/>
              <w:autoSpaceDN/>
              <w:bidi w:val="0"/>
              <w:adjustRightInd/>
              <w:snapToGrid/>
              <w:spacing w:before="0" w:line="340" w:lineRule="exact"/>
              <w:ind w:left="108"/>
              <w:textAlignment w:val="auto"/>
              <w:rPr>
                <w:rFonts w:hint="eastAsia" w:cs="仿宋" w:asciiTheme="minorEastAsia" w:hAnsiTheme="minorEastAsia" w:eastAsiaTheme="minorEastAsia"/>
                <w:b/>
                <w:color w:val="000000" w:themeColor="text1"/>
                <w:sz w:val="24"/>
                <w14:textFill>
                  <w14:solidFill>
                    <w14:schemeClr w14:val="tx1"/>
                  </w14:solidFill>
                </w14:textFill>
              </w:rPr>
            </w:pPr>
            <w:r>
              <w:rPr>
                <w:rFonts w:hint="eastAsia" w:cs="仿宋" w:asciiTheme="minorEastAsia" w:hAnsiTheme="minorEastAsia" w:eastAsiaTheme="minorEastAsia"/>
                <w:b/>
                <w:color w:val="000000" w:themeColor="text1"/>
                <w:sz w:val="24"/>
                <w14:textFill>
                  <w14:solidFill>
                    <w14:schemeClr w14:val="tx1"/>
                  </w14:solidFill>
                </w14:textFill>
              </w:rPr>
              <w:t>7</w:t>
            </w:r>
          </w:p>
        </w:tc>
        <w:tc>
          <w:tcPr>
            <w:tcW w:w="3809" w:type="dxa"/>
            <w:vAlign w:val="center"/>
          </w:tcPr>
          <w:p w14:paraId="7BB48A42">
            <w:pPr>
              <w:pStyle w:val="103"/>
              <w:keepNext w:val="0"/>
              <w:keepLines w:val="0"/>
              <w:pageBreakBefore w:val="0"/>
              <w:widowControl w:val="0"/>
              <w:kinsoku/>
              <w:wordWrap/>
              <w:overflowPunct/>
              <w:topLinePunct w:val="0"/>
              <w:autoSpaceDE/>
              <w:autoSpaceDN/>
              <w:bidi w:val="0"/>
              <w:adjustRightInd/>
              <w:snapToGrid/>
              <w:spacing w:before="0" w:line="340" w:lineRule="exact"/>
              <w:jc w:val="left"/>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活动场地确认</w:t>
            </w:r>
          </w:p>
        </w:tc>
        <w:tc>
          <w:tcPr>
            <w:tcW w:w="4956" w:type="dxa"/>
            <w:vAlign w:val="center"/>
          </w:tcPr>
          <w:p w14:paraId="274750FD">
            <w:pPr>
              <w:pStyle w:val="103"/>
              <w:keepNext w:val="0"/>
              <w:keepLines w:val="0"/>
              <w:pageBreakBefore w:val="0"/>
              <w:widowControl w:val="0"/>
              <w:kinsoku/>
              <w:wordWrap/>
              <w:overflowPunct/>
              <w:topLinePunct w:val="0"/>
              <w:autoSpaceDE/>
              <w:autoSpaceDN/>
              <w:bidi w:val="0"/>
              <w:adjustRightInd/>
              <w:snapToGrid/>
              <w:spacing w:before="0" w:line="340" w:lineRule="exact"/>
              <w:jc w:val="left"/>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协助校方确认活动场地</w:t>
            </w:r>
          </w:p>
        </w:tc>
      </w:tr>
      <w:tr w14:paraId="14770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082" w:type="dxa"/>
            <w:vAlign w:val="center"/>
          </w:tcPr>
          <w:p w14:paraId="477C3171">
            <w:pPr>
              <w:pStyle w:val="103"/>
              <w:keepNext w:val="0"/>
              <w:keepLines w:val="0"/>
              <w:pageBreakBefore w:val="0"/>
              <w:widowControl w:val="0"/>
              <w:kinsoku/>
              <w:wordWrap/>
              <w:overflowPunct/>
              <w:topLinePunct w:val="0"/>
              <w:autoSpaceDE/>
              <w:autoSpaceDN/>
              <w:bidi w:val="0"/>
              <w:adjustRightInd/>
              <w:snapToGrid/>
              <w:spacing w:before="0" w:line="340" w:lineRule="exact"/>
              <w:ind w:left="108"/>
              <w:textAlignment w:val="auto"/>
              <w:rPr>
                <w:rFonts w:hint="eastAsia" w:cs="仿宋" w:asciiTheme="minorEastAsia" w:hAnsiTheme="minorEastAsia" w:eastAsiaTheme="minorEastAsia"/>
                <w:b/>
                <w:color w:val="000000" w:themeColor="text1"/>
                <w:sz w:val="24"/>
                <w14:textFill>
                  <w14:solidFill>
                    <w14:schemeClr w14:val="tx1"/>
                  </w14:solidFill>
                </w14:textFill>
              </w:rPr>
            </w:pPr>
            <w:r>
              <w:rPr>
                <w:rFonts w:hint="eastAsia" w:cs="仿宋" w:asciiTheme="minorEastAsia" w:hAnsiTheme="minorEastAsia" w:eastAsiaTheme="minorEastAsia"/>
                <w:b/>
                <w:color w:val="000000" w:themeColor="text1"/>
                <w:sz w:val="24"/>
                <w14:textFill>
                  <w14:solidFill>
                    <w14:schemeClr w14:val="tx1"/>
                  </w14:solidFill>
                </w14:textFill>
              </w:rPr>
              <w:t>8</w:t>
            </w:r>
          </w:p>
        </w:tc>
        <w:tc>
          <w:tcPr>
            <w:tcW w:w="3809" w:type="dxa"/>
            <w:vAlign w:val="center"/>
          </w:tcPr>
          <w:p w14:paraId="469B56B4">
            <w:pPr>
              <w:pStyle w:val="103"/>
              <w:keepNext w:val="0"/>
              <w:keepLines w:val="0"/>
              <w:pageBreakBefore w:val="0"/>
              <w:widowControl w:val="0"/>
              <w:kinsoku/>
              <w:wordWrap/>
              <w:overflowPunct/>
              <w:topLinePunct w:val="0"/>
              <w:autoSpaceDE/>
              <w:autoSpaceDN/>
              <w:bidi w:val="0"/>
              <w:adjustRightInd/>
              <w:snapToGrid/>
              <w:spacing w:before="0" w:line="340" w:lineRule="exact"/>
              <w:jc w:val="left"/>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活动细节讲解</w:t>
            </w:r>
          </w:p>
        </w:tc>
        <w:tc>
          <w:tcPr>
            <w:tcW w:w="4956" w:type="dxa"/>
            <w:vAlign w:val="center"/>
          </w:tcPr>
          <w:p w14:paraId="446D1EFA">
            <w:pPr>
              <w:pStyle w:val="103"/>
              <w:keepNext w:val="0"/>
              <w:keepLines w:val="0"/>
              <w:pageBreakBefore w:val="0"/>
              <w:widowControl w:val="0"/>
              <w:kinsoku/>
              <w:wordWrap/>
              <w:overflowPunct/>
              <w:topLinePunct w:val="0"/>
              <w:autoSpaceDE/>
              <w:autoSpaceDN/>
              <w:bidi w:val="0"/>
              <w:adjustRightInd/>
              <w:snapToGrid/>
              <w:spacing w:before="0" w:line="340" w:lineRule="exact"/>
              <w:jc w:val="left"/>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对校方活动负责人介绍活动整体流程与细节</w:t>
            </w:r>
          </w:p>
        </w:tc>
      </w:tr>
      <w:tr w14:paraId="0B2A4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082" w:type="dxa"/>
            <w:vAlign w:val="center"/>
          </w:tcPr>
          <w:p w14:paraId="49D2363C">
            <w:pPr>
              <w:pStyle w:val="103"/>
              <w:keepNext w:val="0"/>
              <w:keepLines w:val="0"/>
              <w:pageBreakBefore w:val="0"/>
              <w:widowControl w:val="0"/>
              <w:kinsoku/>
              <w:wordWrap/>
              <w:overflowPunct/>
              <w:topLinePunct w:val="0"/>
              <w:autoSpaceDE/>
              <w:autoSpaceDN/>
              <w:bidi w:val="0"/>
              <w:adjustRightInd/>
              <w:snapToGrid/>
              <w:spacing w:before="0" w:line="340" w:lineRule="exact"/>
              <w:ind w:left="108"/>
              <w:textAlignment w:val="auto"/>
              <w:rPr>
                <w:rFonts w:hint="eastAsia" w:cs="仿宋" w:asciiTheme="minorEastAsia" w:hAnsiTheme="minorEastAsia" w:eastAsiaTheme="minorEastAsia"/>
                <w:b/>
                <w:color w:val="000000" w:themeColor="text1"/>
                <w:sz w:val="24"/>
                <w14:textFill>
                  <w14:solidFill>
                    <w14:schemeClr w14:val="tx1"/>
                  </w14:solidFill>
                </w14:textFill>
              </w:rPr>
            </w:pPr>
            <w:r>
              <w:rPr>
                <w:rFonts w:hint="eastAsia" w:cs="仿宋" w:asciiTheme="minorEastAsia" w:hAnsiTheme="minorEastAsia" w:eastAsiaTheme="minorEastAsia"/>
                <w:b/>
                <w:color w:val="000000" w:themeColor="text1"/>
                <w:sz w:val="24"/>
                <w14:textFill>
                  <w14:solidFill>
                    <w14:schemeClr w14:val="tx1"/>
                  </w14:solidFill>
                </w14:textFill>
              </w:rPr>
              <w:t>9</w:t>
            </w:r>
          </w:p>
        </w:tc>
        <w:tc>
          <w:tcPr>
            <w:tcW w:w="3809" w:type="dxa"/>
            <w:vAlign w:val="center"/>
          </w:tcPr>
          <w:p w14:paraId="67A3C866">
            <w:pPr>
              <w:pStyle w:val="103"/>
              <w:keepNext w:val="0"/>
              <w:keepLines w:val="0"/>
              <w:pageBreakBefore w:val="0"/>
              <w:widowControl w:val="0"/>
              <w:kinsoku/>
              <w:wordWrap/>
              <w:overflowPunct/>
              <w:topLinePunct w:val="0"/>
              <w:autoSpaceDE/>
              <w:autoSpaceDN/>
              <w:bidi w:val="0"/>
              <w:adjustRightInd/>
              <w:snapToGrid/>
              <w:spacing w:before="0" w:line="340" w:lineRule="exact"/>
              <w:jc w:val="left"/>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志愿者培训</w:t>
            </w:r>
          </w:p>
        </w:tc>
        <w:tc>
          <w:tcPr>
            <w:tcW w:w="4956" w:type="dxa"/>
            <w:vAlign w:val="center"/>
          </w:tcPr>
          <w:p w14:paraId="1BD5A757">
            <w:pPr>
              <w:pStyle w:val="103"/>
              <w:keepNext w:val="0"/>
              <w:keepLines w:val="0"/>
              <w:pageBreakBefore w:val="0"/>
              <w:widowControl w:val="0"/>
              <w:kinsoku/>
              <w:wordWrap/>
              <w:overflowPunct/>
              <w:topLinePunct w:val="0"/>
              <w:autoSpaceDE/>
              <w:autoSpaceDN/>
              <w:bidi w:val="0"/>
              <w:adjustRightInd/>
              <w:snapToGrid/>
              <w:spacing w:before="0" w:line="340" w:lineRule="exact"/>
              <w:jc w:val="left"/>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专业人员对活动志愿者进行专业培训；</w:t>
            </w:r>
          </w:p>
        </w:tc>
      </w:tr>
      <w:tr w14:paraId="2F813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1082" w:type="dxa"/>
            <w:vAlign w:val="center"/>
          </w:tcPr>
          <w:p w14:paraId="0973C097">
            <w:pPr>
              <w:pStyle w:val="103"/>
              <w:keepNext w:val="0"/>
              <w:keepLines w:val="0"/>
              <w:pageBreakBefore w:val="0"/>
              <w:widowControl w:val="0"/>
              <w:kinsoku/>
              <w:wordWrap/>
              <w:overflowPunct/>
              <w:topLinePunct w:val="0"/>
              <w:autoSpaceDE/>
              <w:autoSpaceDN/>
              <w:bidi w:val="0"/>
              <w:adjustRightInd/>
              <w:snapToGrid/>
              <w:spacing w:before="0" w:line="340" w:lineRule="exact"/>
              <w:ind w:left="108"/>
              <w:textAlignment w:val="auto"/>
              <w:rPr>
                <w:rFonts w:hint="eastAsia" w:cs="仿宋" w:asciiTheme="minorEastAsia" w:hAnsiTheme="minorEastAsia" w:eastAsiaTheme="minorEastAsia"/>
                <w:b/>
                <w:color w:val="000000" w:themeColor="text1"/>
                <w:sz w:val="24"/>
                <w14:textFill>
                  <w14:solidFill>
                    <w14:schemeClr w14:val="tx1"/>
                  </w14:solidFill>
                </w14:textFill>
              </w:rPr>
            </w:pPr>
            <w:r>
              <w:rPr>
                <w:rFonts w:hint="eastAsia" w:cs="仿宋" w:asciiTheme="minorEastAsia" w:hAnsiTheme="minorEastAsia" w:eastAsiaTheme="minorEastAsia"/>
                <w:b/>
                <w:color w:val="000000" w:themeColor="text1"/>
                <w:sz w:val="24"/>
                <w14:textFill>
                  <w14:solidFill>
                    <w14:schemeClr w14:val="tx1"/>
                  </w14:solidFill>
                </w14:textFill>
              </w:rPr>
              <w:t>10</w:t>
            </w:r>
          </w:p>
        </w:tc>
        <w:tc>
          <w:tcPr>
            <w:tcW w:w="3809" w:type="dxa"/>
            <w:vAlign w:val="center"/>
          </w:tcPr>
          <w:p w14:paraId="7B8708A0">
            <w:pPr>
              <w:pStyle w:val="103"/>
              <w:keepNext w:val="0"/>
              <w:keepLines w:val="0"/>
              <w:pageBreakBefore w:val="0"/>
              <w:widowControl w:val="0"/>
              <w:kinsoku/>
              <w:wordWrap/>
              <w:overflowPunct/>
              <w:topLinePunct w:val="0"/>
              <w:autoSpaceDE/>
              <w:autoSpaceDN/>
              <w:bidi w:val="0"/>
              <w:adjustRightInd/>
              <w:snapToGrid/>
              <w:spacing w:before="0" w:line="340" w:lineRule="exact"/>
              <w:jc w:val="left"/>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专业人员现场指导</w:t>
            </w:r>
          </w:p>
        </w:tc>
        <w:tc>
          <w:tcPr>
            <w:tcW w:w="4956" w:type="dxa"/>
            <w:vAlign w:val="center"/>
          </w:tcPr>
          <w:p w14:paraId="2022ECFA">
            <w:pPr>
              <w:pStyle w:val="103"/>
              <w:keepNext w:val="0"/>
              <w:keepLines w:val="0"/>
              <w:pageBreakBefore w:val="0"/>
              <w:widowControl w:val="0"/>
              <w:kinsoku/>
              <w:wordWrap/>
              <w:overflowPunct/>
              <w:topLinePunct w:val="0"/>
              <w:autoSpaceDE/>
              <w:autoSpaceDN/>
              <w:bidi w:val="0"/>
              <w:adjustRightInd/>
              <w:snapToGrid/>
              <w:spacing w:before="4" w:line="340" w:lineRule="exact"/>
              <w:jc w:val="left"/>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专业人员到本校进行现场指导与咨询 2天； 与校方负责人面对面交流专业人员现场指导志愿者</w:t>
            </w:r>
            <w:r>
              <w:rPr>
                <w:rFonts w:hint="eastAsia" w:cs="仿宋" w:asciiTheme="minorEastAsia" w:hAnsiTheme="minorEastAsia" w:eastAsiaTheme="minorEastAsia"/>
                <w:color w:val="000000" w:themeColor="text1"/>
                <w:spacing w:val="-2"/>
                <w:sz w:val="24"/>
                <w14:textFill>
                  <w14:solidFill>
                    <w14:schemeClr w14:val="tx1"/>
                  </w14:solidFill>
                </w14:textFill>
              </w:rPr>
              <w:t>查看活动现场，并辅助确认</w:t>
            </w:r>
            <w:r>
              <w:rPr>
                <w:rFonts w:hint="eastAsia" w:cs="仿宋" w:asciiTheme="minorEastAsia" w:hAnsiTheme="minorEastAsia" w:eastAsiaTheme="minorEastAsia"/>
                <w:color w:val="000000" w:themeColor="text1"/>
                <w:sz w:val="24"/>
                <w14:textFill>
                  <w14:solidFill>
                    <w14:schemeClr w14:val="tx1"/>
                  </w14:solidFill>
                </w14:textFill>
              </w:rPr>
              <w:t>活动开展现场指导</w:t>
            </w:r>
          </w:p>
        </w:tc>
      </w:tr>
      <w:tr w14:paraId="6A4DB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082" w:type="dxa"/>
            <w:vAlign w:val="center"/>
          </w:tcPr>
          <w:p w14:paraId="0E380521">
            <w:pPr>
              <w:pStyle w:val="103"/>
              <w:keepNext w:val="0"/>
              <w:keepLines w:val="0"/>
              <w:pageBreakBefore w:val="0"/>
              <w:widowControl w:val="0"/>
              <w:kinsoku/>
              <w:wordWrap/>
              <w:overflowPunct/>
              <w:topLinePunct w:val="0"/>
              <w:autoSpaceDE/>
              <w:autoSpaceDN/>
              <w:bidi w:val="0"/>
              <w:adjustRightInd/>
              <w:snapToGrid/>
              <w:spacing w:before="0" w:line="340" w:lineRule="exact"/>
              <w:ind w:left="108"/>
              <w:textAlignment w:val="auto"/>
              <w:rPr>
                <w:rFonts w:hint="eastAsia" w:cs="仿宋" w:asciiTheme="minorEastAsia" w:hAnsiTheme="minorEastAsia" w:eastAsiaTheme="minorEastAsia"/>
                <w:b/>
                <w:color w:val="000000" w:themeColor="text1"/>
                <w:sz w:val="24"/>
                <w14:textFill>
                  <w14:solidFill>
                    <w14:schemeClr w14:val="tx1"/>
                  </w14:solidFill>
                </w14:textFill>
              </w:rPr>
            </w:pPr>
            <w:r>
              <w:rPr>
                <w:rFonts w:hint="eastAsia" w:cs="仿宋" w:asciiTheme="minorEastAsia" w:hAnsiTheme="minorEastAsia" w:eastAsiaTheme="minorEastAsia"/>
                <w:b/>
                <w:color w:val="000000" w:themeColor="text1"/>
                <w:sz w:val="24"/>
                <w14:textFill>
                  <w14:solidFill>
                    <w14:schemeClr w14:val="tx1"/>
                  </w14:solidFill>
                </w14:textFill>
              </w:rPr>
              <w:t>11</w:t>
            </w:r>
          </w:p>
        </w:tc>
        <w:tc>
          <w:tcPr>
            <w:tcW w:w="3809" w:type="dxa"/>
            <w:vAlign w:val="center"/>
          </w:tcPr>
          <w:p w14:paraId="34600E01">
            <w:pPr>
              <w:pStyle w:val="103"/>
              <w:keepNext w:val="0"/>
              <w:keepLines w:val="0"/>
              <w:pageBreakBefore w:val="0"/>
              <w:widowControl w:val="0"/>
              <w:kinsoku/>
              <w:wordWrap/>
              <w:overflowPunct/>
              <w:topLinePunct w:val="0"/>
              <w:autoSpaceDE/>
              <w:autoSpaceDN/>
              <w:bidi w:val="0"/>
              <w:adjustRightInd/>
              <w:snapToGrid/>
              <w:spacing w:before="0" w:line="340" w:lineRule="exact"/>
              <w:jc w:val="left"/>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专业人员全程咨询（提供线下讲师以一位）</w:t>
            </w:r>
          </w:p>
        </w:tc>
        <w:tc>
          <w:tcPr>
            <w:tcW w:w="4956" w:type="dxa"/>
            <w:vAlign w:val="center"/>
          </w:tcPr>
          <w:p w14:paraId="139FB96D">
            <w:pPr>
              <w:pStyle w:val="103"/>
              <w:keepNext w:val="0"/>
              <w:keepLines w:val="0"/>
              <w:pageBreakBefore w:val="0"/>
              <w:widowControl w:val="0"/>
              <w:kinsoku/>
              <w:wordWrap/>
              <w:overflowPunct/>
              <w:topLinePunct w:val="0"/>
              <w:autoSpaceDE/>
              <w:autoSpaceDN/>
              <w:bidi w:val="0"/>
              <w:adjustRightInd/>
              <w:snapToGrid/>
              <w:spacing w:before="0" w:line="340" w:lineRule="exact"/>
              <w:jc w:val="left"/>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活动细节方面</w:t>
            </w:r>
          </w:p>
        </w:tc>
      </w:tr>
      <w:tr w14:paraId="438B7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082" w:type="dxa"/>
            <w:vAlign w:val="center"/>
          </w:tcPr>
          <w:p w14:paraId="50C3A6E2">
            <w:pPr>
              <w:pStyle w:val="103"/>
              <w:keepNext w:val="0"/>
              <w:keepLines w:val="0"/>
              <w:pageBreakBefore w:val="0"/>
              <w:widowControl w:val="0"/>
              <w:kinsoku/>
              <w:wordWrap/>
              <w:overflowPunct/>
              <w:topLinePunct w:val="0"/>
              <w:autoSpaceDE/>
              <w:autoSpaceDN/>
              <w:bidi w:val="0"/>
              <w:adjustRightInd/>
              <w:snapToGrid/>
              <w:spacing w:before="0" w:line="340" w:lineRule="exact"/>
              <w:ind w:left="108"/>
              <w:textAlignment w:val="auto"/>
              <w:rPr>
                <w:rFonts w:hint="eastAsia" w:cs="仿宋" w:asciiTheme="minorEastAsia" w:hAnsiTheme="minorEastAsia" w:eastAsiaTheme="minorEastAsia"/>
                <w:b/>
                <w:color w:val="000000" w:themeColor="text1"/>
                <w:sz w:val="24"/>
                <w14:textFill>
                  <w14:solidFill>
                    <w14:schemeClr w14:val="tx1"/>
                  </w14:solidFill>
                </w14:textFill>
              </w:rPr>
            </w:pPr>
            <w:r>
              <w:rPr>
                <w:rFonts w:hint="eastAsia" w:cs="仿宋" w:asciiTheme="minorEastAsia" w:hAnsiTheme="minorEastAsia" w:eastAsiaTheme="minorEastAsia"/>
                <w:b/>
                <w:color w:val="000000" w:themeColor="text1"/>
                <w:sz w:val="24"/>
                <w14:textFill>
                  <w14:solidFill>
                    <w14:schemeClr w14:val="tx1"/>
                  </w14:solidFill>
                </w14:textFill>
              </w:rPr>
              <w:t>12</w:t>
            </w:r>
          </w:p>
        </w:tc>
        <w:tc>
          <w:tcPr>
            <w:tcW w:w="3809" w:type="dxa"/>
            <w:vAlign w:val="center"/>
          </w:tcPr>
          <w:p w14:paraId="05E7019D">
            <w:pPr>
              <w:pStyle w:val="103"/>
              <w:keepNext w:val="0"/>
              <w:keepLines w:val="0"/>
              <w:pageBreakBefore w:val="0"/>
              <w:widowControl w:val="0"/>
              <w:kinsoku/>
              <w:wordWrap/>
              <w:overflowPunct/>
              <w:topLinePunct w:val="0"/>
              <w:autoSpaceDE/>
              <w:autoSpaceDN/>
              <w:bidi w:val="0"/>
              <w:adjustRightInd/>
              <w:snapToGrid/>
              <w:spacing w:before="0" w:line="340" w:lineRule="exact"/>
              <w:jc w:val="left"/>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活动安全备案</w:t>
            </w:r>
          </w:p>
        </w:tc>
        <w:tc>
          <w:tcPr>
            <w:tcW w:w="4956" w:type="dxa"/>
            <w:vAlign w:val="center"/>
          </w:tcPr>
          <w:p w14:paraId="0ECFB666">
            <w:pPr>
              <w:pStyle w:val="103"/>
              <w:keepNext w:val="0"/>
              <w:keepLines w:val="0"/>
              <w:pageBreakBefore w:val="0"/>
              <w:widowControl w:val="0"/>
              <w:kinsoku/>
              <w:wordWrap/>
              <w:overflowPunct/>
              <w:topLinePunct w:val="0"/>
              <w:autoSpaceDE/>
              <w:autoSpaceDN/>
              <w:bidi w:val="0"/>
              <w:adjustRightInd/>
              <w:snapToGrid/>
              <w:spacing w:before="0" w:line="340" w:lineRule="exact"/>
              <w:jc w:val="left"/>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专业人员拟定备案；（活动时间较长、参与人员较多，安全是首位）</w:t>
            </w:r>
          </w:p>
        </w:tc>
      </w:tr>
    </w:tbl>
    <w:p w14:paraId="2107429A">
      <w:pPr>
        <w:spacing w:line="560" w:lineRule="exact"/>
        <w:rPr>
          <w:rFonts w:hint="eastAsia" w:ascii="宋体" w:hAnsi="宋体"/>
          <w:b/>
          <w:bCs/>
          <w:kern w:val="0"/>
          <w:sz w:val="28"/>
          <w:szCs w:val="28"/>
        </w:rPr>
      </w:pPr>
      <w:r>
        <w:rPr>
          <w:rFonts w:hint="eastAsia" w:cs="仿宋" w:asciiTheme="minorEastAsia" w:hAnsiTheme="minorEastAsia"/>
          <w:b/>
          <w:color w:val="000000" w:themeColor="text1"/>
          <w:sz w:val="28"/>
          <w:szCs w:val="28"/>
          <w14:textFill>
            <w14:solidFill>
              <w14:schemeClr w14:val="tx1"/>
            </w14:solidFill>
          </w14:textFill>
        </w:rPr>
        <w:t>物料清单（例）</w:t>
      </w:r>
    </w:p>
    <w:tbl>
      <w:tblPr>
        <w:tblStyle w:val="29"/>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2"/>
        <w:gridCol w:w="1451"/>
        <w:gridCol w:w="6790"/>
      </w:tblGrid>
      <w:tr w14:paraId="34E09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82" w:type="dxa"/>
            <w:noWrap/>
            <w:vAlign w:val="center"/>
          </w:tcPr>
          <w:p w14:paraId="0AB14F6F">
            <w:pPr>
              <w:pStyle w:val="103"/>
              <w:keepNext w:val="0"/>
              <w:keepLines w:val="0"/>
              <w:pageBreakBefore w:val="0"/>
              <w:widowControl w:val="0"/>
              <w:kinsoku/>
              <w:wordWrap/>
              <w:overflowPunct/>
              <w:topLinePunct w:val="0"/>
              <w:autoSpaceDE/>
              <w:autoSpaceDN/>
              <w:bidi w:val="0"/>
              <w:adjustRightInd/>
              <w:snapToGrid/>
              <w:spacing w:before="0" w:line="340" w:lineRule="exact"/>
              <w:jc w:val="center"/>
              <w:textAlignment w:val="auto"/>
              <w:rPr>
                <w:rFonts w:hint="eastAsia" w:cs="仿宋" w:asciiTheme="minorEastAsia" w:hAnsiTheme="minorEastAsia" w:eastAsiaTheme="minorEastAsia"/>
                <w:b/>
                <w:bCs/>
                <w:color w:val="000000" w:themeColor="text1"/>
                <w:sz w:val="24"/>
                <w14:textFill>
                  <w14:solidFill>
                    <w14:schemeClr w14:val="tx1"/>
                  </w14:solidFill>
                </w14:textFill>
              </w:rPr>
            </w:pPr>
            <w:r>
              <w:rPr>
                <w:rFonts w:hint="eastAsia" w:cs="仿宋" w:asciiTheme="minorEastAsia" w:hAnsiTheme="minorEastAsia" w:eastAsiaTheme="minorEastAsia"/>
                <w:b/>
                <w:bCs/>
                <w:color w:val="000000" w:themeColor="text1"/>
                <w:sz w:val="24"/>
                <w14:textFill>
                  <w14:solidFill>
                    <w14:schemeClr w14:val="tx1"/>
                  </w14:solidFill>
                </w14:textFill>
              </w:rPr>
              <w:t>项目</w:t>
            </w:r>
          </w:p>
        </w:tc>
        <w:tc>
          <w:tcPr>
            <w:tcW w:w="1451" w:type="dxa"/>
            <w:noWrap/>
            <w:vAlign w:val="center"/>
          </w:tcPr>
          <w:p w14:paraId="381E8614">
            <w:pPr>
              <w:pStyle w:val="103"/>
              <w:keepNext w:val="0"/>
              <w:keepLines w:val="0"/>
              <w:pageBreakBefore w:val="0"/>
              <w:widowControl w:val="0"/>
              <w:kinsoku/>
              <w:wordWrap/>
              <w:overflowPunct/>
              <w:topLinePunct w:val="0"/>
              <w:autoSpaceDE/>
              <w:autoSpaceDN/>
              <w:bidi w:val="0"/>
              <w:adjustRightInd/>
              <w:snapToGrid/>
              <w:spacing w:before="0" w:line="340" w:lineRule="exact"/>
              <w:jc w:val="center"/>
              <w:textAlignment w:val="auto"/>
              <w:rPr>
                <w:rFonts w:hint="eastAsia" w:cs="仿宋" w:asciiTheme="minorEastAsia" w:hAnsiTheme="minorEastAsia" w:eastAsiaTheme="minorEastAsia"/>
                <w:b/>
                <w:bCs/>
                <w:color w:val="000000" w:themeColor="text1"/>
                <w:sz w:val="24"/>
                <w14:textFill>
                  <w14:solidFill>
                    <w14:schemeClr w14:val="tx1"/>
                  </w14:solidFill>
                </w14:textFill>
              </w:rPr>
            </w:pPr>
            <w:r>
              <w:rPr>
                <w:rFonts w:hint="eastAsia" w:cs="仿宋" w:asciiTheme="minorEastAsia" w:hAnsiTheme="minorEastAsia" w:eastAsiaTheme="minorEastAsia"/>
                <w:b/>
                <w:bCs/>
                <w:color w:val="000000" w:themeColor="text1"/>
                <w:sz w:val="24"/>
                <w14:textFill>
                  <w14:solidFill>
                    <w14:schemeClr w14:val="tx1"/>
                  </w14:solidFill>
                </w14:textFill>
              </w:rPr>
              <w:t>数量</w:t>
            </w:r>
          </w:p>
        </w:tc>
        <w:tc>
          <w:tcPr>
            <w:tcW w:w="6790" w:type="dxa"/>
            <w:vAlign w:val="center"/>
          </w:tcPr>
          <w:p w14:paraId="6E415DE8">
            <w:pPr>
              <w:pStyle w:val="103"/>
              <w:keepNext w:val="0"/>
              <w:keepLines w:val="0"/>
              <w:pageBreakBefore w:val="0"/>
              <w:widowControl w:val="0"/>
              <w:kinsoku/>
              <w:wordWrap/>
              <w:overflowPunct/>
              <w:topLinePunct w:val="0"/>
              <w:autoSpaceDE/>
              <w:autoSpaceDN/>
              <w:bidi w:val="0"/>
              <w:adjustRightInd/>
              <w:snapToGrid/>
              <w:spacing w:before="0" w:line="340" w:lineRule="exact"/>
              <w:jc w:val="center"/>
              <w:textAlignment w:val="auto"/>
              <w:rPr>
                <w:rFonts w:hint="eastAsia" w:cs="仿宋" w:asciiTheme="minorEastAsia" w:hAnsiTheme="minorEastAsia" w:eastAsiaTheme="minorEastAsia"/>
                <w:b/>
                <w:bCs/>
                <w:color w:val="000000" w:themeColor="text1"/>
                <w:sz w:val="24"/>
                <w14:textFill>
                  <w14:solidFill>
                    <w14:schemeClr w14:val="tx1"/>
                  </w14:solidFill>
                </w14:textFill>
              </w:rPr>
            </w:pPr>
            <w:r>
              <w:rPr>
                <w:rFonts w:hint="eastAsia" w:cs="仿宋" w:asciiTheme="minorEastAsia" w:hAnsiTheme="minorEastAsia" w:eastAsiaTheme="minorEastAsia"/>
                <w:b/>
                <w:bCs/>
                <w:color w:val="000000" w:themeColor="text1"/>
                <w:sz w:val="24"/>
                <w14:textFill>
                  <w14:solidFill>
                    <w14:schemeClr w14:val="tx1"/>
                  </w14:solidFill>
                </w14:textFill>
              </w:rPr>
              <w:t>备注</w:t>
            </w:r>
          </w:p>
        </w:tc>
      </w:tr>
      <w:tr w14:paraId="6F688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82" w:type="dxa"/>
            <w:noWrap/>
            <w:vAlign w:val="center"/>
          </w:tcPr>
          <w:p w14:paraId="1C759E84">
            <w:pPr>
              <w:pStyle w:val="103"/>
              <w:keepNext w:val="0"/>
              <w:keepLines w:val="0"/>
              <w:pageBreakBefore w:val="0"/>
              <w:widowControl w:val="0"/>
              <w:kinsoku/>
              <w:wordWrap/>
              <w:overflowPunct/>
              <w:topLinePunct w:val="0"/>
              <w:autoSpaceDE/>
              <w:autoSpaceDN/>
              <w:bidi w:val="0"/>
              <w:adjustRightInd/>
              <w:snapToGrid/>
              <w:spacing w:before="0" w:line="340" w:lineRule="exact"/>
              <w:jc w:val="left"/>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方案及设计</w:t>
            </w:r>
          </w:p>
        </w:tc>
        <w:tc>
          <w:tcPr>
            <w:tcW w:w="1451" w:type="dxa"/>
            <w:noWrap/>
            <w:vAlign w:val="center"/>
          </w:tcPr>
          <w:p w14:paraId="5A52CDB5">
            <w:pPr>
              <w:pStyle w:val="103"/>
              <w:keepNext w:val="0"/>
              <w:keepLines w:val="0"/>
              <w:pageBreakBefore w:val="0"/>
              <w:widowControl w:val="0"/>
              <w:kinsoku/>
              <w:wordWrap/>
              <w:overflowPunct/>
              <w:topLinePunct w:val="0"/>
              <w:autoSpaceDE/>
              <w:autoSpaceDN/>
              <w:bidi w:val="0"/>
              <w:adjustRightInd/>
              <w:snapToGrid/>
              <w:spacing w:before="0" w:line="340" w:lineRule="exact"/>
              <w:jc w:val="left"/>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1 组</w:t>
            </w:r>
          </w:p>
        </w:tc>
        <w:tc>
          <w:tcPr>
            <w:tcW w:w="6790" w:type="dxa"/>
            <w:vAlign w:val="center"/>
          </w:tcPr>
          <w:p w14:paraId="56B8E375">
            <w:pPr>
              <w:pStyle w:val="103"/>
              <w:keepNext w:val="0"/>
              <w:keepLines w:val="0"/>
              <w:pageBreakBefore w:val="0"/>
              <w:widowControl w:val="0"/>
              <w:kinsoku/>
              <w:wordWrap/>
              <w:overflowPunct/>
              <w:topLinePunct w:val="0"/>
              <w:autoSpaceDE/>
              <w:autoSpaceDN/>
              <w:bidi w:val="0"/>
              <w:adjustRightInd/>
              <w:snapToGrid/>
              <w:spacing w:before="0" w:line="340" w:lineRule="exact"/>
              <w:jc w:val="left"/>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整体活动方案设计，活动版权，展板、手册、海报等物料设计</w:t>
            </w:r>
          </w:p>
        </w:tc>
      </w:tr>
      <w:tr w14:paraId="2DB66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82" w:type="dxa"/>
            <w:noWrap/>
            <w:vAlign w:val="center"/>
          </w:tcPr>
          <w:p w14:paraId="4DB3330C">
            <w:pPr>
              <w:pStyle w:val="103"/>
              <w:keepNext w:val="0"/>
              <w:keepLines w:val="0"/>
              <w:pageBreakBefore w:val="0"/>
              <w:widowControl w:val="0"/>
              <w:kinsoku/>
              <w:wordWrap/>
              <w:overflowPunct/>
              <w:topLinePunct w:val="0"/>
              <w:autoSpaceDE/>
              <w:autoSpaceDN/>
              <w:bidi w:val="0"/>
              <w:adjustRightInd/>
              <w:snapToGrid/>
              <w:spacing w:before="0" w:line="340" w:lineRule="exact"/>
              <w:jc w:val="left"/>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手机端应用</w:t>
            </w:r>
          </w:p>
        </w:tc>
        <w:tc>
          <w:tcPr>
            <w:tcW w:w="1451" w:type="dxa"/>
            <w:noWrap/>
            <w:vAlign w:val="center"/>
          </w:tcPr>
          <w:p w14:paraId="6EE7E43D">
            <w:pPr>
              <w:pStyle w:val="103"/>
              <w:keepNext w:val="0"/>
              <w:keepLines w:val="0"/>
              <w:pageBreakBefore w:val="0"/>
              <w:widowControl w:val="0"/>
              <w:kinsoku/>
              <w:wordWrap/>
              <w:overflowPunct/>
              <w:topLinePunct w:val="0"/>
              <w:autoSpaceDE/>
              <w:autoSpaceDN/>
              <w:bidi w:val="0"/>
              <w:adjustRightInd/>
              <w:snapToGrid/>
              <w:spacing w:before="0" w:line="340" w:lineRule="exact"/>
              <w:jc w:val="left"/>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1套</w:t>
            </w:r>
          </w:p>
        </w:tc>
        <w:tc>
          <w:tcPr>
            <w:tcW w:w="6790" w:type="dxa"/>
            <w:vAlign w:val="center"/>
          </w:tcPr>
          <w:p w14:paraId="68B62C93">
            <w:pPr>
              <w:pStyle w:val="103"/>
              <w:keepNext w:val="0"/>
              <w:keepLines w:val="0"/>
              <w:pageBreakBefore w:val="0"/>
              <w:widowControl w:val="0"/>
              <w:kinsoku/>
              <w:wordWrap/>
              <w:overflowPunct/>
              <w:topLinePunct w:val="0"/>
              <w:autoSpaceDE/>
              <w:autoSpaceDN/>
              <w:bidi w:val="0"/>
              <w:adjustRightInd/>
              <w:snapToGrid/>
              <w:spacing w:before="0" w:line="340" w:lineRule="exact"/>
              <w:jc w:val="left"/>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配合关卡使用</w:t>
            </w:r>
          </w:p>
        </w:tc>
      </w:tr>
      <w:tr w14:paraId="3EB58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82" w:type="dxa"/>
            <w:noWrap/>
            <w:vAlign w:val="center"/>
          </w:tcPr>
          <w:p w14:paraId="729F5F99">
            <w:pPr>
              <w:pStyle w:val="103"/>
              <w:keepNext w:val="0"/>
              <w:keepLines w:val="0"/>
              <w:pageBreakBefore w:val="0"/>
              <w:widowControl w:val="0"/>
              <w:kinsoku/>
              <w:wordWrap/>
              <w:overflowPunct/>
              <w:topLinePunct w:val="0"/>
              <w:autoSpaceDE/>
              <w:autoSpaceDN/>
              <w:bidi w:val="0"/>
              <w:adjustRightInd/>
              <w:snapToGrid/>
              <w:spacing w:before="0" w:line="340" w:lineRule="exact"/>
              <w:jc w:val="left"/>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志愿者培训</w:t>
            </w:r>
          </w:p>
        </w:tc>
        <w:tc>
          <w:tcPr>
            <w:tcW w:w="1451" w:type="dxa"/>
            <w:noWrap/>
            <w:vAlign w:val="center"/>
          </w:tcPr>
          <w:p w14:paraId="15FC3B84">
            <w:pPr>
              <w:pStyle w:val="103"/>
              <w:keepNext w:val="0"/>
              <w:keepLines w:val="0"/>
              <w:pageBreakBefore w:val="0"/>
              <w:widowControl w:val="0"/>
              <w:kinsoku/>
              <w:wordWrap/>
              <w:overflowPunct/>
              <w:topLinePunct w:val="0"/>
              <w:autoSpaceDE/>
              <w:autoSpaceDN/>
              <w:bidi w:val="0"/>
              <w:adjustRightInd/>
              <w:snapToGrid/>
              <w:spacing w:before="0" w:line="340" w:lineRule="exact"/>
              <w:jc w:val="left"/>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200人</w:t>
            </w:r>
          </w:p>
        </w:tc>
        <w:tc>
          <w:tcPr>
            <w:tcW w:w="6790" w:type="dxa"/>
            <w:vAlign w:val="center"/>
          </w:tcPr>
          <w:p w14:paraId="095BB85B">
            <w:pPr>
              <w:pStyle w:val="103"/>
              <w:keepNext w:val="0"/>
              <w:keepLines w:val="0"/>
              <w:pageBreakBefore w:val="0"/>
              <w:widowControl w:val="0"/>
              <w:kinsoku/>
              <w:wordWrap/>
              <w:overflowPunct/>
              <w:topLinePunct w:val="0"/>
              <w:autoSpaceDE/>
              <w:autoSpaceDN/>
              <w:bidi w:val="0"/>
              <w:adjustRightInd/>
              <w:snapToGrid/>
              <w:spacing w:before="0" w:line="340" w:lineRule="exact"/>
              <w:jc w:val="left"/>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培训活动志愿者，达到活动需求的效果</w:t>
            </w:r>
          </w:p>
        </w:tc>
      </w:tr>
      <w:tr w14:paraId="667CF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82" w:type="dxa"/>
            <w:noWrap/>
            <w:vAlign w:val="center"/>
          </w:tcPr>
          <w:p w14:paraId="25000020">
            <w:pPr>
              <w:pStyle w:val="103"/>
              <w:keepNext w:val="0"/>
              <w:keepLines w:val="0"/>
              <w:pageBreakBefore w:val="0"/>
              <w:widowControl w:val="0"/>
              <w:kinsoku/>
              <w:wordWrap/>
              <w:overflowPunct/>
              <w:topLinePunct w:val="0"/>
              <w:autoSpaceDE/>
              <w:autoSpaceDN/>
              <w:bidi w:val="0"/>
              <w:adjustRightInd/>
              <w:snapToGrid/>
              <w:spacing w:before="0" w:line="340" w:lineRule="exact"/>
              <w:jc w:val="left"/>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现场督导</w:t>
            </w:r>
          </w:p>
        </w:tc>
        <w:tc>
          <w:tcPr>
            <w:tcW w:w="1451" w:type="dxa"/>
            <w:noWrap/>
            <w:vAlign w:val="center"/>
          </w:tcPr>
          <w:p w14:paraId="06B52117">
            <w:pPr>
              <w:pStyle w:val="103"/>
              <w:keepNext w:val="0"/>
              <w:keepLines w:val="0"/>
              <w:pageBreakBefore w:val="0"/>
              <w:widowControl w:val="0"/>
              <w:kinsoku/>
              <w:wordWrap/>
              <w:overflowPunct/>
              <w:topLinePunct w:val="0"/>
              <w:autoSpaceDE/>
              <w:autoSpaceDN/>
              <w:bidi w:val="0"/>
              <w:adjustRightInd/>
              <w:snapToGrid/>
              <w:spacing w:before="0" w:line="340" w:lineRule="exact"/>
              <w:jc w:val="left"/>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1人</w:t>
            </w:r>
          </w:p>
        </w:tc>
        <w:tc>
          <w:tcPr>
            <w:tcW w:w="6790" w:type="dxa"/>
            <w:vAlign w:val="center"/>
          </w:tcPr>
          <w:p w14:paraId="477A5DDB">
            <w:pPr>
              <w:pStyle w:val="103"/>
              <w:keepNext w:val="0"/>
              <w:keepLines w:val="0"/>
              <w:pageBreakBefore w:val="0"/>
              <w:widowControl w:val="0"/>
              <w:kinsoku/>
              <w:wordWrap/>
              <w:overflowPunct/>
              <w:topLinePunct w:val="0"/>
              <w:autoSpaceDE/>
              <w:autoSpaceDN/>
              <w:bidi w:val="0"/>
              <w:adjustRightInd/>
              <w:snapToGrid/>
              <w:spacing w:before="0" w:line="340" w:lineRule="exact"/>
              <w:jc w:val="left"/>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2天专业执行全程督导</w:t>
            </w:r>
          </w:p>
        </w:tc>
      </w:tr>
      <w:tr w14:paraId="015E6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82" w:type="dxa"/>
            <w:noWrap/>
            <w:vAlign w:val="center"/>
          </w:tcPr>
          <w:p w14:paraId="60A6CB2A">
            <w:pPr>
              <w:pStyle w:val="103"/>
              <w:keepNext w:val="0"/>
              <w:keepLines w:val="0"/>
              <w:pageBreakBefore w:val="0"/>
              <w:widowControl w:val="0"/>
              <w:kinsoku/>
              <w:wordWrap/>
              <w:overflowPunct/>
              <w:topLinePunct w:val="0"/>
              <w:autoSpaceDE/>
              <w:autoSpaceDN/>
              <w:bidi w:val="0"/>
              <w:adjustRightInd/>
              <w:snapToGrid/>
              <w:spacing w:before="0" w:line="340" w:lineRule="exact"/>
              <w:jc w:val="left"/>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个人报告</w:t>
            </w:r>
          </w:p>
        </w:tc>
        <w:tc>
          <w:tcPr>
            <w:tcW w:w="1451" w:type="dxa"/>
            <w:noWrap/>
            <w:vAlign w:val="center"/>
          </w:tcPr>
          <w:p w14:paraId="3BFCE051">
            <w:pPr>
              <w:pStyle w:val="103"/>
              <w:keepNext w:val="0"/>
              <w:keepLines w:val="0"/>
              <w:pageBreakBefore w:val="0"/>
              <w:widowControl w:val="0"/>
              <w:kinsoku/>
              <w:wordWrap/>
              <w:overflowPunct/>
              <w:topLinePunct w:val="0"/>
              <w:autoSpaceDE/>
              <w:autoSpaceDN/>
              <w:bidi w:val="0"/>
              <w:adjustRightInd/>
              <w:snapToGrid/>
              <w:spacing w:before="0" w:line="340" w:lineRule="exact"/>
              <w:jc w:val="left"/>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1人</w:t>
            </w:r>
            <w:r>
              <w:rPr>
                <w:rFonts w:hint="eastAsia" w:cs="仿宋" w:asciiTheme="minorEastAsia" w:hAnsiTheme="minorEastAsia" w:eastAsiaTheme="minorEastAsia"/>
                <w:color w:val="000000" w:themeColor="text1"/>
                <w:sz w:val="24"/>
                <w:lang w:val="en-US" w:eastAsia="zh-CN"/>
                <w14:textFill>
                  <w14:solidFill>
                    <w14:schemeClr w14:val="tx1"/>
                  </w14:solidFill>
                </w14:textFill>
              </w:rPr>
              <w:t>/</w:t>
            </w:r>
            <w:r>
              <w:rPr>
                <w:rFonts w:hint="eastAsia" w:cs="仿宋" w:asciiTheme="minorEastAsia" w:hAnsiTheme="minorEastAsia" w:eastAsiaTheme="minorEastAsia"/>
                <w:color w:val="000000" w:themeColor="text1"/>
                <w:sz w:val="24"/>
                <w14:textFill>
                  <w14:solidFill>
                    <w14:schemeClr w14:val="tx1"/>
                  </w14:solidFill>
                </w14:textFill>
              </w:rPr>
              <w:t>2份</w:t>
            </w:r>
          </w:p>
        </w:tc>
        <w:tc>
          <w:tcPr>
            <w:tcW w:w="6790" w:type="dxa"/>
            <w:vAlign w:val="center"/>
          </w:tcPr>
          <w:p w14:paraId="6CEF3441">
            <w:pPr>
              <w:pStyle w:val="103"/>
              <w:keepNext w:val="0"/>
              <w:keepLines w:val="0"/>
              <w:pageBreakBefore w:val="0"/>
              <w:widowControl w:val="0"/>
              <w:kinsoku/>
              <w:wordWrap/>
              <w:overflowPunct/>
              <w:topLinePunct w:val="0"/>
              <w:autoSpaceDE/>
              <w:autoSpaceDN/>
              <w:bidi w:val="0"/>
              <w:adjustRightInd/>
              <w:snapToGrid/>
              <w:spacing w:before="0" w:line="340" w:lineRule="exact"/>
              <w:jc w:val="left"/>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手机端现场生涯决策与生涯困难诊断报告及个人生涯发展报告（学生版）</w:t>
            </w:r>
          </w:p>
        </w:tc>
      </w:tr>
      <w:tr w14:paraId="55F96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82" w:type="dxa"/>
            <w:noWrap/>
            <w:vAlign w:val="center"/>
          </w:tcPr>
          <w:p w14:paraId="5191688B">
            <w:pPr>
              <w:pStyle w:val="103"/>
              <w:keepNext w:val="0"/>
              <w:keepLines w:val="0"/>
              <w:pageBreakBefore w:val="0"/>
              <w:widowControl w:val="0"/>
              <w:kinsoku/>
              <w:wordWrap/>
              <w:overflowPunct/>
              <w:topLinePunct w:val="0"/>
              <w:autoSpaceDE/>
              <w:autoSpaceDN/>
              <w:bidi w:val="0"/>
              <w:adjustRightInd/>
              <w:snapToGrid/>
              <w:spacing w:before="0" w:line="340" w:lineRule="exact"/>
              <w:jc w:val="left"/>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学校总报告</w:t>
            </w:r>
          </w:p>
        </w:tc>
        <w:tc>
          <w:tcPr>
            <w:tcW w:w="1451" w:type="dxa"/>
            <w:noWrap/>
            <w:vAlign w:val="center"/>
          </w:tcPr>
          <w:p w14:paraId="509432C6">
            <w:pPr>
              <w:pStyle w:val="103"/>
              <w:keepNext w:val="0"/>
              <w:keepLines w:val="0"/>
              <w:pageBreakBefore w:val="0"/>
              <w:widowControl w:val="0"/>
              <w:kinsoku/>
              <w:wordWrap/>
              <w:overflowPunct/>
              <w:topLinePunct w:val="0"/>
              <w:autoSpaceDE/>
              <w:autoSpaceDN/>
              <w:bidi w:val="0"/>
              <w:adjustRightInd/>
              <w:snapToGrid/>
              <w:spacing w:before="0" w:line="340" w:lineRule="exact"/>
              <w:jc w:val="left"/>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2份</w:t>
            </w:r>
          </w:p>
        </w:tc>
        <w:tc>
          <w:tcPr>
            <w:tcW w:w="6790" w:type="dxa"/>
            <w:vAlign w:val="center"/>
          </w:tcPr>
          <w:p w14:paraId="0E518AAD">
            <w:pPr>
              <w:pStyle w:val="103"/>
              <w:keepNext w:val="0"/>
              <w:keepLines w:val="0"/>
              <w:pageBreakBefore w:val="0"/>
              <w:widowControl w:val="0"/>
              <w:kinsoku/>
              <w:wordWrap/>
              <w:overflowPunct/>
              <w:topLinePunct w:val="0"/>
              <w:autoSpaceDE/>
              <w:autoSpaceDN/>
              <w:bidi w:val="0"/>
              <w:adjustRightInd/>
              <w:snapToGrid/>
              <w:spacing w:before="0" w:line="340" w:lineRule="exact"/>
              <w:jc w:val="left"/>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就业体验</w:t>
            </w:r>
            <w:r>
              <w:rPr>
                <w:rFonts w:cs="仿宋" w:asciiTheme="minorEastAsia" w:hAnsiTheme="minorEastAsia" w:eastAsiaTheme="minorEastAsia"/>
                <w:color w:val="000000" w:themeColor="text1"/>
                <w:sz w:val="24"/>
                <w14:textFill>
                  <w14:solidFill>
                    <w14:schemeClr w14:val="tx1"/>
                  </w14:solidFill>
                </w14:textFill>
              </w:rPr>
              <w:t>周总结&amp;学生</w:t>
            </w:r>
            <w:r>
              <w:rPr>
                <w:rFonts w:hint="eastAsia" w:cs="仿宋" w:asciiTheme="minorEastAsia" w:hAnsiTheme="minorEastAsia" w:eastAsiaTheme="minorEastAsia"/>
                <w:color w:val="000000" w:themeColor="text1"/>
                <w:sz w:val="24"/>
                <w14:textFill>
                  <w14:solidFill>
                    <w14:schemeClr w14:val="tx1"/>
                  </w14:solidFill>
                </w14:textFill>
              </w:rPr>
              <w:t>就业信心</w:t>
            </w:r>
            <w:r>
              <w:rPr>
                <w:rFonts w:cs="仿宋" w:asciiTheme="minorEastAsia" w:hAnsiTheme="minorEastAsia" w:eastAsiaTheme="minorEastAsia"/>
                <w:color w:val="000000" w:themeColor="text1"/>
                <w:sz w:val="24"/>
                <w14:textFill>
                  <w14:solidFill>
                    <w14:schemeClr w14:val="tx1"/>
                  </w14:solidFill>
                </w14:textFill>
              </w:rPr>
              <w:t>分析报告</w:t>
            </w:r>
            <w:r>
              <w:rPr>
                <w:rFonts w:hint="eastAsia" w:cs="仿宋" w:asciiTheme="minorEastAsia" w:hAnsiTheme="minorEastAsia" w:eastAsiaTheme="minorEastAsia"/>
                <w:color w:val="000000" w:themeColor="text1"/>
                <w:sz w:val="24"/>
                <w14:textFill>
                  <w14:solidFill>
                    <w14:schemeClr w14:val="tx1"/>
                  </w14:solidFill>
                </w14:textFill>
              </w:rPr>
              <w:t>；生涯决策与生涯困难诊断团体分析报告</w:t>
            </w:r>
          </w:p>
        </w:tc>
      </w:tr>
      <w:tr w14:paraId="409A2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82" w:type="dxa"/>
            <w:noWrap/>
            <w:vAlign w:val="center"/>
          </w:tcPr>
          <w:p w14:paraId="1CC317AE">
            <w:pPr>
              <w:pStyle w:val="103"/>
              <w:keepNext w:val="0"/>
              <w:keepLines w:val="0"/>
              <w:pageBreakBefore w:val="0"/>
              <w:widowControl w:val="0"/>
              <w:kinsoku/>
              <w:wordWrap/>
              <w:overflowPunct/>
              <w:topLinePunct w:val="0"/>
              <w:autoSpaceDE/>
              <w:autoSpaceDN/>
              <w:bidi w:val="0"/>
              <w:adjustRightInd/>
              <w:snapToGrid/>
              <w:spacing w:before="0" w:line="340" w:lineRule="exact"/>
              <w:jc w:val="left"/>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专业物料</w:t>
            </w:r>
          </w:p>
        </w:tc>
        <w:tc>
          <w:tcPr>
            <w:tcW w:w="1451" w:type="dxa"/>
            <w:noWrap/>
            <w:vAlign w:val="center"/>
          </w:tcPr>
          <w:p w14:paraId="467486F5">
            <w:pPr>
              <w:pStyle w:val="103"/>
              <w:keepNext w:val="0"/>
              <w:keepLines w:val="0"/>
              <w:pageBreakBefore w:val="0"/>
              <w:widowControl w:val="0"/>
              <w:kinsoku/>
              <w:wordWrap/>
              <w:overflowPunct/>
              <w:topLinePunct w:val="0"/>
              <w:autoSpaceDE/>
              <w:autoSpaceDN/>
              <w:bidi w:val="0"/>
              <w:adjustRightInd/>
              <w:snapToGrid/>
              <w:spacing w:before="0" w:line="340" w:lineRule="exact"/>
              <w:jc w:val="left"/>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8000人</w:t>
            </w:r>
          </w:p>
        </w:tc>
        <w:tc>
          <w:tcPr>
            <w:tcW w:w="6790" w:type="dxa"/>
            <w:vAlign w:val="center"/>
          </w:tcPr>
          <w:p w14:paraId="22D9A02D">
            <w:pPr>
              <w:pStyle w:val="103"/>
              <w:keepNext w:val="0"/>
              <w:keepLines w:val="0"/>
              <w:pageBreakBefore w:val="0"/>
              <w:widowControl w:val="0"/>
              <w:kinsoku/>
              <w:wordWrap/>
              <w:overflowPunct/>
              <w:topLinePunct w:val="0"/>
              <w:autoSpaceDE/>
              <w:autoSpaceDN/>
              <w:bidi w:val="0"/>
              <w:adjustRightInd/>
              <w:snapToGrid/>
              <w:spacing w:before="0" w:line="340" w:lineRule="exact"/>
              <w:jc w:val="left"/>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题目卡与贴纸等，配合关卡使用</w:t>
            </w:r>
          </w:p>
        </w:tc>
      </w:tr>
      <w:tr w14:paraId="636FE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82" w:type="dxa"/>
            <w:noWrap/>
            <w:vAlign w:val="center"/>
          </w:tcPr>
          <w:p w14:paraId="054CED86">
            <w:pPr>
              <w:pStyle w:val="103"/>
              <w:keepNext w:val="0"/>
              <w:keepLines w:val="0"/>
              <w:pageBreakBefore w:val="0"/>
              <w:widowControl w:val="0"/>
              <w:kinsoku/>
              <w:wordWrap/>
              <w:overflowPunct/>
              <w:topLinePunct w:val="0"/>
              <w:autoSpaceDE/>
              <w:autoSpaceDN/>
              <w:bidi w:val="0"/>
              <w:adjustRightInd/>
              <w:snapToGrid/>
              <w:spacing w:before="0" w:line="340" w:lineRule="exact"/>
              <w:jc w:val="left"/>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活动手册套装成品</w:t>
            </w:r>
          </w:p>
        </w:tc>
        <w:tc>
          <w:tcPr>
            <w:tcW w:w="1451" w:type="dxa"/>
            <w:noWrap/>
            <w:vAlign w:val="center"/>
          </w:tcPr>
          <w:p w14:paraId="7FCACB85">
            <w:pPr>
              <w:pStyle w:val="103"/>
              <w:keepNext w:val="0"/>
              <w:keepLines w:val="0"/>
              <w:pageBreakBefore w:val="0"/>
              <w:widowControl w:val="0"/>
              <w:kinsoku/>
              <w:wordWrap/>
              <w:overflowPunct/>
              <w:topLinePunct w:val="0"/>
              <w:autoSpaceDE/>
              <w:autoSpaceDN/>
              <w:bidi w:val="0"/>
              <w:adjustRightInd/>
              <w:snapToGrid/>
              <w:spacing w:before="0" w:line="340" w:lineRule="exact"/>
              <w:jc w:val="left"/>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8000人</w:t>
            </w:r>
          </w:p>
        </w:tc>
        <w:tc>
          <w:tcPr>
            <w:tcW w:w="6790" w:type="dxa"/>
            <w:vAlign w:val="center"/>
          </w:tcPr>
          <w:p w14:paraId="728A43B4">
            <w:pPr>
              <w:pStyle w:val="103"/>
              <w:keepNext w:val="0"/>
              <w:keepLines w:val="0"/>
              <w:pageBreakBefore w:val="0"/>
              <w:widowControl w:val="0"/>
              <w:kinsoku/>
              <w:wordWrap/>
              <w:overflowPunct/>
              <w:topLinePunct w:val="0"/>
              <w:autoSpaceDE/>
              <w:autoSpaceDN/>
              <w:bidi w:val="0"/>
              <w:adjustRightInd/>
              <w:snapToGrid/>
              <w:spacing w:before="0" w:line="340" w:lineRule="exact"/>
              <w:jc w:val="left"/>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尺寸182*257mm；封皮200克铜版纸覆亚膜，内页80克双胶纸，骑马钉，全彩。</w:t>
            </w:r>
          </w:p>
        </w:tc>
      </w:tr>
      <w:tr w14:paraId="4BFF4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82" w:type="dxa"/>
            <w:noWrap/>
            <w:vAlign w:val="top"/>
          </w:tcPr>
          <w:p w14:paraId="75E0C6EC">
            <w:pPr>
              <w:pStyle w:val="103"/>
              <w:keepNext w:val="0"/>
              <w:keepLines w:val="0"/>
              <w:pageBreakBefore w:val="0"/>
              <w:widowControl w:val="0"/>
              <w:kinsoku/>
              <w:wordWrap/>
              <w:overflowPunct/>
              <w:topLinePunct w:val="0"/>
              <w:autoSpaceDE/>
              <w:autoSpaceDN/>
              <w:bidi w:val="0"/>
              <w:adjustRightInd/>
              <w:snapToGrid/>
              <w:spacing w:before="0" w:line="340" w:lineRule="exact"/>
              <w:jc w:val="left"/>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桁架A</w:t>
            </w:r>
          </w:p>
        </w:tc>
        <w:tc>
          <w:tcPr>
            <w:tcW w:w="1451" w:type="dxa"/>
            <w:noWrap/>
            <w:vAlign w:val="top"/>
          </w:tcPr>
          <w:p w14:paraId="0292B040">
            <w:pPr>
              <w:pStyle w:val="103"/>
              <w:keepNext w:val="0"/>
              <w:keepLines w:val="0"/>
              <w:pageBreakBefore w:val="0"/>
              <w:widowControl w:val="0"/>
              <w:kinsoku/>
              <w:wordWrap/>
              <w:overflowPunct/>
              <w:topLinePunct w:val="0"/>
              <w:autoSpaceDE/>
              <w:autoSpaceDN/>
              <w:bidi w:val="0"/>
              <w:adjustRightInd/>
              <w:snapToGrid/>
              <w:spacing w:before="0" w:line="340" w:lineRule="exact"/>
              <w:jc w:val="left"/>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26个</w:t>
            </w:r>
          </w:p>
        </w:tc>
        <w:tc>
          <w:tcPr>
            <w:tcW w:w="6790" w:type="dxa"/>
            <w:vAlign w:val="top"/>
          </w:tcPr>
          <w:p w14:paraId="7FFBBE1D">
            <w:pPr>
              <w:pStyle w:val="103"/>
              <w:keepNext w:val="0"/>
              <w:keepLines w:val="0"/>
              <w:pageBreakBefore w:val="0"/>
              <w:widowControl w:val="0"/>
              <w:kinsoku/>
              <w:wordWrap/>
              <w:overflowPunct/>
              <w:topLinePunct w:val="0"/>
              <w:autoSpaceDE/>
              <w:autoSpaceDN/>
              <w:bidi w:val="0"/>
              <w:adjustRightInd/>
              <w:snapToGrid/>
              <w:spacing w:before="0" w:line="340" w:lineRule="exact"/>
              <w:jc w:val="left"/>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尺寸2*3m；包括黑底喷绘布</w:t>
            </w:r>
          </w:p>
        </w:tc>
      </w:tr>
      <w:tr w14:paraId="4087D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82" w:type="dxa"/>
            <w:noWrap/>
            <w:vAlign w:val="top"/>
          </w:tcPr>
          <w:p w14:paraId="35B2EEF4">
            <w:pPr>
              <w:pStyle w:val="103"/>
              <w:keepNext w:val="0"/>
              <w:keepLines w:val="0"/>
              <w:pageBreakBefore w:val="0"/>
              <w:widowControl w:val="0"/>
              <w:kinsoku/>
              <w:wordWrap/>
              <w:overflowPunct/>
              <w:topLinePunct w:val="0"/>
              <w:autoSpaceDE/>
              <w:autoSpaceDN/>
              <w:bidi w:val="0"/>
              <w:adjustRightInd/>
              <w:snapToGrid/>
              <w:spacing w:before="0" w:line="340" w:lineRule="exact"/>
              <w:jc w:val="left"/>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桁架B</w:t>
            </w:r>
          </w:p>
        </w:tc>
        <w:tc>
          <w:tcPr>
            <w:tcW w:w="1451" w:type="dxa"/>
            <w:noWrap/>
            <w:vAlign w:val="top"/>
          </w:tcPr>
          <w:p w14:paraId="1947C6F1">
            <w:pPr>
              <w:pStyle w:val="103"/>
              <w:keepNext w:val="0"/>
              <w:keepLines w:val="0"/>
              <w:pageBreakBefore w:val="0"/>
              <w:widowControl w:val="0"/>
              <w:kinsoku/>
              <w:wordWrap/>
              <w:overflowPunct/>
              <w:topLinePunct w:val="0"/>
              <w:autoSpaceDE/>
              <w:autoSpaceDN/>
              <w:bidi w:val="0"/>
              <w:adjustRightInd/>
              <w:snapToGrid/>
              <w:spacing w:before="0" w:line="340" w:lineRule="exact"/>
              <w:jc w:val="left"/>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2个</w:t>
            </w:r>
          </w:p>
        </w:tc>
        <w:tc>
          <w:tcPr>
            <w:tcW w:w="6790" w:type="dxa"/>
            <w:vAlign w:val="top"/>
          </w:tcPr>
          <w:p w14:paraId="45D94A0E">
            <w:pPr>
              <w:pStyle w:val="103"/>
              <w:keepNext w:val="0"/>
              <w:keepLines w:val="0"/>
              <w:pageBreakBefore w:val="0"/>
              <w:widowControl w:val="0"/>
              <w:kinsoku/>
              <w:wordWrap/>
              <w:overflowPunct/>
              <w:topLinePunct w:val="0"/>
              <w:autoSpaceDE/>
              <w:autoSpaceDN/>
              <w:bidi w:val="0"/>
              <w:adjustRightInd/>
              <w:snapToGrid/>
              <w:spacing w:before="0" w:line="340" w:lineRule="exact"/>
              <w:jc w:val="left"/>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尺寸3*8m，包括黑底喷绘布</w:t>
            </w:r>
          </w:p>
        </w:tc>
      </w:tr>
      <w:tr w14:paraId="76A09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82" w:type="dxa"/>
            <w:noWrap/>
            <w:vAlign w:val="top"/>
          </w:tcPr>
          <w:p w14:paraId="2E480EA2">
            <w:pPr>
              <w:pStyle w:val="103"/>
              <w:keepNext w:val="0"/>
              <w:keepLines w:val="0"/>
              <w:pageBreakBefore w:val="0"/>
              <w:widowControl w:val="0"/>
              <w:kinsoku/>
              <w:wordWrap/>
              <w:overflowPunct/>
              <w:topLinePunct w:val="0"/>
              <w:autoSpaceDE/>
              <w:autoSpaceDN/>
              <w:bidi w:val="0"/>
              <w:adjustRightInd/>
              <w:snapToGrid/>
              <w:spacing w:before="0" w:line="340" w:lineRule="exact"/>
              <w:jc w:val="left"/>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桁架C</w:t>
            </w:r>
          </w:p>
        </w:tc>
        <w:tc>
          <w:tcPr>
            <w:tcW w:w="1451" w:type="dxa"/>
            <w:noWrap/>
            <w:vAlign w:val="top"/>
          </w:tcPr>
          <w:p w14:paraId="21B2969C">
            <w:pPr>
              <w:pStyle w:val="103"/>
              <w:keepNext w:val="0"/>
              <w:keepLines w:val="0"/>
              <w:pageBreakBefore w:val="0"/>
              <w:widowControl w:val="0"/>
              <w:kinsoku/>
              <w:wordWrap/>
              <w:overflowPunct/>
              <w:topLinePunct w:val="0"/>
              <w:autoSpaceDE/>
              <w:autoSpaceDN/>
              <w:bidi w:val="0"/>
              <w:adjustRightInd/>
              <w:snapToGrid/>
              <w:spacing w:before="0" w:line="340" w:lineRule="exact"/>
              <w:jc w:val="left"/>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4个</w:t>
            </w:r>
          </w:p>
        </w:tc>
        <w:tc>
          <w:tcPr>
            <w:tcW w:w="6790" w:type="dxa"/>
            <w:vAlign w:val="top"/>
          </w:tcPr>
          <w:p w14:paraId="2A9E9379">
            <w:pPr>
              <w:pStyle w:val="103"/>
              <w:keepNext w:val="0"/>
              <w:keepLines w:val="0"/>
              <w:pageBreakBefore w:val="0"/>
              <w:widowControl w:val="0"/>
              <w:kinsoku/>
              <w:wordWrap/>
              <w:overflowPunct/>
              <w:topLinePunct w:val="0"/>
              <w:autoSpaceDE/>
              <w:autoSpaceDN/>
              <w:bidi w:val="0"/>
              <w:adjustRightInd/>
              <w:snapToGrid/>
              <w:spacing w:before="0" w:line="340" w:lineRule="exact"/>
              <w:jc w:val="left"/>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尺寸1.5*3m；包括黑底喷绘布</w:t>
            </w:r>
          </w:p>
        </w:tc>
      </w:tr>
      <w:tr w14:paraId="7CC39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82" w:type="dxa"/>
            <w:noWrap/>
            <w:vAlign w:val="top"/>
          </w:tcPr>
          <w:p w14:paraId="5DDFC87A">
            <w:pPr>
              <w:pStyle w:val="103"/>
              <w:keepNext w:val="0"/>
              <w:keepLines w:val="0"/>
              <w:pageBreakBefore w:val="0"/>
              <w:widowControl w:val="0"/>
              <w:kinsoku/>
              <w:wordWrap/>
              <w:overflowPunct/>
              <w:topLinePunct w:val="0"/>
              <w:autoSpaceDE/>
              <w:autoSpaceDN/>
              <w:bidi w:val="0"/>
              <w:adjustRightInd/>
              <w:snapToGrid/>
              <w:spacing w:before="0" w:line="340" w:lineRule="exact"/>
              <w:jc w:val="left"/>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大喷布A</w:t>
            </w:r>
          </w:p>
        </w:tc>
        <w:tc>
          <w:tcPr>
            <w:tcW w:w="1451" w:type="dxa"/>
            <w:noWrap/>
            <w:vAlign w:val="top"/>
          </w:tcPr>
          <w:p w14:paraId="168B03D0">
            <w:pPr>
              <w:pStyle w:val="103"/>
              <w:keepNext w:val="0"/>
              <w:keepLines w:val="0"/>
              <w:pageBreakBefore w:val="0"/>
              <w:widowControl w:val="0"/>
              <w:kinsoku/>
              <w:wordWrap/>
              <w:overflowPunct/>
              <w:topLinePunct w:val="0"/>
              <w:autoSpaceDE/>
              <w:autoSpaceDN/>
              <w:bidi w:val="0"/>
              <w:adjustRightInd/>
              <w:snapToGrid/>
              <w:spacing w:before="0" w:line="340" w:lineRule="exact"/>
              <w:jc w:val="left"/>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2块</w:t>
            </w:r>
          </w:p>
        </w:tc>
        <w:tc>
          <w:tcPr>
            <w:tcW w:w="6790" w:type="dxa"/>
            <w:vAlign w:val="top"/>
          </w:tcPr>
          <w:p w14:paraId="2C2F2D11">
            <w:pPr>
              <w:pStyle w:val="103"/>
              <w:keepNext w:val="0"/>
              <w:keepLines w:val="0"/>
              <w:pageBreakBefore w:val="0"/>
              <w:widowControl w:val="0"/>
              <w:kinsoku/>
              <w:wordWrap/>
              <w:overflowPunct/>
              <w:topLinePunct w:val="0"/>
              <w:autoSpaceDE/>
              <w:autoSpaceDN/>
              <w:bidi w:val="0"/>
              <w:adjustRightInd/>
              <w:snapToGrid/>
              <w:spacing w:before="0" w:line="340" w:lineRule="exact"/>
              <w:jc w:val="left"/>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尺寸4.9*3m，需张贴在地上（撤走后地上尽量不留痕迹）</w:t>
            </w:r>
          </w:p>
        </w:tc>
      </w:tr>
      <w:tr w14:paraId="56A2B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82" w:type="dxa"/>
            <w:noWrap/>
            <w:vAlign w:val="top"/>
          </w:tcPr>
          <w:p w14:paraId="5E02594D">
            <w:pPr>
              <w:pStyle w:val="103"/>
              <w:keepNext w:val="0"/>
              <w:keepLines w:val="0"/>
              <w:pageBreakBefore w:val="0"/>
              <w:widowControl w:val="0"/>
              <w:kinsoku/>
              <w:wordWrap/>
              <w:overflowPunct/>
              <w:topLinePunct w:val="0"/>
              <w:autoSpaceDE/>
              <w:autoSpaceDN/>
              <w:bidi w:val="0"/>
              <w:adjustRightInd/>
              <w:snapToGrid/>
              <w:spacing w:before="0" w:line="340" w:lineRule="exact"/>
              <w:jc w:val="left"/>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大喷布B</w:t>
            </w:r>
          </w:p>
        </w:tc>
        <w:tc>
          <w:tcPr>
            <w:tcW w:w="1451" w:type="dxa"/>
            <w:noWrap/>
            <w:vAlign w:val="top"/>
          </w:tcPr>
          <w:p w14:paraId="614FE8C3">
            <w:pPr>
              <w:pStyle w:val="103"/>
              <w:keepNext w:val="0"/>
              <w:keepLines w:val="0"/>
              <w:pageBreakBefore w:val="0"/>
              <w:widowControl w:val="0"/>
              <w:kinsoku/>
              <w:wordWrap/>
              <w:overflowPunct/>
              <w:topLinePunct w:val="0"/>
              <w:autoSpaceDE/>
              <w:autoSpaceDN/>
              <w:bidi w:val="0"/>
              <w:adjustRightInd/>
              <w:snapToGrid/>
              <w:spacing w:before="0" w:line="340" w:lineRule="exact"/>
              <w:jc w:val="left"/>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2块</w:t>
            </w:r>
          </w:p>
        </w:tc>
        <w:tc>
          <w:tcPr>
            <w:tcW w:w="6790" w:type="dxa"/>
            <w:vAlign w:val="top"/>
          </w:tcPr>
          <w:p w14:paraId="2DE14427">
            <w:pPr>
              <w:pStyle w:val="103"/>
              <w:keepNext w:val="0"/>
              <w:keepLines w:val="0"/>
              <w:pageBreakBefore w:val="0"/>
              <w:widowControl w:val="0"/>
              <w:kinsoku/>
              <w:wordWrap/>
              <w:overflowPunct/>
              <w:topLinePunct w:val="0"/>
              <w:autoSpaceDE/>
              <w:autoSpaceDN/>
              <w:bidi w:val="0"/>
              <w:adjustRightInd/>
              <w:snapToGrid/>
              <w:spacing w:before="0" w:line="340" w:lineRule="exact"/>
              <w:jc w:val="left"/>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尺寸3*3m，需张贴在地上（撤走后地上尽量不留痕迹）</w:t>
            </w:r>
          </w:p>
        </w:tc>
      </w:tr>
      <w:tr w14:paraId="03A70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82" w:type="dxa"/>
            <w:noWrap/>
            <w:vAlign w:val="top"/>
          </w:tcPr>
          <w:p w14:paraId="1C1C3CAE">
            <w:pPr>
              <w:pStyle w:val="103"/>
              <w:keepNext w:val="0"/>
              <w:keepLines w:val="0"/>
              <w:pageBreakBefore w:val="0"/>
              <w:widowControl w:val="0"/>
              <w:kinsoku/>
              <w:wordWrap/>
              <w:overflowPunct/>
              <w:topLinePunct w:val="0"/>
              <w:autoSpaceDE/>
              <w:autoSpaceDN/>
              <w:bidi w:val="0"/>
              <w:adjustRightInd/>
              <w:snapToGrid/>
              <w:spacing w:before="0" w:line="340" w:lineRule="exact"/>
              <w:jc w:val="left"/>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大喷布C</w:t>
            </w:r>
          </w:p>
        </w:tc>
        <w:tc>
          <w:tcPr>
            <w:tcW w:w="1451" w:type="dxa"/>
            <w:noWrap/>
            <w:vAlign w:val="top"/>
          </w:tcPr>
          <w:p w14:paraId="32C071CC">
            <w:pPr>
              <w:pStyle w:val="103"/>
              <w:keepNext w:val="0"/>
              <w:keepLines w:val="0"/>
              <w:pageBreakBefore w:val="0"/>
              <w:widowControl w:val="0"/>
              <w:kinsoku/>
              <w:wordWrap/>
              <w:overflowPunct/>
              <w:topLinePunct w:val="0"/>
              <w:autoSpaceDE/>
              <w:autoSpaceDN/>
              <w:bidi w:val="0"/>
              <w:adjustRightInd/>
              <w:snapToGrid/>
              <w:spacing w:before="0" w:line="340" w:lineRule="exact"/>
              <w:jc w:val="left"/>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2块</w:t>
            </w:r>
          </w:p>
        </w:tc>
        <w:tc>
          <w:tcPr>
            <w:tcW w:w="6790" w:type="dxa"/>
            <w:vAlign w:val="top"/>
          </w:tcPr>
          <w:p w14:paraId="7A1EE474">
            <w:pPr>
              <w:pStyle w:val="103"/>
              <w:keepNext w:val="0"/>
              <w:keepLines w:val="0"/>
              <w:pageBreakBefore w:val="0"/>
              <w:widowControl w:val="0"/>
              <w:kinsoku/>
              <w:wordWrap/>
              <w:overflowPunct/>
              <w:topLinePunct w:val="0"/>
              <w:autoSpaceDE/>
              <w:autoSpaceDN/>
              <w:bidi w:val="0"/>
              <w:adjustRightInd/>
              <w:snapToGrid/>
              <w:spacing w:before="0" w:line="340" w:lineRule="exact"/>
              <w:jc w:val="left"/>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尺寸5*5m，需张贴在地上（撤走后地上尽量不留痕迹）</w:t>
            </w:r>
          </w:p>
        </w:tc>
      </w:tr>
      <w:tr w14:paraId="0FE41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82" w:type="dxa"/>
            <w:noWrap/>
            <w:vAlign w:val="top"/>
          </w:tcPr>
          <w:p w14:paraId="036B8854">
            <w:pPr>
              <w:pStyle w:val="103"/>
              <w:keepNext w:val="0"/>
              <w:keepLines w:val="0"/>
              <w:pageBreakBefore w:val="0"/>
              <w:widowControl w:val="0"/>
              <w:kinsoku/>
              <w:wordWrap/>
              <w:overflowPunct/>
              <w:topLinePunct w:val="0"/>
              <w:autoSpaceDE/>
              <w:autoSpaceDN/>
              <w:bidi w:val="0"/>
              <w:adjustRightInd/>
              <w:snapToGrid/>
              <w:spacing w:before="0" w:line="340" w:lineRule="exact"/>
              <w:jc w:val="left"/>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海报</w:t>
            </w:r>
          </w:p>
        </w:tc>
        <w:tc>
          <w:tcPr>
            <w:tcW w:w="1451" w:type="dxa"/>
            <w:noWrap/>
            <w:vAlign w:val="top"/>
          </w:tcPr>
          <w:p w14:paraId="7ADA382C">
            <w:pPr>
              <w:pStyle w:val="103"/>
              <w:keepNext w:val="0"/>
              <w:keepLines w:val="0"/>
              <w:pageBreakBefore w:val="0"/>
              <w:widowControl w:val="0"/>
              <w:kinsoku/>
              <w:wordWrap/>
              <w:overflowPunct/>
              <w:topLinePunct w:val="0"/>
              <w:autoSpaceDE/>
              <w:autoSpaceDN/>
              <w:bidi w:val="0"/>
              <w:adjustRightInd/>
              <w:snapToGrid/>
              <w:spacing w:before="0" w:line="340" w:lineRule="exact"/>
              <w:jc w:val="left"/>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5块</w:t>
            </w:r>
          </w:p>
        </w:tc>
        <w:tc>
          <w:tcPr>
            <w:tcW w:w="6790" w:type="dxa"/>
            <w:vAlign w:val="top"/>
          </w:tcPr>
          <w:p w14:paraId="37450142">
            <w:pPr>
              <w:pStyle w:val="103"/>
              <w:keepNext w:val="0"/>
              <w:keepLines w:val="0"/>
              <w:pageBreakBefore w:val="0"/>
              <w:widowControl w:val="0"/>
              <w:kinsoku/>
              <w:wordWrap/>
              <w:overflowPunct/>
              <w:topLinePunct w:val="0"/>
              <w:autoSpaceDE/>
              <w:autoSpaceDN/>
              <w:bidi w:val="0"/>
              <w:adjustRightInd/>
              <w:snapToGrid/>
              <w:spacing w:before="0" w:line="340" w:lineRule="exact"/>
              <w:jc w:val="left"/>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尺寸60*60cm</w:t>
            </w:r>
          </w:p>
        </w:tc>
      </w:tr>
      <w:tr w14:paraId="5FA8C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82" w:type="dxa"/>
            <w:noWrap/>
            <w:vAlign w:val="top"/>
          </w:tcPr>
          <w:p w14:paraId="3336C3A6">
            <w:pPr>
              <w:pStyle w:val="103"/>
              <w:keepNext w:val="0"/>
              <w:keepLines w:val="0"/>
              <w:pageBreakBefore w:val="0"/>
              <w:widowControl w:val="0"/>
              <w:kinsoku/>
              <w:wordWrap/>
              <w:overflowPunct/>
              <w:topLinePunct w:val="0"/>
              <w:autoSpaceDE/>
              <w:autoSpaceDN/>
              <w:bidi w:val="0"/>
              <w:adjustRightInd/>
              <w:snapToGrid/>
              <w:spacing w:before="0" w:line="340" w:lineRule="exact"/>
              <w:jc w:val="left"/>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条幅</w:t>
            </w:r>
          </w:p>
        </w:tc>
        <w:tc>
          <w:tcPr>
            <w:tcW w:w="1451" w:type="dxa"/>
            <w:noWrap/>
            <w:vAlign w:val="top"/>
          </w:tcPr>
          <w:p w14:paraId="4E761EE5">
            <w:pPr>
              <w:pStyle w:val="103"/>
              <w:keepNext w:val="0"/>
              <w:keepLines w:val="0"/>
              <w:pageBreakBefore w:val="0"/>
              <w:widowControl w:val="0"/>
              <w:kinsoku/>
              <w:wordWrap/>
              <w:overflowPunct/>
              <w:topLinePunct w:val="0"/>
              <w:autoSpaceDE/>
              <w:autoSpaceDN/>
              <w:bidi w:val="0"/>
              <w:adjustRightInd/>
              <w:snapToGrid/>
              <w:spacing w:before="0" w:line="340" w:lineRule="exact"/>
              <w:jc w:val="left"/>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3条</w:t>
            </w:r>
          </w:p>
        </w:tc>
        <w:tc>
          <w:tcPr>
            <w:tcW w:w="6790" w:type="dxa"/>
            <w:vAlign w:val="top"/>
          </w:tcPr>
          <w:p w14:paraId="61445FE3">
            <w:pPr>
              <w:pStyle w:val="103"/>
              <w:keepNext w:val="0"/>
              <w:keepLines w:val="0"/>
              <w:pageBreakBefore w:val="0"/>
              <w:widowControl w:val="0"/>
              <w:kinsoku/>
              <w:wordWrap/>
              <w:overflowPunct/>
              <w:topLinePunct w:val="0"/>
              <w:autoSpaceDE/>
              <w:autoSpaceDN/>
              <w:bidi w:val="0"/>
              <w:adjustRightInd/>
              <w:snapToGrid/>
              <w:spacing w:before="0" w:line="340" w:lineRule="exact"/>
              <w:jc w:val="left"/>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普通条幅6m</w:t>
            </w:r>
          </w:p>
        </w:tc>
      </w:tr>
      <w:tr w14:paraId="516FF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82" w:type="dxa"/>
            <w:noWrap/>
            <w:vAlign w:val="top"/>
          </w:tcPr>
          <w:p w14:paraId="70230B9F">
            <w:pPr>
              <w:pStyle w:val="103"/>
              <w:keepNext w:val="0"/>
              <w:keepLines w:val="0"/>
              <w:pageBreakBefore w:val="0"/>
              <w:widowControl w:val="0"/>
              <w:kinsoku/>
              <w:wordWrap/>
              <w:overflowPunct/>
              <w:topLinePunct w:val="0"/>
              <w:autoSpaceDE/>
              <w:autoSpaceDN/>
              <w:bidi w:val="0"/>
              <w:adjustRightInd/>
              <w:snapToGrid/>
              <w:spacing w:before="0" w:line="340" w:lineRule="exact"/>
              <w:jc w:val="left"/>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刀旗</w:t>
            </w:r>
          </w:p>
        </w:tc>
        <w:tc>
          <w:tcPr>
            <w:tcW w:w="1451" w:type="dxa"/>
            <w:noWrap/>
            <w:vAlign w:val="top"/>
          </w:tcPr>
          <w:p w14:paraId="3D13222B">
            <w:pPr>
              <w:pStyle w:val="103"/>
              <w:keepNext w:val="0"/>
              <w:keepLines w:val="0"/>
              <w:pageBreakBefore w:val="0"/>
              <w:widowControl w:val="0"/>
              <w:kinsoku/>
              <w:wordWrap/>
              <w:overflowPunct/>
              <w:topLinePunct w:val="0"/>
              <w:autoSpaceDE/>
              <w:autoSpaceDN/>
              <w:bidi w:val="0"/>
              <w:adjustRightInd/>
              <w:snapToGrid/>
              <w:spacing w:before="0" w:line="340" w:lineRule="exact"/>
              <w:jc w:val="left"/>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2个</w:t>
            </w:r>
          </w:p>
        </w:tc>
        <w:tc>
          <w:tcPr>
            <w:tcW w:w="6790" w:type="dxa"/>
            <w:vAlign w:val="top"/>
          </w:tcPr>
          <w:p w14:paraId="5F7A9171">
            <w:pPr>
              <w:pStyle w:val="103"/>
              <w:keepNext w:val="0"/>
              <w:keepLines w:val="0"/>
              <w:pageBreakBefore w:val="0"/>
              <w:widowControl w:val="0"/>
              <w:kinsoku/>
              <w:wordWrap/>
              <w:overflowPunct/>
              <w:topLinePunct w:val="0"/>
              <w:autoSpaceDE/>
              <w:autoSpaceDN/>
              <w:bidi w:val="0"/>
              <w:adjustRightInd/>
              <w:snapToGrid/>
              <w:spacing w:before="0" w:line="340" w:lineRule="exact"/>
              <w:jc w:val="left"/>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旗杆5m，旗布1.2×3.5m</w:t>
            </w:r>
          </w:p>
        </w:tc>
      </w:tr>
      <w:tr w14:paraId="6519D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82" w:type="dxa"/>
            <w:noWrap/>
            <w:vAlign w:val="top"/>
          </w:tcPr>
          <w:p w14:paraId="0F292782">
            <w:pPr>
              <w:pStyle w:val="103"/>
              <w:keepNext w:val="0"/>
              <w:keepLines w:val="0"/>
              <w:pageBreakBefore w:val="0"/>
              <w:widowControl w:val="0"/>
              <w:kinsoku/>
              <w:wordWrap/>
              <w:overflowPunct/>
              <w:topLinePunct w:val="0"/>
              <w:autoSpaceDE/>
              <w:autoSpaceDN/>
              <w:bidi w:val="0"/>
              <w:adjustRightInd/>
              <w:snapToGrid/>
              <w:spacing w:before="0" w:line="340" w:lineRule="exact"/>
              <w:jc w:val="left"/>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音响</w:t>
            </w:r>
          </w:p>
        </w:tc>
        <w:tc>
          <w:tcPr>
            <w:tcW w:w="1451" w:type="dxa"/>
            <w:noWrap/>
            <w:vAlign w:val="top"/>
          </w:tcPr>
          <w:p w14:paraId="52974D13">
            <w:pPr>
              <w:pStyle w:val="103"/>
              <w:keepNext w:val="0"/>
              <w:keepLines w:val="0"/>
              <w:pageBreakBefore w:val="0"/>
              <w:widowControl w:val="0"/>
              <w:kinsoku/>
              <w:wordWrap/>
              <w:overflowPunct/>
              <w:topLinePunct w:val="0"/>
              <w:autoSpaceDE/>
              <w:autoSpaceDN/>
              <w:bidi w:val="0"/>
              <w:adjustRightInd/>
              <w:snapToGrid/>
              <w:spacing w:before="0" w:line="340" w:lineRule="exact"/>
              <w:jc w:val="left"/>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1组</w:t>
            </w:r>
          </w:p>
        </w:tc>
        <w:tc>
          <w:tcPr>
            <w:tcW w:w="6790" w:type="dxa"/>
            <w:vAlign w:val="top"/>
          </w:tcPr>
          <w:p w14:paraId="3817C1CB">
            <w:pPr>
              <w:pStyle w:val="103"/>
              <w:keepNext w:val="0"/>
              <w:keepLines w:val="0"/>
              <w:pageBreakBefore w:val="0"/>
              <w:widowControl w:val="0"/>
              <w:kinsoku/>
              <w:wordWrap/>
              <w:overflowPunct/>
              <w:topLinePunct w:val="0"/>
              <w:autoSpaceDE/>
              <w:autoSpaceDN/>
              <w:bidi w:val="0"/>
              <w:adjustRightInd/>
              <w:snapToGrid/>
              <w:spacing w:before="0" w:line="340" w:lineRule="exact"/>
              <w:jc w:val="left"/>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带调音台，开幕式用</w:t>
            </w:r>
          </w:p>
        </w:tc>
      </w:tr>
      <w:tr w14:paraId="62CB5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82" w:type="dxa"/>
            <w:noWrap/>
            <w:vAlign w:val="top"/>
          </w:tcPr>
          <w:p w14:paraId="6024C4BF">
            <w:pPr>
              <w:pStyle w:val="103"/>
              <w:keepNext w:val="0"/>
              <w:keepLines w:val="0"/>
              <w:pageBreakBefore w:val="0"/>
              <w:widowControl w:val="0"/>
              <w:kinsoku/>
              <w:wordWrap/>
              <w:overflowPunct/>
              <w:topLinePunct w:val="0"/>
              <w:autoSpaceDE/>
              <w:autoSpaceDN/>
              <w:bidi w:val="0"/>
              <w:adjustRightInd/>
              <w:snapToGrid/>
              <w:spacing w:before="0" w:line="340" w:lineRule="exact"/>
              <w:jc w:val="left"/>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KT板</w:t>
            </w:r>
          </w:p>
        </w:tc>
        <w:tc>
          <w:tcPr>
            <w:tcW w:w="1451" w:type="dxa"/>
            <w:noWrap/>
            <w:vAlign w:val="top"/>
          </w:tcPr>
          <w:p w14:paraId="77D594D7">
            <w:pPr>
              <w:pStyle w:val="103"/>
              <w:keepNext w:val="0"/>
              <w:keepLines w:val="0"/>
              <w:pageBreakBefore w:val="0"/>
              <w:widowControl w:val="0"/>
              <w:kinsoku/>
              <w:wordWrap/>
              <w:overflowPunct/>
              <w:topLinePunct w:val="0"/>
              <w:autoSpaceDE/>
              <w:autoSpaceDN/>
              <w:bidi w:val="0"/>
              <w:adjustRightInd/>
              <w:snapToGrid/>
              <w:spacing w:before="0" w:line="340" w:lineRule="exact"/>
              <w:jc w:val="left"/>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5个</w:t>
            </w:r>
          </w:p>
        </w:tc>
        <w:tc>
          <w:tcPr>
            <w:tcW w:w="6790" w:type="dxa"/>
            <w:vAlign w:val="top"/>
          </w:tcPr>
          <w:p w14:paraId="21A1C905">
            <w:pPr>
              <w:pStyle w:val="103"/>
              <w:keepNext w:val="0"/>
              <w:keepLines w:val="0"/>
              <w:pageBreakBefore w:val="0"/>
              <w:widowControl w:val="0"/>
              <w:kinsoku/>
              <w:wordWrap/>
              <w:overflowPunct/>
              <w:topLinePunct w:val="0"/>
              <w:autoSpaceDE/>
              <w:autoSpaceDN/>
              <w:bidi w:val="0"/>
              <w:adjustRightInd/>
              <w:snapToGrid/>
              <w:spacing w:before="0" w:line="340" w:lineRule="exact"/>
              <w:jc w:val="left"/>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开始开幕式用，40*60cm</w:t>
            </w:r>
          </w:p>
        </w:tc>
      </w:tr>
      <w:tr w14:paraId="08B4D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82" w:type="dxa"/>
            <w:noWrap/>
            <w:vAlign w:val="top"/>
          </w:tcPr>
          <w:p w14:paraId="41787301">
            <w:pPr>
              <w:pStyle w:val="103"/>
              <w:keepNext w:val="0"/>
              <w:keepLines w:val="0"/>
              <w:pageBreakBefore w:val="0"/>
              <w:widowControl w:val="0"/>
              <w:kinsoku/>
              <w:wordWrap/>
              <w:overflowPunct/>
              <w:topLinePunct w:val="0"/>
              <w:autoSpaceDE/>
              <w:autoSpaceDN/>
              <w:bidi w:val="0"/>
              <w:adjustRightInd/>
              <w:snapToGrid/>
              <w:spacing w:before="0" w:line="340" w:lineRule="exact"/>
              <w:jc w:val="left"/>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舞台</w:t>
            </w:r>
          </w:p>
        </w:tc>
        <w:tc>
          <w:tcPr>
            <w:tcW w:w="1451" w:type="dxa"/>
            <w:noWrap/>
            <w:vAlign w:val="top"/>
          </w:tcPr>
          <w:p w14:paraId="3C6DD257">
            <w:pPr>
              <w:pStyle w:val="103"/>
              <w:keepNext w:val="0"/>
              <w:keepLines w:val="0"/>
              <w:pageBreakBefore w:val="0"/>
              <w:widowControl w:val="0"/>
              <w:kinsoku/>
              <w:wordWrap/>
              <w:overflowPunct/>
              <w:topLinePunct w:val="0"/>
              <w:autoSpaceDE/>
              <w:autoSpaceDN/>
              <w:bidi w:val="0"/>
              <w:adjustRightInd/>
              <w:snapToGrid/>
              <w:spacing w:before="0" w:line="340" w:lineRule="exact"/>
              <w:jc w:val="left"/>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1组</w:t>
            </w:r>
          </w:p>
        </w:tc>
        <w:tc>
          <w:tcPr>
            <w:tcW w:w="6790" w:type="dxa"/>
            <w:vAlign w:val="top"/>
          </w:tcPr>
          <w:p w14:paraId="614C9EC1">
            <w:pPr>
              <w:pStyle w:val="103"/>
              <w:keepNext w:val="0"/>
              <w:keepLines w:val="0"/>
              <w:pageBreakBefore w:val="0"/>
              <w:widowControl w:val="0"/>
              <w:kinsoku/>
              <w:wordWrap/>
              <w:overflowPunct/>
              <w:topLinePunct w:val="0"/>
              <w:autoSpaceDE/>
              <w:autoSpaceDN/>
              <w:bidi w:val="0"/>
              <w:adjustRightInd/>
              <w:snapToGrid/>
              <w:spacing w:before="0" w:line="340" w:lineRule="exact"/>
              <w:jc w:val="left"/>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3*8m，配备红毯，开幕式用</w:t>
            </w:r>
          </w:p>
        </w:tc>
      </w:tr>
      <w:tr w14:paraId="6513E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82" w:type="dxa"/>
            <w:noWrap/>
            <w:vAlign w:val="top"/>
          </w:tcPr>
          <w:p w14:paraId="5DC9E553">
            <w:pPr>
              <w:pStyle w:val="103"/>
              <w:keepNext w:val="0"/>
              <w:keepLines w:val="0"/>
              <w:pageBreakBefore w:val="0"/>
              <w:widowControl w:val="0"/>
              <w:kinsoku/>
              <w:wordWrap/>
              <w:overflowPunct/>
              <w:topLinePunct w:val="0"/>
              <w:autoSpaceDE/>
              <w:autoSpaceDN/>
              <w:bidi w:val="0"/>
              <w:adjustRightInd/>
              <w:snapToGrid/>
              <w:spacing w:before="0" w:line="340" w:lineRule="exact"/>
              <w:jc w:val="left"/>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专业道具</w:t>
            </w:r>
          </w:p>
        </w:tc>
        <w:tc>
          <w:tcPr>
            <w:tcW w:w="1451" w:type="dxa"/>
            <w:noWrap/>
            <w:vAlign w:val="top"/>
          </w:tcPr>
          <w:p w14:paraId="5743CB5A">
            <w:pPr>
              <w:pStyle w:val="103"/>
              <w:keepNext w:val="0"/>
              <w:keepLines w:val="0"/>
              <w:pageBreakBefore w:val="0"/>
              <w:widowControl w:val="0"/>
              <w:kinsoku/>
              <w:wordWrap/>
              <w:overflowPunct/>
              <w:topLinePunct w:val="0"/>
              <w:autoSpaceDE/>
              <w:autoSpaceDN/>
              <w:bidi w:val="0"/>
              <w:adjustRightInd/>
              <w:snapToGrid/>
              <w:spacing w:before="0" w:line="340" w:lineRule="exact"/>
              <w:jc w:val="left"/>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24套</w:t>
            </w:r>
          </w:p>
        </w:tc>
        <w:tc>
          <w:tcPr>
            <w:tcW w:w="6790" w:type="dxa"/>
            <w:vAlign w:val="top"/>
          </w:tcPr>
          <w:p w14:paraId="03C05D72">
            <w:pPr>
              <w:pStyle w:val="103"/>
              <w:keepNext w:val="0"/>
              <w:keepLines w:val="0"/>
              <w:pageBreakBefore w:val="0"/>
              <w:widowControl w:val="0"/>
              <w:kinsoku/>
              <w:wordWrap/>
              <w:overflowPunct/>
              <w:topLinePunct w:val="0"/>
              <w:autoSpaceDE/>
              <w:autoSpaceDN/>
              <w:bidi w:val="0"/>
              <w:adjustRightInd/>
              <w:snapToGrid/>
              <w:spacing w:before="0" w:line="340" w:lineRule="exact"/>
              <w:jc w:val="left"/>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各个展位活动道具</w:t>
            </w:r>
          </w:p>
        </w:tc>
      </w:tr>
      <w:tr w14:paraId="638FC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82" w:type="dxa"/>
            <w:noWrap/>
            <w:vAlign w:val="top"/>
          </w:tcPr>
          <w:p w14:paraId="1DD4C80B">
            <w:pPr>
              <w:pStyle w:val="103"/>
              <w:keepNext w:val="0"/>
              <w:keepLines w:val="0"/>
              <w:pageBreakBefore w:val="0"/>
              <w:widowControl w:val="0"/>
              <w:kinsoku/>
              <w:wordWrap/>
              <w:overflowPunct/>
              <w:topLinePunct w:val="0"/>
              <w:autoSpaceDE/>
              <w:autoSpaceDN/>
              <w:bidi w:val="0"/>
              <w:adjustRightInd/>
              <w:snapToGrid/>
              <w:spacing w:before="0" w:line="340" w:lineRule="exact"/>
              <w:jc w:val="left"/>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桌椅</w:t>
            </w:r>
          </w:p>
        </w:tc>
        <w:tc>
          <w:tcPr>
            <w:tcW w:w="1451" w:type="dxa"/>
            <w:noWrap/>
            <w:vAlign w:val="top"/>
          </w:tcPr>
          <w:p w14:paraId="6BCC6C42">
            <w:pPr>
              <w:pStyle w:val="103"/>
              <w:keepNext w:val="0"/>
              <w:keepLines w:val="0"/>
              <w:pageBreakBefore w:val="0"/>
              <w:widowControl w:val="0"/>
              <w:kinsoku/>
              <w:wordWrap/>
              <w:overflowPunct/>
              <w:topLinePunct w:val="0"/>
              <w:autoSpaceDE/>
              <w:autoSpaceDN/>
              <w:bidi w:val="0"/>
              <w:adjustRightInd/>
              <w:snapToGrid/>
              <w:spacing w:before="0" w:line="340" w:lineRule="exact"/>
              <w:jc w:val="left"/>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24套</w:t>
            </w:r>
          </w:p>
        </w:tc>
        <w:tc>
          <w:tcPr>
            <w:tcW w:w="6790" w:type="dxa"/>
            <w:vAlign w:val="top"/>
          </w:tcPr>
          <w:p w14:paraId="6F385552">
            <w:pPr>
              <w:pStyle w:val="103"/>
              <w:keepNext w:val="0"/>
              <w:keepLines w:val="0"/>
              <w:pageBreakBefore w:val="0"/>
              <w:widowControl w:val="0"/>
              <w:kinsoku/>
              <w:wordWrap/>
              <w:overflowPunct/>
              <w:topLinePunct w:val="0"/>
              <w:autoSpaceDE/>
              <w:autoSpaceDN/>
              <w:bidi w:val="0"/>
              <w:adjustRightInd/>
              <w:snapToGrid/>
              <w:spacing w:before="0" w:line="340" w:lineRule="exact"/>
              <w:jc w:val="left"/>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48张双人桌，56个凳子</w:t>
            </w:r>
          </w:p>
        </w:tc>
      </w:tr>
      <w:tr w14:paraId="0A9AD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82" w:type="dxa"/>
            <w:noWrap/>
            <w:vAlign w:val="top"/>
          </w:tcPr>
          <w:p w14:paraId="7040FEE4">
            <w:pPr>
              <w:pStyle w:val="103"/>
              <w:keepNext w:val="0"/>
              <w:keepLines w:val="0"/>
              <w:pageBreakBefore w:val="0"/>
              <w:widowControl w:val="0"/>
              <w:kinsoku/>
              <w:wordWrap/>
              <w:overflowPunct/>
              <w:topLinePunct w:val="0"/>
              <w:autoSpaceDE/>
              <w:autoSpaceDN/>
              <w:bidi w:val="0"/>
              <w:adjustRightInd/>
              <w:snapToGrid/>
              <w:spacing w:before="0" w:line="340" w:lineRule="exact"/>
              <w:jc w:val="left"/>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配重</w:t>
            </w:r>
          </w:p>
        </w:tc>
        <w:tc>
          <w:tcPr>
            <w:tcW w:w="1451" w:type="dxa"/>
            <w:noWrap/>
            <w:vAlign w:val="top"/>
          </w:tcPr>
          <w:p w14:paraId="20C5FBB5">
            <w:pPr>
              <w:pStyle w:val="103"/>
              <w:keepNext w:val="0"/>
              <w:keepLines w:val="0"/>
              <w:pageBreakBefore w:val="0"/>
              <w:widowControl w:val="0"/>
              <w:kinsoku/>
              <w:wordWrap/>
              <w:overflowPunct/>
              <w:topLinePunct w:val="0"/>
              <w:autoSpaceDE/>
              <w:autoSpaceDN/>
              <w:bidi w:val="0"/>
              <w:adjustRightInd/>
              <w:snapToGrid/>
              <w:spacing w:before="0" w:line="340" w:lineRule="exact"/>
              <w:jc w:val="left"/>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若干</w:t>
            </w:r>
          </w:p>
        </w:tc>
        <w:tc>
          <w:tcPr>
            <w:tcW w:w="6790" w:type="dxa"/>
            <w:vAlign w:val="top"/>
          </w:tcPr>
          <w:p w14:paraId="7D6606F6">
            <w:pPr>
              <w:pStyle w:val="103"/>
              <w:keepNext w:val="0"/>
              <w:keepLines w:val="0"/>
              <w:pageBreakBefore w:val="0"/>
              <w:widowControl w:val="0"/>
              <w:kinsoku/>
              <w:wordWrap/>
              <w:overflowPunct/>
              <w:topLinePunct w:val="0"/>
              <w:autoSpaceDE/>
              <w:autoSpaceDN/>
              <w:bidi w:val="0"/>
              <w:adjustRightInd/>
              <w:snapToGrid/>
              <w:spacing w:before="0" w:line="340" w:lineRule="exact"/>
              <w:jc w:val="left"/>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加固桁架</w:t>
            </w:r>
          </w:p>
        </w:tc>
      </w:tr>
      <w:tr w14:paraId="406C2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82" w:type="dxa"/>
            <w:noWrap/>
            <w:vAlign w:val="top"/>
          </w:tcPr>
          <w:p w14:paraId="6E73E5F1">
            <w:pPr>
              <w:pStyle w:val="103"/>
              <w:keepNext w:val="0"/>
              <w:keepLines w:val="0"/>
              <w:pageBreakBefore w:val="0"/>
              <w:widowControl w:val="0"/>
              <w:kinsoku/>
              <w:wordWrap/>
              <w:overflowPunct/>
              <w:topLinePunct w:val="0"/>
              <w:autoSpaceDE/>
              <w:autoSpaceDN/>
              <w:bidi w:val="0"/>
              <w:adjustRightInd/>
              <w:snapToGrid/>
              <w:spacing w:before="0" w:line="340" w:lineRule="exact"/>
              <w:jc w:val="left"/>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人工</w:t>
            </w:r>
          </w:p>
        </w:tc>
        <w:tc>
          <w:tcPr>
            <w:tcW w:w="1451" w:type="dxa"/>
            <w:noWrap/>
            <w:vAlign w:val="top"/>
          </w:tcPr>
          <w:p w14:paraId="6E82CB96">
            <w:pPr>
              <w:pStyle w:val="103"/>
              <w:keepNext w:val="0"/>
              <w:keepLines w:val="0"/>
              <w:pageBreakBefore w:val="0"/>
              <w:widowControl w:val="0"/>
              <w:kinsoku/>
              <w:wordWrap/>
              <w:overflowPunct/>
              <w:topLinePunct w:val="0"/>
              <w:autoSpaceDE/>
              <w:autoSpaceDN/>
              <w:bidi w:val="0"/>
              <w:adjustRightInd/>
              <w:snapToGrid/>
              <w:spacing w:before="0" w:line="340" w:lineRule="exact"/>
              <w:jc w:val="left"/>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若干</w:t>
            </w:r>
          </w:p>
        </w:tc>
        <w:tc>
          <w:tcPr>
            <w:tcW w:w="6790" w:type="dxa"/>
            <w:vAlign w:val="top"/>
          </w:tcPr>
          <w:p w14:paraId="408019DF">
            <w:pPr>
              <w:pStyle w:val="103"/>
              <w:keepNext w:val="0"/>
              <w:keepLines w:val="0"/>
              <w:pageBreakBefore w:val="0"/>
              <w:widowControl w:val="0"/>
              <w:kinsoku/>
              <w:wordWrap/>
              <w:overflowPunct/>
              <w:topLinePunct w:val="0"/>
              <w:autoSpaceDE/>
              <w:autoSpaceDN/>
              <w:bidi w:val="0"/>
              <w:adjustRightInd/>
              <w:snapToGrid/>
              <w:spacing w:before="0" w:line="340" w:lineRule="exact"/>
              <w:jc w:val="left"/>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现场搭建人工费</w:t>
            </w:r>
          </w:p>
        </w:tc>
      </w:tr>
      <w:tr w14:paraId="1A3CC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82" w:type="dxa"/>
            <w:noWrap/>
            <w:vAlign w:val="top"/>
          </w:tcPr>
          <w:p w14:paraId="4B008EA6">
            <w:pPr>
              <w:pStyle w:val="103"/>
              <w:keepNext w:val="0"/>
              <w:keepLines w:val="0"/>
              <w:pageBreakBefore w:val="0"/>
              <w:widowControl w:val="0"/>
              <w:kinsoku/>
              <w:wordWrap/>
              <w:overflowPunct/>
              <w:topLinePunct w:val="0"/>
              <w:autoSpaceDE/>
              <w:autoSpaceDN/>
              <w:bidi w:val="0"/>
              <w:adjustRightInd/>
              <w:snapToGrid/>
              <w:spacing w:before="0" w:line="340" w:lineRule="exact"/>
              <w:jc w:val="left"/>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活动手册</w:t>
            </w:r>
          </w:p>
        </w:tc>
        <w:tc>
          <w:tcPr>
            <w:tcW w:w="1451" w:type="dxa"/>
            <w:noWrap/>
            <w:vAlign w:val="top"/>
          </w:tcPr>
          <w:p w14:paraId="53943B24">
            <w:pPr>
              <w:pStyle w:val="103"/>
              <w:keepNext w:val="0"/>
              <w:keepLines w:val="0"/>
              <w:pageBreakBefore w:val="0"/>
              <w:widowControl w:val="0"/>
              <w:kinsoku/>
              <w:wordWrap/>
              <w:overflowPunct/>
              <w:topLinePunct w:val="0"/>
              <w:autoSpaceDE/>
              <w:autoSpaceDN/>
              <w:bidi w:val="0"/>
              <w:adjustRightInd/>
              <w:snapToGrid/>
              <w:spacing w:before="0" w:line="340" w:lineRule="exact"/>
              <w:jc w:val="left"/>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8000人</w:t>
            </w:r>
          </w:p>
        </w:tc>
        <w:tc>
          <w:tcPr>
            <w:tcW w:w="6790" w:type="dxa"/>
            <w:vAlign w:val="top"/>
          </w:tcPr>
          <w:p w14:paraId="42A9387A">
            <w:pPr>
              <w:pStyle w:val="103"/>
              <w:keepNext w:val="0"/>
              <w:keepLines w:val="0"/>
              <w:pageBreakBefore w:val="0"/>
              <w:widowControl w:val="0"/>
              <w:kinsoku/>
              <w:wordWrap/>
              <w:overflowPunct/>
              <w:topLinePunct w:val="0"/>
              <w:autoSpaceDE/>
              <w:autoSpaceDN/>
              <w:bidi w:val="0"/>
              <w:adjustRightInd/>
              <w:snapToGrid/>
              <w:spacing w:before="0" w:line="340" w:lineRule="exact"/>
              <w:jc w:val="left"/>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尺寸182*257mm；封皮200克铜版纸覆亚膜，内页80克双胶纸，骑马钉，全彩。</w:t>
            </w:r>
          </w:p>
        </w:tc>
      </w:tr>
      <w:tr w14:paraId="32DE5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jc w:val="center"/>
        </w:trPr>
        <w:tc>
          <w:tcPr>
            <w:tcW w:w="1682" w:type="dxa"/>
            <w:noWrap/>
            <w:vAlign w:val="top"/>
          </w:tcPr>
          <w:p w14:paraId="5DA164E4">
            <w:pPr>
              <w:pStyle w:val="103"/>
              <w:keepNext w:val="0"/>
              <w:keepLines w:val="0"/>
              <w:pageBreakBefore w:val="0"/>
              <w:widowControl w:val="0"/>
              <w:kinsoku/>
              <w:wordWrap/>
              <w:overflowPunct/>
              <w:topLinePunct w:val="0"/>
              <w:autoSpaceDE/>
              <w:autoSpaceDN/>
              <w:bidi w:val="0"/>
              <w:adjustRightInd/>
              <w:snapToGrid/>
              <w:spacing w:before="0" w:line="340" w:lineRule="exact"/>
              <w:jc w:val="left"/>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活动奖品</w:t>
            </w:r>
          </w:p>
        </w:tc>
        <w:tc>
          <w:tcPr>
            <w:tcW w:w="1451" w:type="dxa"/>
            <w:noWrap/>
            <w:vAlign w:val="top"/>
          </w:tcPr>
          <w:p w14:paraId="42B3CD30">
            <w:pPr>
              <w:pStyle w:val="103"/>
              <w:keepNext w:val="0"/>
              <w:keepLines w:val="0"/>
              <w:pageBreakBefore w:val="0"/>
              <w:widowControl w:val="0"/>
              <w:kinsoku/>
              <w:wordWrap/>
              <w:overflowPunct/>
              <w:topLinePunct w:val="0"/>
              <w:autoSpaceDE/>
              <w:autoSpaceDN/>
              <w:bidi w:val="0"/>
              <w:adjustRightInd/>
              <w:snapToGrid/>
              <w:spacing w:before="0" w:line="340" w:lineRule="exact"/>
              <w:jc w:val="left"/>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500份</w:t>
            </w:r>
          </w:p>
        </w:tc>
        <w:tc>
          <w:tcPr>
            <w:tcW w:w="6790" w:type="dxa"/>
            <w:vAlign w:val="top"/>
          </w:tcPr>
          <w:p w14:paraId="1D17C3CB">
            <w:pPr>
              <w:pStyle w:val="103"/>
              <w:keepNext w:val="0"/>
              <w:keepLines w:val="0"/>
              <w:pageBreakBefore w:val="0"/>
              <w:widowControl w:val="0"/>
              <w:kinsoku/>
              <w:wordWrap/>
              <w:overflowPunct/>
              <w:topLinePunct w:val="0"/>
              <w:autoSpaceDE/>
              <w:autoSpaceDN/>
              <w:bidi w:val="0"/>
              <w:adjustRightInd/>
              <w:snapToGrid/>
              <w:spacing w:before="0" w:line="340" w:lineRule="exact"/>
              <w:jc w:val="left"/>
              <w:textAlignment w:val="auto"/>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奖品参考：智能音响*5</w:t>
            </w:r>
            <w:r>
              <w:rPr>
                <w:rFonts w:hint="eastAsia" w:cs="仿宋" w:asciiTheme="minorEastAsia" w:hAnsiTheme="minorEastAsia" w:eastAsiaTheme="minorEastAsia"/>
                <w:color w:val="000000" w:themeColor="text1"/>
                <w:sz w:val="24"/>
                <w14:textFill>
                  <w14:solidFill>
                    <w14:schemeClr w14:val="tx1"/>
                  </w14:solidFill>
                </w14:textFill>
              </w:rPr>
              <w:br w:type="textWrapping"/>
            </w:r>
            <w:r>
              <w:rPr>
                <w:rFonts w:hint="eastAsia" w:cs="仿宋" w:asciiTheme="minorEastAsia" w:hAnsiTheme="minorEastAsia" w:eastAsiaTheme="minorEastAsia"/>
                <w:color w:val="000000" w:themeColor="text1"/>
                <w:sz w:val="24"/>
                <w14:textFill>
                  <w14:solidFill>
                    <w14:schemeClr w14:val="tx1"/>
                  </w14:solidFill>
                </w14:textFill>
              </w:rPr>
              <w:t xml:space="preserve">          毛绒大抱枕*5</w:t>
            </w:r>
            <w:r>
              <w:rPr>
                <w:rFonts w:hint="eastAsia" w:cs="仿宋" w:asciiTheme="minorEastAsia" w:hAnsiTheme="minorEastAsia" w:eastAsiaTheme="minorEastAsia"/>
                <w:color w:val="000000" w:themeColor="text1"/>
                <w:sz w:val="24"/>
                <w14:textFill>
                  <w14:solidFill>
                    <w14:schemeClr w14:val="tx1"/>
                  </w14:solidFill>
                </w14:textFill>
              </w:rPr>
              <w:br w:type="textWrapping"/>
            </w:r>
            <w:r>
              <w:rPr>
                <w:rFonts w:hint="eastAsia" w:cs="仿宋" w:asciiTheme="minorEastAsia" w:hAnsiTheme="minorEastAsia" w:eastAsiaTheme="minorEastAsia"/>
                <w:color w:val="000000" w:themeColor="text1"/>
                <w:sz w:val="24"/>
                <w14:textFill>
                  <w14:solidFill>
                    <w14:schemeClr w14:val="tx1"/>
                  </w14:solidFill>
                </w14:textFill>
              </w:rPr>
              <w:t xml:space="preserve">           故宫文创笔记本*10</w:t>
            </w:r>
            <w:r>
              <w:rPr>
                <w:rFonts w:hint="eastAsia" w:cs="仿宋" w:asciiTheme="minorEastAsia" w:hAnsiTheme="minorEastAsia" w:eastAsiaTheme="minorEastAsia"/>
                <w:color w:val="000000" w:themeColor="text1"/>
                <w:sz w:val="24"/>
                <w14:textFill>
                  <w14:solidFill>
                    <w14:schemeClr w14:val="tx1"/>
                  </w14:solidFill>
                </w14:textFill>
              </w:rPr>
              <w:br w:type="textWrapping"/>
            </w:r>
            <w:r>
              <w:rPr>
                <w:rFonts w:hint="eastAsia" w:cs="仿宋" w:asciiTheme="minorEastAsia" w:hAnsiTheme="minorEastAsia" w:eastAsiaTheme="minorEastAsia"/>
                <w:color w:val="000000" w:themeColor="text1"/>
                <w:sz w:val="24"/>
                <w14:textFill>
                  <w14:solidFill>
                    <w14:schemeClr w14:val="tx1"/>
                  </w14:solidFill>
                </w14:textFill>
              </w:rPr>
              <w:t xml:space="preserve">           毛绒小公仔*100</w:t>
            </w:r>
            <w:r>
              <w:rPr>
                <w:rFonts w:hint="eastAsia" w:cs="仿宋" w:asciiTheme="minorEastAsia" w:hAnsiTheme="minorEastAsia" w:eastAsiaTheme="minorEastAsia"/>
                <w:color w:val="000000" w:themeColor="text1"/>
                <w:sz w:val="24"/>
                <w14:textFill>
                  <w14:solidFill>
                    <w14:schemeClr w14:val="tx1"/>
                  </w14:solidFill>
                </w14:textFill>
              </w:rPr>
              <w:br w:type="textWrapping"/>
            </w:r>
            <w:r>
              <w:rPr>
                <w:rFonts w:hint="eastAsia" w:cs="仿宋" w:asciiTheme="minorEastAsia" w:hAnsiTheme="minorEastAsia" w:eastAsiaTheme="minorEastAsia"/>
                <w:color w:val="000000" w:themeColor="text1"/>
                <w:sz w:val="24"/>
                <w14:textFill>
                  <w14:solidFill>
                    <w14:schemeClr w14:val="tx1"/>
                  </w14:solidFill>
                </w14:textFill>
              </w:rPr>
              <w:t xml:space="preserve">           钥匙扣*900</w:t>
            </w:r>
          </w:p>
        </w:tc>
      </w:tr>
    </w:tbl>
    <w:p w14:paraId="4C342372">
      <w:pPr>
        <w:spacing w:line="560" w:lineRule="exact"/>
        <w:rPr>
          <w:rFonts w:hint="eastAsia" w:ascii="宋体" w:hAnsi="宋体"/>
          <w:b/>
          <w:bCs/>
          <w:kern w:val="0"/>
          <w:sz w:val="28"/>
          <w:szCs w:val="28"/>
        </w:rPr>
      </w:pPr>
    </w:p>
    <w:p w14:paraId="62081AC0">
      <w:pPr>
        <w:spacing w:line="560" w:lineRule="exact"/>
        <w:ind w:firstLine="562" w:firstLineChars="200"/>
        <w:rPr>
          <w:rFonts w:ascii="宋体" w:hAnsi="宋体"/>
          <w:b/>
          <w:bCs/>
          <w:sz w:val="32"/>
          <w:szCs w:val="32"/>
        </w:rPr>
      </w:pPr>
      <w:r>
        <w:rPr>
          <w:rFonts w:hint="eastAsia" w:ascii="宋体" w:hAnsi="宋体"/>
          <w:b/>
          <w:bCs/>
          <w:kern w:val="0"/>
          <w:sz w:val="28"/>
          <w:szCs w:val="28"/>
        </w:rPr>
        <w:t>（二）具体技术指标及性能要求：</w:t>
      </w:r>
    </w:p>
    <w:p w14:paraId="3FAD938B">
      <w:pPr>
        <w:spacing w:line="560" w:lineRule="exact"/>
        <w:ind w:firstLine="560" w:firstLineChars="200"/>
        <w:rPr>
          <w:rFonts w:hint="eastAsia" w:ascii="宋体" w:hAnsi="宋体"/>
          <w:kern w:val="0"/>
          <w:sz w:val="28"/>
          <w:szCs w:val="28"/>
        </w:rPr>
      </w:pPr>
      <w:r>
        <w:rPr>
          <w:rFonts w:hint="eastAsia" w:ascii="宋体" w:hAnsi="宋体"/>
          <w:kern w:val="0"/>
          <w:sz w:val="28"/>
          <w:szCs w:val="28"/>
        </w:rPr>
        <w:t>1.具有独立承担民事责任能力，且具备履行合同所必需的设备和专业技术能力；★</w:t>
      </w:r>
    </w:p>
    <w:p w14:paraId="1396B137">
      <w:pPr>
        <w:spacing w:line="560" w:lineRule="exact"/>
        <w:ind w:firstLine="560" w:firstLineChars="200"/>
        <w:rPr>
          <w:rFonts w:hint="eastAsia" w:ascii="宋体" w:hAnsi="宋体"/>
          <w:kern w:val="0"/>
          <w:sz w:val="28"/>
          <w:szCs w:val="28"/>
        </w:rPr>
      </w:pPr>
      <w:r>
        <w:rPr>
          <w:rFonts w:hint="eastAsia" w:ascii="宋体" w:hAnsi="宋体"/>
          <w:kern w:val="0"/>
          <w:sz w:val="28"/>
          <w:szCs w:val="28"/>
        </w:rPr>
        <w:t>具有合法有效的企业法人《营业执照》副本或事业单位法人证书或法人登记证书。★</w:t>
      </w:r>
    </w:p>
    <w:p w14:paraId="0FB4E867">
      <w:pPr>
        <w:spacing w:line="560" w:lineRule="exact"/>
        <w:ind w:firstLine="560" w:firstLineChars="200"/>
        <w:rPr>
          <w:rFonts w:ascii="宋体" w:hAnsi="宋体"/>
          <w:sz w:val="32"/>
          <w:szCs w:val="32"/>
        </w:rPr>
      </w:pPr>
      <w:r>
        <w:rPr>
          <w:rFonts w:hint="eastAsia" w:ascii="宋体" w:hAnsi="宋体"/>
          <w:kern w:val="0"/>
          <w:sz w:val="28"/>
          <w:szCs w:val="28"/>
        </w:rPr>
        <w:t>注：产品技术指标/规格型号中带“</w:t>
      </w:r>
      <w:r>
        <w:rPr>
          <w:rFonts w:hint="eastAsia"/>
          <w:sz w:val="28"/>
        </w:rPr>
        <w:t>★</w:t>
      </w:r>
      <w:r>
        <w:rPr>
          <w:rFonts w:hint="eastAsia" w:ascii="宋体" w:hAnsi="宋体"/>
          <w:kern w:val="0"/>
          <w:sz w:val="28"/>
          <w:szCs w:val="28"/>
        </w:rPr>
        <w:t>”的为“</w:t>
      </w:r>
      <w:r>
        <w:rPr>
          <w:rFonts w:hint="eastAsia" w:ascii="宋体" w:hAnsi="宋体"/>
          <w:kern w:val="0"/>
          <w:sz w:val="28"/>
          <w:szCs w:val="28"/>
          <w:lang w:val="en-US" w:eastAsia="zh-CN"/>
        </w:rPr>
        <w:t>实质性响应指标</w:t>
      </w:r>
      <w:r>
        <w:rPr>
          <w:rFonts w:hint="eastAsia" w:ascii="宋体" w:hAnsi="宋体"/>
          <w:kern w:val="0"/>
          <w:sz w:val="28"/>
          <w:szCs w:val="28"/>
        </w:rPr>
        <w:t>”。“</w:t>
      </w:r>
      <w:r>
        <w:rPr>
          <w:rFonts w:hint="eastAsia" w:ascii="宋体" w:hAnsi="宋体"/>
          <w:kern w:val="0"/>
          <w:sz w:val="28"/>
          <w:szCs w:val="28"/>
          <w:lang w:val="en-US" w:eastAsia="zh-CN"/>
        </w:rPr>
        <w:t>实质性响应指标</w:t>
      </w:r>
      <w:r>
        <w:rPr>
          <w:rFonts w:hint="eastAsia" w:ascii="宋体" w:hAnsi="宋体"/>
          <w:kern w:val="0"/>
          <w:sz w:val="28"/>
          <w:szCs w:val="28"/>
        </w:rPr>
        <w:t>”不允许“负偏离”，否则报价无效；“非</w:t>
      </w:r>
      <w:r>
        <w:rPr>
          <w:rFonts w:hint="eastAsia" w:ascii="宋体" w:hAnsi="宋体"/>
          <w:kern w:val="0"/>
          <w:sz w:val="28"/>
          <w:szCs w:val="28"/>
          <w:lang w:val="en-US" w:eastAsia="zh-CN"/>
        </w:rPr>
        <w:t>实质性响应</w:t>
      </w:r>
      <w:r>
        <w:rPr>
          <w:rFonts w:hint="eastAsia" w:ascii="宋体" w:hAnsi="宋体"/>
          <w:kern w:val="0"/>
          <w:sz w:val="28"/>
          <w:szCs w:val="28"/>
        </w:rPr>
        <w:t>指标”允许“负偏离”，但不能超出偏离范围，否则报价无效</w:t>
      </w:r>
    </w:p>
    <w:p w14:paraId="46550A32">
      <w:pPr>
        <w:pStyle w:val="3"/>
        <w:spacing w:line="560" w:lineRule="exact"/>
        <w:rPr>
          <w:rFonts w:ascii="宋体" w:hAnsi="宋体" w:cs="宋体"/>
          <w:sz w:val="24"/>
        </w:rPr>
      </w:pPr>
      <w:bookmarkStart w:id="26" w:name="_Toc17787"/>
      <w:bookmarkStart w:id="27" w:name="_Toc60236709"/>
      <w:r>
        <w:rPr>
          <w:rFonts w:hint="eastAsia"/>
        </w:rPr>
        <w:t>二、商务要求</w:t>
      </w:r>
      <w:bookmarkEnd w:id="26"/>
      <w:bookmarkEnd w:id="27"/>
    </w:p>
    <w:p w14:paraId="0F5C9F5C">
      <w:pPr>
        <w:adjustRightInd w:val="0"/>
        <w:snapToGrid w:val="0"/>
        <w:spacing w:line="560" w:lineRule="exact"/>
        <w:ind w:firstLine="641" w:firstLineChars="228"/>
        <w:jc w:val="left"/>
        <w:rPr>
          <w:rFonts w:ascii="宋体" w:hAnsi="宋体" w:cs="宋体"/>
          <w:b/>
          <w:sz w:val="28"/>
          <w:szCs w:val="28"/>
        </w:rPr>
      </w:pPr>
      <w:r>
        <w:rPr>
          <w:rFonts w:hint="eastAsia" w:ascii="宋体" w:hAnsi="宋体" w:cs="宋体"/>
          <w:b/>
          <w:sz w:val="28"/>
          <w:szCs w:val="28"/>
        </w:rPr>
        <w:t>（一）交货期及地点</w:t>
      </w:r>
    </w:p>
    <w:p w14:paraId="761878B9">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自合同签订之日起内完成交货，确保正常运行使用。</w:t>
      </w:r>
    </w:p>
    <w:p w14:paraId="568B365B">
      <w:pPr>
        <w:adjustRightInd w:val="0"/>
        <w:snapToGrid w:val="0"/>
        <w:spacing w:line="560" w:lineRule="exact"/>
        <w:ind w:firstLine="638" w:firstLineChars="228"/>
        <w:jc w:val="left"/>
        <w:rPr>
          <w:rFonts w:hint="default" w:ascii="宋体" w:hAnsi="宋体"/>
          <w:bCs/>
          <w:sz w:val="28"/>
          <w:szCs w:val="28"/>
          <w:lang w:val="en-US"/>
        </w:rPr>
      </w:pPr>
      <w:r>
        <w:rPr>
          <w:rFonts w:hint="eastAsia" w:ascii="宋体" w:hAnsi="宋体"/>
          <w:bCs/>
          <w:sz w:val="28"/>
          <w:szCs w:val="28"/>
        </w:rPr>
        <w:t>交付地点：广东财经大学</w:t>
      </w:r>
      <w:r>
        <w:rPr>
          <w:rFonts w:hint="eastAsia" w:ascii="宋体" w:hAnsi="宋体"/>
          <w:bCs/>
          <w:sz w:val="28"/>
          <w:szCs w:val="28"/>
          <w:lang w:val="en-US" w:eastAsia="zh-CN"/>
        </w:rPr>
        <w:t>广州</w:t>
      </w:r>
      <w:r>
        <w:rPr>
          <w:rFonts w:hint="eastAsia" w:ascii="宋体" w:hAnsi="宋体"/>
          <w:bCs/>
          <w:sz w:val="28"/>
          <w:szCs w:val="28"/>
        </w:rPr>
        <w:t>校区</w:t>
      </w:r>
      <w:r>
        <w:rPr>
          <w:rFonts w:hint="eastAsia" w:ascii="宋体" w:hAnsi="宋体"/>
          <w:bCs/>
          <w:sz w:val="28"/>
          <w:szCs w:val="28"/>
          <w:lang w:val="en-US" w:eastAsia="zh-CN"/>
        </w:rPr>
        <w:t>田径场、佛山校区中心花园。</w:t>
      </w:r>
    </w:p>
    <w:p w14:paraId="22670A5B">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(二)安装、调试与</w:t>
      </w:r>
      <w:r>
        <w:rPr>
          <w:rFonts w:hint="eastAsia" w:ascii="宋体" w:hAnsi="宋体" w:cs="宋体"/>
          <w:b/>
          <w:sz w:val="28"/>
          <w:szCs w:val="28"/>
        </w:rPr>
        <w:t>培训</w:t>
      </w:r>
      <w:r>
        <w:rPr>
          <w:rFonts w:hint="eastAsia" w:ascii="宋体" w:hAnsi="宋体"/>
          <w:b/>
          <w:sz w:val="28"/>
          <w:szCs w:val="28"/>
        </w:rPr>
        <w:t>要求</w:t>
      </w:r>
    </w:p>
    <w:p w14:paraId="5F33DB79">
      <w:pPr>
        <w:adjustRightInd w:val="0"/>
        <w:snapToGrid w:val="0"/>
        <w:spacing w:line="560" w:lineRule="exact"/>
        <w:ind w:firstLine="638" w:firstLineChars="228"/>
        <w:rPr>
          <w:rFonts w:ascii="宋体" w:hAnsi="宋体" w:cs="宋体"/>
          <w:sz w:val="28"/>
          <w:szCs w:val="28"/>
        </w:rPr>
      </w:pPr>
      <w:r>
        <w:rPr>
          <w:rFonts w:hint="eastAsia" w:ascii="宋体" w:hAnsi="宋体"/>
          <w:sz w:val="28"/>
          <w:szCs w:val="28"/>
        </w:rPr>
        <w:t>本项目采购内容包括安装、调试和培训，于广东财经大学完成</w:t>
      </w:r>
      <w:r>
        <w:rPr>
          <w:rFonts w:hint="eastAsia" w:ascii="宋体" w:hAnsi="宋体" w:cs="宋体"/>
          <w:sz w:val="28"/>
          <w:szCs w:val="28"/>
        </w:rPr>
        <w:t>。</w:t>
      </w:r>
    </w:p>
    <w:p w14:paraId="30DFB945">
      <w:pPr>
        <w:numPr>
          <w:ilvl w:val="0"/>
          <w:numId w:val="6"/>
        </w:num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项目质量与验收标准</w:t>
      </w:r>
    </w:p>
    <w:p w14:paraId="32E0DE5D">
      <w:pPr>
        <w:adjustRightInd w:val="0"/>
        <w:snapToGrid w:val="0"/>
        <w:spacing w:line="560" w:lineRule="exact"/>
        <w:ind w:firstLine="638" w:firstLineChars="228"/>
        <w:jc w:val="left"/>
        <w:rPr>
          <w:rFonts w:ascii="宋体" w:hAnsi="宋体"/>
          <w:b/>
          <w:sz w:val="28"/>
          <w:szCs w:val="28"/>
        </w:rPr>
      </w:pPr>
      <w:r>
        <w:rPr>
          <w:rFonts w:hint="eastAsia" w:ascii="宋体" w:hAnsi="宋体"/>
          <w:sz w:val="28"/>
          <w:szCs w:val="28"/>
        </w:rPr>
        <w:t>合同项目履约完毕，成交人应当及时向项目承办单位提供验收方案申请项目验收，验收合格后签署验收报告。验收报告的签署不能免除成交人在质量保证期内对合同项目应当承担的保证责任。</w:t>
      </w:r>
    </w:p>
    <w:p w14:paraId="7100B12C">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（四）质保期</w:t>
      </w:r>
    </w:p>
    <w:p w14:paraId="0529FE90">
      <w:pPr>
        <w:adjustRightInd w:val="0"/>
        <w:snapToGrid w:val="0"/>
        <w:spacing w:line="560" w:lineRule="exact"/>
        <w:ind w:firstLine="638" w:firstLineChars="228"/>
        <w:rPr>
          <w:rFonts w:ascii="宋体" w:hAnsi="宋体" w:cs="宋体"/>
          <w:sz w:val="28"/>
          <w:szCs w:val="28"/>
        </w:rPr>
      </w:pPr>
      <w:r>
        <w:rPr>
          <w:rFonts w:hint="eastAsia" w:ascii="宋体" w:hAnsi="宋体"/>
          <w:sz w:val="28"/>
          <w:szCs w:val="28"/>
        </w:rPr>
        <w:t>质保期自安装验收合格之日起</w:t>
      </w:r>
      <w:r>
        <w:rPr>
          <w:rFonts w:hint="eastAsia" w:ascii="宋体" w:hAnsi="宋体"/>
          <w:sz w:val="28"/>
          <w:szCs w:val="28"/>
          <w:lang w:eastAsia="zh-CN"/>
        </w:rPr>
        <w:t>至活动结束生效。</w:t>
      </w:r>
    </w:p>
    <w:p w14:paraId="259C3CCE">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（五）售后服务要求</w:t>
      </w:r>
    </w:p>
    <w:p w14:paraId="20ED6AD8">
      <w:pPr>
        <w:adjustRightInd w:val="0"/>
        <w:snapToGrid w:val="0"/>
        <w:spacing w:line="560" w:lineRule="exact"/>
        <w:ind w:firstLine="638" w:firstLineChars="228"/>
        <w:rPr>
          <w:rFonts w:ascii="宋体" w:hAnsi="宋体"/>
          <w:b/>
          <w:bCs/>
          <w:kern w:val="0"/>
          <w:sz w:val="28"/>
          <w:szCs w:val="28"/>
        </w:rPr>
      </w:pPr>
      <w:r>
        <w:rPr>
          <w:rFonts w:hint="eastAsia" w:ascii="宋体" w:hAnsi="宋体"/>
          <w:sz w:val="28"/>
          <w:szCs w:val="28"/>
        </w:rPr>
        <w:t>服务响应速度在</w:t>
      </w:r>
      <w:r>
        <w:rPr>
          <w:rFonts w:hint="eastAsia" w:ascii="宋体" w:hAnsi="宋体"/>
          <w:sz w:val="28"/>
          <w:szCs w:val="28"/>
          <w:lang w:val="en-US" w:eastAsia="zh-CN"/>
        </w:rPr>
        <w:t>2小时</w:t>
      </w:r>
      <w:r>
        <w:rPr>
          <w:rFonts w:hint="eastAsia" w:ascii="宋体" w:hAnsi="宋体"/>
          <w:sz w:val="28"/>
          <w:szCs w:val="28"/>
        </w:rPr>
        <w:t>之内,并在内解决故障。</w:t>
      </w:r>
    </w:p>
    <w:p w14:paraId="2635AF52">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（六）结算与付款方式</w:t>
      </w:r>
    </w:p>
    <w:p w14:paraId="3FB9F288">
      <w:pPr>
        <w:spacing w:line="560" w:lineRule="exact"/>
        <w:ind w:firstLine="638" w:firstLineChars="228"/>
        <w:rPr>
          <w:rFonts w:ascii="宋体" w:hAnsi="宋体"/>
          <w:sz w:val="28"/>
          <w:szCs w:val="28"/>
        </w:rPr>
      </w:pPr>
      <w:r>
        <w:rPr>
          <w:rFonts w:hint="eastAsia" w:ascii="宋体" w:hAnsi="宋体"/>
          <w:sz w:val="28"/>
          <w:szCs w:val="28"/>
        </w:rPr>
        <w:t>该项目验收合格后，将合同款100%转账支付给成交人。</w:t>
      </w:r>
    </w:p>
    <w:p w14:paraId="333FB952">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（七）违约处罚</w:t>
      </w:r>
    </w:p>
    <w:p w14:paraId="539C1480">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1、成交人的违约责任：</w:t>
      </w:r>
    </w:p>
    <w:p w14:paraId="2075FA78">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逾期交付使用的，从逾期之日起每日按合同总价3‰的数额向采购单位支付违约金；逾期15日以上的，采购单位有权终止合同，由此造成的采购单位经济损失由成交人承担。成交人支付合同金额30%的违约金。</w:t>
      </w:r>
    </w:p>
    <w:p w14:paraId="1F6607CB">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(2)成交人</w:t>
      </w:r>
      <w:r>
        <w:rPr>
          <w:rFonts w:ascii="宋体" w:hAnsi="宋体"/>
          <w:sz w:val="28"/>
          <w:szCs w:val="28"/>
        </w:rPr>
        <w:t>交付</w:t>
      </w:r>
      <w:r>
        <w:rPr>
          <w:rFonts w:hint="eastAsia" w:ascii="宋体" w:hAnsi="宋体"/>
          <w:sz w:val="28"/>
          <w:szCs w:val="28"/>
        </w:rPr>
        <w:t>使用</w:t>
      </w:r>
      <w:r>
        <w:rPr>
          <w:rFonts w:ascii="宋体" w:hAnsi="宋体"/>
          <w:sz w:val="28"/>
          <w:szCs w:val="28"/>
        </w:rPr>
        <w:t>的服务不符合</w:t>
      </w:r>
      <w:r>
        <w:rPr>
          <w:rFonts w:hint="eastAsia" w:ascii="宋体" w:hAnsi="宋体"/>
          <w:sz w:val="28"/>
          <w:szCs w:val="28"/>
        </w:rPr>
        <w:t>采购书</w:t>
      </w:r>
      <w:r>
        <w:rPr>
          <w:rFonts w:ascii="宋体" w:hAnsi="宋体"/>
          <w:sz w:val="28"/>
          <w:szCs w:val="28"/>
        </w:rPr>
        <w:t>、</w:t>
      </w:r>
      <w:r>
        <w:rPr>
          <w:rFonts w:hint="eastAsia" w:ascii="宋体" w:hAnsi="宋体"/>
          <w:sz w:val="28"/>
          <w:szCs w:val="28"/>
        </w:rPr>
        <w:t>报价文件</w:t>
      </w:r>
      <w:r>
        <w:rPr>
          <w:rFonts w:ascii="宋体" w:hAnsi="宋体"/>
          <w:sz w:val="28"/>
          <w:szCs w:val="28"/>
        </w:rPr>
        <w:t>或合同规定的，</w:t>
      </w:r>
      <w:r>
        <w:rPr>
          <w:rFonts w:hint="eastAsia" w:ascii="宋体" w:hAnsi="宋体"/>
          <w:sz w:val="28"/>
          <w:szCs w:val="28"/>
        </w:rPr>
        <w:t>采购单位</w:t>
      </w:r>
      <w:r>
        <w:rPr>
          <w:rFonts w:ascii="宋体" w:hAnsi="宋体"/>
          <w:sz w:val="28"/>
          <w:szCs w:val="28"/>
        </w:rPr>
        <w:t>有权拒收，并且</w:t>
      </w:r>
      <w:r>
        <w:rPr>
          <w:rFonts w:hint="eastAsia" w:ascii="宋体" w:hAnsi="宋体"/>
          <w:sz w:val="28"/>
          <w:szCs w:val="28"/>
        </w:rPr>
        <w:t>成交</w:t>
      </w:r>
      <w:r>
        <w:rPr>
          <w:rFonts w:ascii="宋体" w:hAnsi="宋体"/>
          <w:sz w:val="28"/>
          <w:szCs w:val="28"/>
        </w:rPr>
        <w:t>人须向</w:t>
      </w:r>
      <w:r>
        <w:rPr>
          <w:rFonts w:hint="eastAsia" w:ascii="宋体" w:hAnsi="宋体"/>
          <w:sz w:val="28"/>
          <w:szCs w:val="28"/>
        </w:rPr>
        <w:t>采购单位</w:t>
      </w:r>
      <w:r>
        <w:rPr>
          <w:rFonts w:ascii="宋体" w:hAnsi="宋体"/>
          <w:sz w:val="28"/>
          <w:szCs w:val="28"/>
        </w:rPr>
        <w:t>支付合同总价5%的违约金。</w:t>
      </w:r>
    </w:p>
    <w:p w14:paraId="0AAF7A41">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(3)其它违约责任按《中华人民共和国民法典》处理。</w:t>
      </w:r>
    </w:p>
    <w:p w14:paraId="66439D00">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2、采购单位的违约责任：</w:t>
      </w:r>
    </w:p>
    <w:p w14:paraId="6E95D68A">
      <w:pPr>
        <w:adjustRightInd w:val="0"/>
        <w:snapToGrid w:val="0"/>
        <w:spacing w:line="560" w:lineRule="exact"/>
        <w:ind w:firstLine="638" w:firstLineChars="228"/>
        <w:rPr>
          <w:rFonts w:ascii="宋体" w:hAnsi="宋体"/>
          <w:sz w:val="28"/>
          <w:szCs w:val="28"/>
        </w:rPr>
      </w:pPr>
      <w:r>
        <w:rPr>
          <w:rFonts w:hint="eastAsia" w:ascii="宋体" w:hAnsi="宋体"/>
          <w:sz w:val="28"/>
          <w:szCs w:val="28"/>
        </w:rPr>
        <w:t>(1)采购单位逾期付款的，应按照每日合同总价的3‰的比例向</w:t>
      </w:r>
      <w:r>
        <w:rPr>
          <w:rFonts w:hint="eastAsia" w:ascii="宋体" w:hAnsi="宋体"/>
          <w:sz w:val="28"/>
          <w:szCs w:val="28"/>
          <w:lang w:eastAsia="zh-CN"/>
        </w:rPr>
        <w:t>成交人</w:t>
      </w:r>
      <w:r>
        <w:rPr>
          <w:rFonts w:hint="eastAsia" w:ascii="宋体" w:hAnsi="宋体"/>
          <w:sz w:val="28"/>
          <w:szCs w:val="28"/>
        </w:rPr>
        <w:t>偿付逾期付款的违约金；</w:t>
      </w:r>
    </w:p>
    <w:p w14:paraId="29AD8B60">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(2)采购单位违反合同规定拒绝接受服务的，应当承担由此对</w:t>
      </w:r>
      <w:r>
        <w:rPr>
          <w:rFonts w:hint="eastAsia" w:ascii="宋体" w:hAnsi="宋体"/>
          <w:sz w:val="28"/>
          <w:szCs w:val="28"/>
          <w:lang w:eastAsia="zh-CN"/>
        </w:rPr>
        <w:t>成交人</w:t>
      </w:r>
      <w:r>
        <w:rPr>
          <w:rFonts w:hint="eastAsia" w:ascii="宋体" w:hAnsi="宋体"/>
          <w:sz w:val="28"/>
          <w:szCs w:val="28"/>
        </w:rPr>
        <w:t>造成的损失。</w:t>
      </w:r>
    </w:p>
    <w:p w14:paraId="200D9446">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（八）其他要求</w:t>
      </w:r>
    </w:p>
    <w:p w14:paraId="3BDACE21">
      <w:pPr>
        <w:spacing w:line="560" w:lineRule="exact"/>
        <w:ind w:firstLine="638" w:firstLineChars="228"/>
        <w:rPr>
          <w:rFonts w:ascii="宋体" w:hAnsi="宋体"/>
          <w:sz w:val="28"/>
          <w:szCs w:val="28"/>
        </w:rPr>
      </w:pPr>
      <w:r>
        <w:rPr>
          <w:rFonts w:hint="eastAsia" w:ascii="宋体" w:hAnsi="宋体"/>
          <w:sz w:val="28"/>
          <w:szCs w:val="28"/>
        </w:rPr>
        <w:t>有关“知识产权、专利权、软件著作权”等特别要求：</w:t>
      </w:r>
    </w:p>
    <w:p w14:paraId="6EBA5A35">
      <w:pPr>
        <w:numPr>
          <w:ilvl w:val="0"/>
          <w:numId w:val="7"/>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采购方在履行合同过程中提供给成交人使用保管的全部图纸、文件和其他含有数据和信息的资料，其知识产权属于采购方。</w:t>
      </w:r>
    </w:p>
    <w:p w14:paraId="178DE0B5">
      <w:pPr>
        <w:numPr>
          <w:ilvl w:val="0"/>
          <w:numId w:val="7"/>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成交人提供的合同项目涉及知识产权、专利权、软件著作权的，则成交人在合同签订前应当提供产品原生产厂家针对本项目的签字盖章的授权销售及质保承诺书原件，并保证采购方在使用过程中免受第三方提出的有关知识产权、专利权、软件著作权等侵权的主张、索赔或诉讼的伤害，否则采购方有权拒签合同并取消成交人资格。</w:t>
      </w:r>
    </w:p>
    <w:p w14:paraId="15457CA3">
      <w:pPr>
        <w:numPr>
          <w:ilvl w:val="0"/>
          <w:numId w:val="7"/>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如果采购方收到任何第三方有关知识产权、专利权、软件著作权等的主张、索赔或诉讼，成交人在收到采购方通知后，应当自负费用处理与第三方的索赔或诉讼，并赔偿采购方因此发生的费用和遭受的损失。</w:t>
      </w:r>
    </w:p>
    <w:p w14:paraId="106D2028">
      <w:pPr>
        <w:spacing w:line="560" w:lineRule="exact"/>
        <w:ind w:firstLine="641" w:firstLineChars="228"/>
        <w:rPr>
          <w:rFonts w:ascii="宋体" w:hAnsi="宋体"/>
          <w:sz w:val="28"/>
          <w:szCs w:val="28"/>
        </w:rPr>
      </w:pPr>
      <w:r>
        <w:rPr>
          <w:rFonts w:hint="eastAsia" w:ascii="宋体" w:hAnsi="宋体"/>
          <w:b/>
          <w:bCs/>
          <w:sz w:val="28"/>
          <w:szCs w:val="28"/>
        </w:rPr>
        <w:t>（九）争议解决</w:t>
      </w:r>
      <w:r>
        <w:rPr>
          <w:rFonts w:hint="eastAsia" w:ascii="宋体" w:hAnsi="宋体"/>
          <w:sz w:val="28"/>
          <w:szCs w:val="28"/>
        </w:rPr>
        <w:t>：双方因合同发生争议，应在采购方的主持下进行调解，协商不成，可按合同约定向人民法院起诉。</w:t>
      </w:r>
    </w:p>
    <w:p w14:paraId="478D72E5">
      <w:pPr>
        <w:spacing w:line="400" w:lineRule="exact"/>
        <w:ind w:firstLine="420" w:firstLineChars="200"/>
        <w:rPr>
          <w:rFonts w:ascii="宋体" w:hAnsi="宋体"/>
          <w:sz w:val="28"/>
          <w:szCs w:val="28"/>
        </w:rPr>
      </w:pPr>
      <w:bookmarkStart w:id="28" w:name="_Toc13543213"/>
      <w:bookmarkStart w:id="29" w:name="_Toc60236710"/>
      <w:r>
        <w:rPr>
          <w:rFonts w:hint="eastAsia"/>
        </w:rPr>
        <w:br w:type="page"/>
      </w:r>
      <w:bookmarkEnd w:id="28"/>
      <w:bookmarkEnd w:id="29"/>
    </w:p>
    <w:p w14:paraId="227A28FF">
      <w:pPr>
        <w:pStyle w:val="2"/>
      </w:pPr>
      <w:bookmarkStart w:id="30" w:name="_Toc14310"/>
      <w:r>
        <w:rPr>
          <w:rFonts w:hint="eastAsia"/>
        </w:rPr>
        <w:t>第三部分  报价文件格式</w:t>
      </w:r>
      <w:bookmarkEnd w:id="30"/>
    </w:p>
    <w:p w14:paraId="09A202ED">
      <w:pPr>
        <w:jc w:val="center"/>
        <w:rPr>
          <w:color w:val="000000"/>
          <w:sz w:val="18"/>
          <w:szCs w:val="18"/>
        </w:rPr>
      </w:pPr>
      <w:r>
        <w:rPr>
          <w:rFonts w:hint="eastAsia"/>
          <w:b/>
          <w:color w:val="000000"/>
          <w:sz w:val="28"/>
          <w:szCs w:val="28"/>
        </w:rPr>
        <w:t>校内分散采购报价文件封面</w:t>
      </w:r>
    </w:p>
    <w:p w14:paraId="552282D1">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14:paraId="2FF8CC19">
      <w:pPr>
        <w:jc w:val="center"/>
      </w:pPr>
    </w:p>
    <w:p w14:paraId="04A389F1"/>
    <w:p w14:paraId="2FCB0F64"/>
    <w:p w14:paraId="34E29B2B"/>
    <w:p w14:paraId="3D35E79F">
      <w:pPr>
        <w:ind w:left="425"/>
        <w:jc w:val="center"/>
        <w:rPr>
          <w:rFonts w:eastAsia="黑体"/>
          <w:b/>
          <w:sz w:val="72"/>
          <w:szCs w:val="56"/>
        </w:rPr>
      </w:pPr>
      <w:r>
        <w:rPr>
          <w:rFonts w:hint="eastAsia" w:eastAsia="黑体"/>
          <w:b/>
          <w:sz w:val="72"/>
          <w:szCs w:val="56"/>
        </w:rPr>
        <w:t>校内分散采购报价文件</w:t>
      </w:r>
    </w:p>
    <w:p w14:paraId="3E336E92">
      <w:pPr>
        <w:pStyle w:val="14"/>
        <w:rPr>
          <w:rFonts w:ascii="Calibri" w:hAnsi="Calibri"/>
          <w:b/>
          <w:sz w:val="32"/>
          <w:szCs w:val="32"/>
        </w:rPr>
      </w:pPr>
    </w:p>
    <w:p w14:paraId="2C57B4AF">
      <w:pPr>
        <w:pStyle w:val="14"/>
        <w:ind w:firstLine="1084" w:firstLineChars="300"/>
        <w:rPr>
          <w:rFonts w:ascii="楷体_GB2312" w:hAnsi="楷体" w:eastAsia="楷体_GB2312"/>
          <w:sz w:val="32"/>
        </w:rPr>
      </w:pPr>
      <w:r>
        <w:rPr>
          <w:rFonts w:hint="eastAsia" w:ascii="楷体_GB2312" w:hAnsi="楷体" w:eastAsia="楷体_GB2312"/>
          <w:b/>
          <w:bCs/>
          <w:sz w:val="36"/>
        </w:rPr>
        <w:t>项目名称:</w:t>
      </w:r>
    </w:p>
    <w:p w14:paraId="16119387">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报价人名称：</w:t>
      </w:r>
    </w:p>
    <w:p w14:paraId="6A986E91">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报价人地址：</w:t>
      </w:r>
    </w:p>
    <w:p w14:paraId="408C904F">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法人/委托代理人</w:t>
      </w:r>
    </w:p>
    <w:p w14:paraId="04887819">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（签字或加盖私章）：</w:t>
      </w:r>
    </w:p>
    <w:p w14:paraId="389FC6FA">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p>
    <w:p w14:paraId="35F9FDCC">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联系邮箱： </w:t>
      </w:r>
    </w:p>
    <w:p w14:paraId="3291454A">
      <w:pPr>
        <w:spacing w:line="600" w:lineRule="exact"/>
        <w:ind w:firstLine="1442" w:firstLineChars="399"/>
        <w:rPr>
          <w:rFonts w:ascii="楷体_GB2312" w:hAnsi="楷体" w:eastAsia="楷体_GB2312"/>
          <w:b/>
          <w:bCs/>
          <w:sz w:val="36"/>
          <w:u w:val="single"/>
        </w:rPr>
      </w:pPr>
    </w:p>
    <w:p w14:paraId="0840CA43">
      <w:pPr>
        <w:spacing w:line="400" w:lineRule="exact"/>
        <w:ind w:firstLine="961" w:firstLineChars="399"/>
        <w:rPr>
          <w:rFonts w:ascii="楷体_GB2312" w:hAnsi="楷体" w:eastAsia="楷体_GB2312"/>
          <w:b/>
          <w:bCs/>
          <w:sz w:val="24"/>
          <w:u w:val="single"/>
        </w:rPr>
      </w:pPr>
    </w:p>
    <w:p w14:paraId="6FDB6766">
      <w:pPr>
        <w:spacing w:line="600" w:lineRule="exact"/>
        <w:jc w:val="center"/>
        <w:rPr>
          <w:rFonts w:ascii="楷体_GB2312" w:hAnsi="楷体" w:eastAsia="楷体_GB2312"/>
          <w:b/>
          <w:bCs/>
          <w:sz w:val="32"/>
        </w:rPr>
      </w:pPr>
      <w:r>
        <w:rPr>
          <w:rFonts w:hint="eastAsia" w:ascii="楷体_GB2312" w:hAnsi="楷体" w:eastAsia="楷体_GB2312"/>
          <w:b/>
          <w:bCs/>
          <w:sz w:val="32"/>
        </w:rPr>
        <w:t>报价人单位（盖章）</w:t>
      </w:r>
    </w:p>
    <w:p w14:paraId="4F6D008A">
      <w:pPr>
        <w:jc w:val="center"/>
        <w:rPr>
          <w:b/>
          <w:sz w:val="36"/>
          <w:szCs w:val="36"/>
        </w:rPr>
      </w:pPr>
    </w:p>
    <w:p w14:paraId="23F713AA">
      <w:pPr>
        <w:spacing w:line="400" w:lineRule="exact"/>
        <w:rPr>
          <w:rFonts w:ascii="宋体" w:hAnsi="宋体"/>
          <w:bCs/>
          <w:sz w:val="28"/>
          <w:szCs w:val="28"/>
        </w:rPr>
      </w:pPr>
    </w:p>
    <w:p w14:paraId="540E34B3">
      <w:pPr>
        <w:rPr>
          <w:rFonts w:ascii="宋体" w:hAnsi="宋体" w:cs="宋体"/>
          <w:b/>
          <w:bCs/>
          <w:spacing w:val="30"/>
          <w:sz w:val="44"/>
          <w:szCs w:val="44"/>
        </w:rPr>
      </w:pPr>
      <w:r>
        <w:rPr>
          <w:rFonts w:hint="eastAsia" w:ascii="宋体" w:hAnsi="宋体" w:cs="宋体"/>
          <w:b/>
          <w:bCs/>
          <w:spacing w:val="30"/>
          <w:sz w:val="44"/>
          <w:szCs w:val="44"/>
        </w:rPr>
        <w:br w:type="page"/>
      </w:r>
    </w:p>
    <w:p w14:paraId="51CFFE3E">
      <w:pPr>
        <w:jc w:val="center"/>
        <w:rPr>
          <w:b/>
          <w:sz w:val="44"/>
          <w:szCs w:val="44"/>
        </w:rPr>
      </w:pPr>
      <w:r>
        <w:rPr>
          <w:rFonts w:hint="eastAsia"/>
          <w:sz w:val="44"/>
          <w:szCs w:val="44"/>
        </w:rPr>
        <w:t>目录</w:t>
      </w:r>
    </w:p>
    <w:p w14:paraId="2B1E6DED">
      <w:pPr>
        <w:jc w:val="left"/>
        <w:rPr>
          <w:rFonts w:ascii="宋体" w:hAnsi="宋体"/>
          <w:sz w:val="28"/>
          <w:szCs w:val="28"/>
        </w:rPr>
      </w:pPr>
    </w:p>
    <w:p w14:paraId="477AE043">
      <w:pPr>
        <w:numPr>
          <w:ilvl w:val="0"/>
          <w:numId w:val="8"/>
        </w:numPr>
        <w:jc w:val="left"/>
        <w:rPr>
          <w:rFonts w:ascii="宋体" w:hAnsi="宋体" w:cs="宋体"/>
          <w:b/>
          <w:bCs/>
          <w:spacing w:val="30"/>
          <w:sz w:val="28"/>
          <w:szCs w:val="28"/>
        </w:rPr>
      </w:pPr>
      <w:r>
        <w:rPr>
          <w:rFonts w:hint="eastAsia" w:ascii="宋体" w:hAnsi="宋体" w:cs="宋体"/>
          <w:b/>
          <w:bCs/>
          <w:spacing w:val="30"/>
          <w:sz w:val="28"/>
          <w:szCs w:val="28"/>
        </w:rPr>
        <w:t>营业执照（或事业法人登记证等相关证明）副本复印件</w:t>
      </w:r>
    </w:p>
    <w:p w14:paraId="5E44C664">
      <w:pPr>
        <w:jc w:val="left"/>
        <w:rPr>
          <w:rFonts w:ascii="宋体" w:hAnsi="宋体" w:cs="宋体"/>
          <w:b/>
          <w:bCs/>
          <w:spacing w:val="30"/>
          <w:sz w:val="28"/>
          <w:szCs w:val="28"/>
        </w:rPr>
      </w:pPr>
      <w:r>
        <w:rPr>
          <w:rFonts w:hint="eastAsia" w:ascii="宋体" w:hAnsi="宋体" w:cs="宋体"/>
          <w:b/>
          <w:bCs/>
          <w:spacing w:val="30"/>
          <w:sz w:val="28"/>
          <w:szCs w:val="28"/>
        </w:rPr>
        <w:t xml:space="preserve">                                       XX页</w:t>
      </w:r>
    </w:p>
    <w:p w14:paraId="54FB21DB">
      <w:pPr>
        <w:numPr>
          <w:ilvl w:val="0"/>
          <w:numId w:val="8"/>
        </w:numPr>
        <w:jc w:val="left"/>
        <w:rPr>
          <w:rFonts w:ascii="宋体" w:hAnsi="宋体" w:cs="宋体"/>
          <w:b/>
          <w:bCs/>
          <w:spacing w:val="30"/>
          <w:sz w:val="28"/>
          <w:szCs w:val="28"/>
        </w:rPr>
      </w:pPr>
      <w:r>
        <w:rPr>
          <w:rFonts w:ascii="宋体" w:hAnsi="宋体" w:cs="宋体"/>
          <w:b/>
          <w:bCs/>
          <w:spacing w:val="30"/>
          <w:sz w:val="28"/>
          <w:szCs w:val="28"/>
        </w:rPr>
        <w:t>法人</w:t>
      </w:r>
      <w:r>
        <w:rPr>
          <w:rFonts w:hint="eastAsia" w:ascii="宋体" w:hAnsi="宋体" w:cs="宋体"/>
          <w:b/>
          <w:bCs/>
          <w:spacing w:val="30"/>
          <w:sz w:val="28"/>
          <w:szCs w:val="28"/>
        </w:rPr>
        <w:t>或负责人</w:t>
      </w:r>
      <w:r>
        <w:rPr>
          <w:rFonts w:ascii="宋体" w:hAnsi="宋体" w:cs="宋体"/>
          <w:b/>
          <w:bCs/>
          <w:spacing w:val="30"/>
          <w:sz w:val="28"/>
          <w:szCs w:val="28"/>
        </w:rPr>
        <w:t>资格证明</w:t>
      </w:r>
      <w:r>
        <w:rPr>
          <w:rFonts w:hint="eastAsia" w:ascii="宋体" w:hAnsi="宋体" w:cs="宋体"/>
          <w:b/>
          <w:bCs/>
          <w:spacing w:val="30"/>
          <w:sz w:val="28"/>
          <w:szCs w:val="28"/>
        </w:rPr>
        <w:t xml:space="preserve">               </w:t>
      </w:r>
      <w:r>
        <w:rPr>
          <w:rFonts w:hint="eastAsia" w:ascii="宋体" w:hAnsi="宋体" w:cs="宋体"/>
          <w:b/>
          <w:bCs/>
          <w:spacing w:val="30"/>
          <w:sz w:val="28"/>
          <w:szCs w:val="28"/>
          <w:lang w:val="en-US" w:eastAsia="zh-CN"/>
        </w:rPr>
        <w:t xml:space="preserve">   </w:t>
      </w:r>
      <w:r>
        <w:rPr>
          <w:rFonts w:hint="eastAsia" w:ascii="宋体" w:hAnsi="宋体" w:cs="宋体"/>
          <w:b/>
          <w:bCs/>
          <w:spacing w:val="30"/>
          <w:sz w:val="28"/>
          <w:szCs w:val="28"/>
        </w:rPr>
        <w:t xml:space="preserve"> XX页</w:t>
      </w:r>
    </w:p>
    <w:p w14:paraId="5F6D0BCC">
      <w:pPr>
        <w:numPr>
          <w:ilvl w:val="0"/>
          <w:numId w:val="8"/>
        </w:numPr>
        <w:jc w:val="left"/>
        <w:rPr>
          <w:rFonts w:ascii="宋体" w:hAnsi="宋体" w:cs="宋体"/>
          <w:b/>
          <w:bCs/>
          <w:spacing w:val="30"/>
          <w:sz w:val="28"/>
          <w:szCs w:val="28"/>
        </w:rPr>
      </w:pPr>
      <w:r>
        <w:rPr>
          <w:rFonts w:ascii="宋体" w:hAnsi="宋体" w:cs="宋体"/>
          <w:b/>
          <w:bCs/>
          <w:spacing w:val="30"/>
          <w:sz w:val="28"/>
          <w:szCs w:val="28"/>
        </w:rPr>
        <w:t>授权委托书</w:t>
      </w:r>
      <w:r>
        <w:rPr>
          <w:rFonts w:hint="eastAsia" w:ascii="宋体" w:hAnsi="宋体" w:cs="宋体"/>
          <w:b/>
          <w:bCs/>
          <w:spacing w:val="30"/>
          <w:sz w:val="28"/>
          <w:szCs w:val="28"/>
        </w:rPr>
        <w:t xml:space="preserve">                            XX页</w:t>
      </w:r>
    </w:p>
    <w:p w14:paraId="7D4BF3FF">
      <w:pPr>
        <w:numPr>
          <w:ilvl w:val="0"/>
          <w:numId w:val="8"/>
        </w:numPr>
        <w:jc w:val="left"/>
        <w:rPr>
          <w:rFonts w:ascii="宋体" w:hAnsi="宋体" w:cs="宋体"/>
          <w:b/>
          <w:bCs/>
          <w:spacing w:val="30"/>
          <w:sz w:val="28"/>
          <w:szCs w:val="28"/>
        </w:rPr>
      </w:pPr>
      <w:r>
        <w:rPr>
          <w:rFonts w:hint="eastAsia" w:ascii="宋体" w:hAnsi="宋体" w:cs="宋体"/>
          <w:b/>
          <w:bCs/>
          <w:spacing w:val="30"/>
          <w:sz w:val="28"/>
          <w:szCs w:val="28"/>
        </w:rPr>
        <w:t>报价一览表                            XX页</w:t>
      </w:r>
    </w:p>
    <w:p w14:paraId="1D9B6B11">
      <w:pPr>
        <w:numPr>
          <w:ilvl w:val="0"/>
          <w:numId w:val="8"/>
        </w:numPr>
        <w:jc w:val="left"/>
        <w:rPr>
          <w:rFonts w:ascii="宋体" w:hAnsi="宋体" w:cs="宋体"/>
          <w:b/>
          <w:bCs/>
          <w:spacing w:val="30"/>
          <w:sz w:val="28"/>
          <w:szCs w:val="28"/>
        </w:rPr>
      </w:pPr>
      <w:r>
        <w:rPr>
          <w:rFonts w:hint="eastAsia" w:ascii="宋体" w:hAnsi="宋体" w:cs="宋体"/>
          <w:b/>
          <w:bCs/>
          <w:spacing w:val="30"/>
          <w:sz w:val="28"/>
          <w:szCs w:val="28"/>
        </w:rPr>
        <w:t>报价明细表                            XX页</w:t>
      </w:r>
    </w:p>
    <w:p w14:paraId="70498D5C">
      <w:pPr>
        <w:numPr>
          <w:ilvl w:val="0"/>
          <w:numId w:val="8"/>
        </w:numPr>
        <w:jc w:val="left"/>
        <w:rPr>
          <w:rFonts w:ascii="宋体" w:hAnsi="宋体" w:cs="宋体"/>
          <w:b/>
          <w:bCs/>
          <w:spacing w:val="30"/>
          <w:sz w:val="28"/>
          <w:szCs w:val="28"/>
        </w:rPr>
      </w:pPr>
      <w:r>
        <w:rPr>
          <w:rFonts w:hint="eastAsia" w:ascii="宋体" w:hAnsi="宋体" w:cs="宋体"/>
          <w:b/>
          <w:bCs/>
          <w:spacing w:val="30"/>
          <w:sz w:val="28"/>
          <w:szCs w:val="28"/>
        </w:rPr>
        <w:t>技术（服务）条款响应表                  XX页</w:t>
      </w:r>
    </w:p>
    <w:p w14:paraId="0C38A2F4">
      <w:pPr>
        <w:numPr>
          <w:ilvl w:val="0"/>
          <w:numId w:val="8"/>
        </w:numPr>
        <w:jc w:val="left"/>
        <w:rPr>
          <w:rFonts w:ascii="宋体" w:hAnsi="宋体" w:cs="宋体"/>
          <w:b/>
          <w:bCs/>
          <w:spacing w:val="30"/>
          <w:sz w:val="28"/>
          <w:szCs w:val="28"/>
        </w:rPr>
      </w:pPr>
      <w:r>
        <w:rPr>
          <w:rFonts w:hint="eastAsia" w:ascii="宋体" w:hAnsi="宋体" w:cs="宋体"/>
          <w:b/>
          <w:bCs/>
          <w:spacing w:val="30"/>
          <w:sz w:val="28"/>
          <w:szCs w:val="28"/>
        </w:rPr>
        <w:t>商务条款响应表                         XX页</w:t>
      </w:r>
    </w:p>
    <w:p w14:paraId="2298E0C9">
      <w:pPr>
        <w:numPr>
          <w:ilvl w:val="0"/>
          <w:numId w:val="8"/>
        </w:numPr>
        <w:jc w:val="left"/>
        <w:rPr>
          <w:rFonts w:ascii="宋体" w:hAnsi="宋体" w:cs="宋体"/>
          <w:b/>
          <w:bCs/>
          <w:spacing w:val="30"/>
          <w:sz w:val="28"/>
          <w:szCs w:val="28"/>
        </w:rPr>
      </w:pPr>
      <w:r>
        <w:rPr>
          <w:rFonts w:hint="eastAsia" w:ascii="宋体" w:hAnsi="宋体" w:cs="宋体"/>
          <w:b/>
          <w:bCs/>
          <w:spacing w:val="30"/>
          <w:sz w:val="28"/>
          <w:szCs w:val="28"/>
        </w:rPr>
        <w:t>报价人声明及承诺                       XX页</w:t>
      </w:r>
    </w:p>
    <w:p w14:paraId="1A65927E">
      <w:pPr>
        <w:numPr>
          <w:ilvl w:val="0"/>
          <w:numId w:val="8"/>
        </w:numPr>
        <w:jc w:val="left"/>
        <w:rPr>
          <w:rFonts w:ascii="宋体" w:hAnsi="宋体" w:cs="宋体"/>
          <w:b/>
          <w:bCs/>
          <w:spacing w:val="30"/>
          <w:sz w:val="28"/>
          <w:szCs w:val="28"/>
        </w:rPr>
      </w:pPr>
      <w:r>
        <w:rPr>
          <w:rFonts w:hint="eastAsia" w:ascii="宋体" w:hAnsi="宋体" w:cs="宋体"/>
          <w:b/>
          <w:bCs/>
          <w:spacing w:val="30"/>
          <w:sz w:val="28"/>
          <w:szCs w:val="28"/>
        </w:rPr>
        <w:t>证明材料                              XX页</w:t>
      </w:r>
    </w:p>
    <w:p w14:paraId="1956E25E">
      <w:pPr>
        <w:rPr>
          <w:rFonts w:ascii="宋体" w:hAnsi="宋体"/>
          <w:szCs w:val="21"/>
        </w:rPr>
      </w:pPr>
      <w:r>
        <w:rPr>
          <w:rFonts w:ascii="宋体" w:hAnsi="宋体"/>
          <w:szCs w:val="21"/>
        </w:rPr>
        <w:br w:type="page"/>
      </w:r>
    </w:p>
    <w:p w14:paraId="06764CE9">
      <w:pPr>
        <w:numPr>
          <w:ilvl w:val="0"/>
          <w:numId w:val="9"/>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营业执照（或事业法人登记证等相关证明）副本复印件</w:t>
      </w:r>
    </w:p>
    <w:p w14:paraId="17799FCB">
      <w:pPr>
        <w:rPr>
          <w:rFonts w:ascii="宋体" w:hAnsi="宋体" w:cs="宋体"/>
          <w:b/>
          <w:bCs/>
          <w:spacing w:val="30"/>
          <w:sz w:val="44"/>
          <w:szCs w:val="44"/>
        </w:rPr>
      </w:pPr>
      <w:r>
        <w:rPr>
          <w:rFonts w:hint="eastAsia" w:ascii="宋体" w:hAnsi="宋体" w:cs="宋体"/>
          <w:b/>
          <w:bCs/>
          <w:spacing w:val="30"/>
          <w:sz w:val="44"/>
          <w:szCs w:val="44"/>
        </w:rPr>
        <w:br w:type="page"/>
      </w:r>
    </w:p>
    <w:p w14:paraId="6C921976">
      <w:pPr>
        <w:numPr>
          <w:ilvl w:val="0"/>
          <w:numId w:val="9"/>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t>法人</w:t>
      </w:r>
      <w:r>
        <w:rPr>
          <w:rFonts w:hint="eastAsia" w:ascii="宋体" w:hAnsi="宋体" w:cs="宋体"/>
          <w:b/>
          <w:bCs/>
          <w:spacing w:val="30"/>
          <w:sz w:val="44"/>
          <w:szCs w:val="44"/>
        </w:rPr>
        <w:t>或负责人</w:t>
      </w:r>
      <w:r>
        <w:rPr>
          <w:rFonts w:ascii="宋体" w:hAnsi="宋体" w:cs="宋体"/>
          <w:b/>
          <w:bCs/>
          <w:spacing w:val="30"/>
          <w:sz w:val="44"/>
          <w:szCs w:val="44"/>
        </w:rPr>
        <w:t>资格证明（</w:t>
      </w:r>
      <w:r>
        <w:rPr>
          <w:rFonts w:hint="eastAsia" w:ascii="宋体" w:hAnsi="宋体" w:cs="宋体"/>
          <w:b/>
          <w:bCs/>
          <w:spacing w:val="30"/>
          <w:sz w:val="44"/>
          <w:szCs w:val="44"/>
        </w:rPr>
        <w:t>固定格式）</w:t>
      </w:r>
    </w:p>
    <w:p w14:paraId="5389B73B">
      <w:pPr>
        <w:spacing w:line="520" w:lineRule="exact"/>
        <w:rPr>
          <w:rFonts w:ascii="宋体" w:hAnsi="宋体"/>
          <w:bCs/>
          <w:sz w:val="28"/>
          <w:szCs w:val="28"/>
        </w:rPr>
      </w:pPr>
    </w:p>
    <w:p w14:paraId="3EB19AEB">
      <w:pPr>
        <w:spacing w:line="520" w:lineRule="exact"/>
        <w:ind w:firstLine="560" w:firstLineChars="200"/>
        <w:rPr>
          <w:rFonts w:ascii="宋体" w:hAnsi="宋体"/>
          <w:bCs/>
          <w:sz w:val="28"/>
          <w:szCs w:val="28"/>
        </w:rPr>
      </w:pPr>
      <w:r>
        <w:rPr>
          <w:rFonts w:hint="eastAsia" w:ascii="宋体" w:hAnsi="宋体"/>
          <w:bCs/>
          <w:sz w:val="28"/>
          <w:szCs w:val="28"/>
        </w:rPr>
        <w:t>报价人单位</w:t>
      </w:r>
      <w:r>
        <w:rPr>
          <w:rFonts w:ascii="宋体" w:hAnsi="宋体"/>
          <w:bCs/>
          <w:sz w:val="28"/>
          <w:szCs w:val="28"/>
        </w:rPr>
        <w:t>名称：</w:t>
      </w:r>
    </w:p>
    <w:p w14:paraId="6E2BD2E3">
      <w:pPr>
        <w:spacing w:line="520" w:lineRule="exact"/>
        <w:ind w:firstLine="560" w:firstLineChars="200"/>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14:paraId="27B2118E">
      <w:pPr>
        <w:spacing w:line="520" w:lineRule="exact"/>
        <w:ind w:firstLine="560" w:firstLineChars="200"/>
        <w:rPr>
          <w:rFonts w:ascii="宋体" w:hAnsi="宋体"/>
          <w:bCs/>
          <w:sz w:val="28"/>
          <w:szCs w:val="28"/>
        </w:rPr>
      </w:pPr>
      <w:r>
        <w:rPr>
          <w:rFonts w:ascii="宋体" w:hAnsi="宋体"/>
          <w:bCs/>
          <w:sz w:val="28"/>
          <w:szCs w:val="28"/>
        </w:rPr>
        <w:t>联系方式：</w:t>
      </w:r>
    </w:p>
    <w:p w14:paraId="15A2E1A6">
      <w:pPr>
        <w:spacing w:line="520" w:lineRule="exact"/>
        <w:ind w:firstLine="548" w:firstLineChars="196"/>
        <w:rPr>
          <w:rFonts w:ascii="宋体" w:hAnsi="宋体"/>
          <w:bCs/>
          <w:sz w:val="28"/>
          <w:szCs w:val="28"/>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5DE7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1B0E9829">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14:paraId="6BEEDCEB">
            <w:pPr>
              <w:spacing w:line="520" w:lineRule="exact"/>
              <w:rPr>
                <w:rFonts w:ascii="宋体" w:hAnsi="宋体"/>
                <w:bCs/>
                <w:sz w:val="28"/>
                <w:szCs w:val="28"/>
              </w:rPr>
            </w:pPr>
          </w:p>
        </w:tc>
      </w:tr>
    </w:tbl>
    <w:p w14:paraId="0D89137F">
      <w:pPr>
        <w:spacing w:line="520" w:lineRule="exact"/>
        <w:ind w:firstLine="548" w:firstLineChars="196"/>
        <w:rPr>
          <w:rFonts w:ascii="宋体" w:hAnsi="宋体"/>
          <w:bCs/>
          <w:sz w:val="28"/>
          <w:szCs w:val="28"/>
        </w:rPr>
      </w:pPr>
    </w:p>
    <w:p w14:paraId="0BA36CDC">
      <w:pPr>
        <w:spacing w:line="520" w:lineRule="exact"/>
        <w:ind w:firstLine="548" w:firstLineChars="196"/>
        <w:rPr>
          <w:rFonts w:ascii="宋体" w:hAnsi="宋体"/>
          <w:bCs/>
          <w:sz w:val="28"/>
          <w:szCs w:val="28"/>
        </w:rPr>
      </w:pPr>
      <w:r>
        <w:rPr>
          <w:rFonts w:hint="eastAsia" w:ascii="宋体" w:hAnsi="宋体"/>
          <w:bCs/>
          <w:sz w:val="28"/>
          <w:szCs w:val="28"/>
        </w:rPr>
        <w:t>报价人单位（</w:t>
      </w:r>
      <w:r>
        <w:rPr>
          <w:rFonts w:ascii="宋体" w:hAnsi="宋体"/>
          <w:bCs/>
          <w:sz w:val="28"/>
          <w:szCs w:val="28"/>
        </w:rPr>
        <w:t>盖章</w:t>
      </w:r>
      <w:r>
        <w:rPr>
          <w:rFonts w:hint="eastAsia" w:ascii="宋体" w:hAnsi="宋体"/>
          <w:bCs/>
          <w:sz w:val="28"/>
          <w:szCs w:val="28"/>
        </w:rPr>
        <w:t>）</w:t>
      </w:r>
    </w:p>
    <w:p w14:paraId="4CF8E447">
      <w:pPr>
        <w:spacing w:line="520" w:lineRule="exact"/>
        <w:ind w:firstLine="548" w:firstLineChars="196"/>
        <w:rPr>
          <w:rFonts w:ascii="宋体" w:hAnsi="宋体"/>
          <w:bCs/>
          <w:sz w:val="28"/>
          <w:szCs w:val="28"/>
        </w:rPr>
      </w:pPr>
      <w:r>
        <w:rPr>
          <w:rFonts w:ascii="宋体" w:hAnsi="宋体"/>
          <w:bCs/>
          <w:sz w:val="28"/>
          <w:szCs w:val="28"/>
        </w:rPr>
        <w:t>年  月  日</w:t>
      </w:r>
    </w:p>
    <w:p w14:paraId="6378AAC0">
      <w:pPr>
        <w:spacing w:line="440" w:lineRule="exact"/>
        <w:ind w:firstLine="548" w:firstLineChars="196"/>
        <w:rPr>
          <w:rFonts w:ascii="宋体" w:hAnsi="宋体"/>
          <w:bCs/>
          <w:sz w:val="28"/>
          <w:szCs w:val="28"/>
        </w:rPr>
      </w:pPr>
    </w:p>
    <w:p w14:paraId="1BECD995">
      <w:pPr>
        <w:spacing w:line="44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报价</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rPr>
        <w:t>报价的，须将本人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rPr>
        <w:t>报价不需提供</w:t>
      </w:r>
      <w:r>
        <w:rPr>
          <w:rFonts w:ascii="宋体" w:hAnsi="宋体"/>
          <w:bCs/>
          <w:sz w:val="28"/>
          <w:szCs w:val="28"/>
        </w:rPr>
        <w:t>）。</w:t>
      </w:r>
      <w:r>
        <w:rPr>
          <w:rFonts w:hint="eastAsia" w:ascii="宋体" w:hAnsi="宋体"/>
          <w:bCs/>
          <w:sz w:val="28"/>
          <w:szCs w:val="28"/>
        </w:rPr>
        <w:t>该资格证明为实质性响应内容。</w:t>
      </w:r>
    </w:p>
    <w:p w14:paraId="79046188">
      <w:pPr>
        <w:rPr>
          <w:b/>
          <w:bCs/>
          <w:sz w:val="32"/>
          <w:szCs w:val="21"/>
        </w:rPr>
      </w:pPr>
      <w:r>
        <w:rPr>
          <w:rFonts w:hint="eastAsia"/>
          <w:b/>
          <w:bCs/>
          <w:sz w:val="32"/>
          <w:szCs w:val="21"/>
        </w:rPr>
        <w:br w:type="page"/>
      </w:r>
    </w:p>
    <w:p w14:paraId="7BB5A22C">
      <w:pPr>
        <w:numPr>
          <w:ilvl w:val="0"/>
          <w:numId w:val="9"/>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授</w:t>
      </w:r>
      <w:r>
        <w:rPr>
          <w:rFonts w:ascii="宋体" w:hAnsi="宋体" w:cs="宋体"/>
          <w:b/>
          <w:bCs/>
          <w:spacing w:val="30"/>
          <w:sz w:val="44"/>
          <w:szCs w:val="44"/>
        </w:rPr>
        <w:t>权委托书（</w:t>
      </w:r>
      <w:r>
        <w:rPr>
          <w:rFonts w:hint="eastAsia" w:ascii="宋体" w:hAnsi="宋体" w:cs="宋体"/>
          <w:b/>
          <w:bCs/>
          <w:spacing w:val="30"/>
          <w:sz w:val="44"/>
          <w:szCs w:val="44"/>
        </w:rPr>
        <w:t>固定格式</w:t>
      </w:r>
      <w:r>
        <w:rPr>
          <w:rFonts w:ascii="宋体" w:hAnsi="宋体" w:cs="宋体"/>
          <w:b/>
          <w:bCs/>
          <w:spacing w:val="30"/>
          <w:sz w:val="44"/>
          <w:szCs w:val="44"/>
        </w:rPr>
        <w:t>）</w:t>
      </w:r>
    </w:p>
    <w:p w14:paraId="3E9FDF45">
      <w:pPr>
        <w:spacing w:line="520" w:lineRule="exact"/>
        <w:rPr>
          <w:bCs/>
          <w:szCs w:val="21"/>
        </w:rPr>
      </w:pPr>
    </w:p>
    <w:p w14:paraId="6EBDD040">
      <w:pPr>
        <w:spacing w:line="520" w:lineRule="exact"/>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14:paraId="18ED6CDD">
      <w:pPr>
        <w:spacing w:line="520" w:lineRule="exact"/>
        <w:rPr>
          <w:rFonts w:ascii="宋体" w:hAnsi="宋体"/>
          <w:bCs/>
          <w:sz w:val="28"/>
          <w:szCs w:val="28"/>
        </w:rPr>
      </w:pPr>
      <w:r>
        <w:rPr>
          <w:rFonts w:ascii="宋体" w:hAnsi="宋体"/>
          <w:bCs/>
          <w:sz w:val="28"/>
          <w:szCs w:val="28"/>
        </w:rPr>
        <w:t>联系方式：</w:t>
      </w:r>
    </w:p>
    <w:p w14:paraId="20B702E3">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w:t>
      </w:r>
      <w:r>
        <w:rPr>
          <w:rFonts w:hint="eastAsia" w:ascii="宋体" w:hAnsi="宋体"/>
          <w:b/>
          <w:bCs/>
          <w:sz w:val="28"/>
          <w:szCs w:val="28"/>
        </w:rPr>
        <w:t>本人签字或加盖私章</w:t>
      </w:r>
      <w:r>
        <w:rPr>
          <w:rFonts w:hint="eastAsia" w:ascii="宋体" w:hAnsi="宋体"/>
          <w:bCs/>
          <w:sz w:val="28"/>
          <w:szCs w:val="28"/>
        </w:rPr>
        <w:t>）</w:t>
      </w:r>
      <w:r>
        <w:rPr>
          <w:rFonts w:ascii="宋体" w:hAnsi="宋体"/>
          <w:bCs/>
          <w:sz w:val="28"/>
          <w:szCs w:val="28"/>
        </w:rPr>
        <w:t>：</w:t>
      </w:r>
    </w:p>
    <w:p w14:paraId="175ADB9E">
      <w:pPr>
        <w:spacing w:line="520" w:lineRule="exact"/>
        <w:rPr>
          <w:rFonts w:ascii="宋体" w:hAnsi="宋体"/>
          <w:bCs/>
          <w:sz w:val="28"/>
          <w:szCs w:val="28"/>
        </w:rPr>
      </w:pPr>
      <w:r>
        <w:rPr>
          <w:rFonts w:ascii="宋体" w:hAnsi="宋体"/>
          <w:bCs/>
          <w:sz w:val="28"/>
          <w:szCs w:val="28"/>
        </w:rPr>
        <w:t>联系方式：</w:t>
      </w:r>
    </w:p>
    <w:p w14:paraId="4DD8864B">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人在</w:t>
      </w:r>
      <w:r>
        <w:rPr>
          <w:rFonts w:hint="eastAsia" w:ascii="宋体" w:hAnsi="宋体"/>
          <w:bCs/>
          <w:sz w:val="28"/>
          <w:szCs w:val="28"/>
        </w:rPr>
        <w:t>本</w:t>
      </w:r>
      <w:r>
        <w:rPr>
          <w:rFonts w:ascii="宋体" w:hAnsi="宋体"/>
          <w:bCs/>
          <w:sz w:val="28"/>
          <w:szCs w:val="28"/>
        </w:rPr>
        <w:t>单位职务：</w:t>
      </w:r>
    </w:p>
    <w:p w14:paraId="05C453EA">
      <w:pPr>
        <w:spacing w:line="520" w:lineRule="exact"/>
        <w:rPr>
          <w:rFonts w:ascii="宋体" w:hAnsi="宋体"/>
          <w:bCs/>
          <w:sz w:val="28"/>
          <w:szCs w:val="28"/>
        </w:rPr>
      </w:pPr>
    </w:p>
    <w:p w14:paraId="4418EE54">
      <w:pPr>
        <w:spacing w:line="520" w:lineRule="exact"/>
        <w:ind w:firstLine="548" w:firstLineChars="196"/>
        <w:rPr>
          <w:rFonts w:ascii="宋体" w:hAnsi="宋体"/>
          <w:bCs/>
          <w:sz w:val="28"/>
          <w:szCs w:val="28"/>
        </w:rPr>
      </w:pPr>
      <w:r>
        <w:rPr>
          <w:rFonts w:ascii="宋体" w:hAnsi="宋体"/>
          <w:bCs/>
          <w:sz w:val="28"/>
          <w:szCs w:val="28"/>
        </w:rPr>
        <w:t>兹委托代表我单位参加</w:t>
      </w:r>
      <w:r>
        <w:rPr>
          <w:rFonts w:hint="eastAsia" w:ascii="宋体" w:hAnsi="宋体"/>
          <w:bCs/>
          <w:sz w:val="28"/>
          <w:szCs w:val="28"/>
        </w:rPr>
        <w:t>贵单位</w:t>
      </w:r>
      <w:r>
        <w:rPr>
          <w:rFonts w:ascii="宋体" w:hAnsi="宋体"/>
          <w:bCs/>
          <w:sz w:val="28"/>
          <w:szCs w:val="28"/>
        </w:rPr>
        <w:t>组织的项目的采购活动，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“报价一览表”</w:t>
      </w:r>
      <w:r>
        <w:rPr>
          <w:rFonts w:ascii="宋体" w:hAnsi="宋体"/>
          <w:bCs/>
          <w:sz w:val="28"/>
          <w:szCs w:val="28"/>
        </w:rPr>
        <w:t>和</w:t>
      </w:r>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14:paraId="17F09D26">
      <w:pPr>
        <w:spacing w:line="520" w:lineRule="exact"/>
        <w:ind w:firstLine="548" w:firstLineChars="196"/>
        <w:rPr>
          <w:rFonts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14:paraId="062DC76C">
      <w:pPr>
        <w:spacing w:line="520" w:lineRule="exact"/>
        <w:ind w:firstLine="548" w:firstLineChars="196"/>
        <w:rPr>
          <w:rFonts w:ascii="宋体" w:hAnsi="宋体"/>
          <w:bCs/>
          <w:sz w:val="28"/>
          <w:szCs w:val="28"/>
        </w:rPr>
      </w:pPr>
      <w:r>
        <w:rPr>
          <w:rFonts w:ascii="宋体" w:hAnsi="宋体"/>
          <w:bCs/>
          <w:sz w:val="28"/>
          <w:szCs w:val="28"/>
        </w:rPr>
        <w:t>委托期限：至上述事宜处理完毕止。</w:t>
      </w:r>
    </w:p>
    <w:p w14:paraId="3372FABD">
      <w:pPr>
        <w:spacing w:line="520" w:lineRule="exact"/>
        <w:ind w:firstLine="548" w:firstLineChars="196"/>
        <w:rPr>
          <w:rFonts w:ascii="宋体" w:hAnsi="宋体"/>
          <w:bCs/>
          <w:sz w:val="28"/>
          <w:szCs w:val="28"/>
        </w:rPr>
      </w:pPr>
    </w:p>
    <w:p w14:paraId="221D17B2">
      <w:pPr>
        <w:spacing w:line="520" w:lineRule="exact"/>
        <w:ind w:firstLine="4748" w:firstLineChars="1696"/>
        <w:rPr>
          <w:rFonts w:ascii="宋体" w:hAnsi="宋体"/>
          <w:bCs/>
          <w:sz w:val="28"/>
          <w:szCs w:val="28"/>
        </w:rPr>
      </w:pPr>
      <w:r>
        <w:rPr>
          <w:rFonts w:hint="eastAsia" w:ascii="宋体" w:hAnsi="宋体"/>
          <w:bCs/>
          <w:sz w:val="28"/>
          <w:szCs w:val="28"/>
        </w:rPr>
        <w:t>报价人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14:paraId="4F8804A0">
      <w:pPr>
        <w:spacing w:line="520" w:lineRule="exact"/>
        <w:ind w:firstLine="548" w:firstLineChars="196"/>
        <w:rPr>
          <w:rFonts w:ascii="宋体" w:hAnsi="宋体"/>
          <w:bCs/>
          <w:sz w:val="28"/>
          <w:szCs w:val="28"/>
        </w:rPr>
      </w:pPr>
      <w:r>
        <w:rPr>
          <w:rFonts w:ascii="宋体" w:hAnsi="宋体"/>
          <w:bCs/>
          <w:sz w:val="28"/>
          <w:szCs w:val="28"/>
        </w:rPr>
        <w:t>年  月 日</w:t>
      </w:r>
    </w:p>
    <w:p w14:paraId="1AFAEEF2">
      <w:pPr>
        <w:spacing w:line="520" w:lineRule="exact"/>
        <w:ind w:firstLine="548" w:firstLineChars="196"/>
        <w:rPr>
          <w:rFonts w:ascii="宋体" w:hAnsi="宋体"/>
          <w:bCs/>
          <w:sz w:val="28"/>
          <w:szCs w:val="28"/>
        </w:rPr>
      </w:pPr>
    </w:p>
    <w:p w14:paraId="1FB3326F">
      <w:pPr>
        <w:spacing w:line="40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14:paraId="05A23044">
      <w:pPr>
        <w:spacing w:line="400" w:lineRule="exact"/>
        <w:ind w:firstLine="548" w:firstLineChars="196"/>
        <w:rPr>
          <w:rFonts w:ascii="宋体" w:hAnsi="宋体"/>
          <w:bCs/>
          <w:sz w:val="28"/>
          <w:szCs w:val="28"/>
        </w:rPr>
      </w:pPr>
    </w:p>
    <w:p w14:paraId="7634A410">
      <w:pPr>
        <w:spacing w:line="400" w:lineRule="exact"/>
        <w:ind w:firstLine="548" w:firstLineChars="196"/>
        <w:rPr>
          <w:rFonts w:ascii="宋体" w:hAnsi="宋体"/>
          <w:bCs/>
          <w:sz w:val="28"/>
          <w:szCs w:val="28"/>
        </w:rPr>
      </w:pPr>
    </w:p>
    <w:p w14:paraId="27CD1E32">
      <w:pPr>
        <w:rPr>
          <w:rFonts w:ascii="宋体" w:hAnsi="宋体"/>
          <w:bCs/>
          <w:sz w:val="28"/>
          <w:szCs w:val="28"/>
        </w:rPr>
      </w:pPr>
      <w:r>
        <w:rPr>
          <w:rFonts w:hint="eastAsia" w:ascii="宋体" w:hAnsi="宋体"/>
          <w:bCs/>
          <w:sz w:val="28"/>
          <w:szCs w:val="28"/>
        </w:rPr>
        <w:br w:type="page"/>
      </w:r>
    </w:p>
    <w:p w14:paraId="400A0813">
      <w:pPr>
        <w:spacing w:line="400" w:lineRule="exact"/>
        <w:ind w:firstLine="630" w:firstLineChars="196"/>
        <w:rPr>
          <w:rFonts w:ascii="宋体" w:hAnsi="宋体"/>
          <w:b/>
          <w:sz w:val="32"/>
          <w:szCs w:val="32"/>
        </w:rPr>
      </w:pPr>
      <w:r>
        <w:rPr>
          <w:rFonts w:hint="eastAsia" w:ascii="宋体" w:hAnsi="宋体"/>
          <w:b/>
          <w:sz w:val="32"/>
          <w:szCs w:val="32"/>
        </w:rPr>
        <w:t>附：委托代理</w:t>
      </w:r>
      <w:r>
        <w:rPr>
          <w:rFonts w:ascii="宋体" w:hAnsi="宋体"/>
          <w:b/>
          <w:sz w:val="32"/>
          <w:szCs w:val="32"/>
        </w:rPr>
        <w:t>人</w:t>
      </w:r>
      <w:r>
        <w:rPr>
          <w:rFonts w:hint="eastAsia" w:ascii="宋体" w:hAnsi="宋体"/>
          <w:b/>
          <w:sz w:val="32"/>
          <w:szCs w:val="32"/>
        </w:rPr>
        <w:t>身份证复印件</w:t>
      </w:r>
    </w:p>
    <w:p w14:paraId="4803AC60">
      <w:pPr>
        <w:spacing w:line="520" w:lineRule="exact"/>
        <w:ind w:firstLine="548" w:firstLineChars="196"/>
        <w:rPr>
          <w:rFonts w:ascii="宋体" w:hAnsi="宋体"/>
          <w:bCs/>
          <w:sz w:val="28"/>
          <w:szCs w:val="28"/>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5799C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15525E70">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14:paraId="7890BEE2">
            <w:pPr>
              <w:spacing w:line="520" w:lineRule="exact"/>
              <w:rPr>
                <w:rFonts w:ascii="宋体" w:hAnsi="宋体"/>
                <w:bCs/>
                <w:sz w:val="28"/>
                <w:szCs w:val="28"/>
              </w:rPr>
            </w:pPr>
          </w:p>
        </w:tc>
      </w:tr>
    </w:tbl>
    <w:p w14:paraId="7CD51F09">
      <w:pPr>
        <w:spacing w:line="520" w:lineRule="exact"/>
        <w:ind w:firstLine="548" w:firstLineChars="196"/>
        <w:rPr>
          <w:rFonts w:ascii="宋体" w:hAnsi="宋体"/>
          <w:bCs/>
          <w:sz w:val="28"/>
          <w:szCs w:val="28"/>
        </w:rPr>
      </w:pPr>
    </w:p>
    <w:p w14:paraId="2751EEB6">
      <w:pPr>
        <w:spacing w:line="400" w:lineRule="exact"/>
        <w:ind w:firstLine="548" w:firstLineChars="196"/>
        <w:rPr>
          <w:rFonts w:ascii="宋体" w:hAnsi="宋体"/>
          <w:bCs/>
          <w:sz w:val="28"/>
          <w:szCs w:val="28"/>
        </w:rPr>
      </w:pPr>
    </w:p>
    <w:p w14:paraId="485970D5">
      <w:pPr>
        <w:spacing w:line="400" w:lineRule="exact"/>
        <w:ind w:firstLine="548" w:firstLineChars="196"/>
        <w:rPr>
          <w:rFonts w:ascii="宋体" w:hAnsi="宋体"/>
          <w:bCs/>
          <w:sz w:val="28"/>
          <w:szCs w:val="28"/>
        </w:rPr>
      </w:pPr>
    </w:p>
    <w:p w14:paraId="4BB1EC84">
      <w:pPr>
        <w:spacing w:line="400" w:lineRule="exact"/>
        <w:ind w:firstLine="548" w:firstLineChars="196"/>
        <w:rPr>
          <w:rFonts w:ascii="宋体" w:hAnsi="宋体"/>
          <w:bCs/>
          <w:sz w:val="28"/>
          <w:szCs w:val="28"/>
        </w:rPr>
      </w:pPr>
    </w:p>
    <w:p w14:paraId="1F2F0398">
      <w:pPr>
        <w:spacing w:line="400" w:lineRule="exact"/>
        <w:ind w:firstLine="548" w:firstLineChars="196"/>
        <w:rPr>
          <w:rFonts w:ascii="宋体" w:hAnsi="宋体"/>
          <w:bCs/>
          <w:sz w:val="28"/>
          <w:szCs w:val="28"/>
        </w:rPr>
      </w:pPr>
    </w:p>
    <w:p w14:paraId="5A5D123A">
      <w:pPr>
        <w:spacing w:line="400" w:lineRule="exact"/>
        <w:ind w:firstLine="548" w:firstLineChars="196"/>
        <w:rPr>
          <w:rFonts w:ascii="宋体" w:hAnsi="宋体"/>
          <w:bCs/>
          <w:sz w:val="28"/>
          <w:szCs w:val="28"/>
        </w:rPr>
      </w:pPr>
    </w:p>
    <w:p w14:paraId="52D77B1D">
      <w:pPr>
        <w:spacing w:line="400" w:lineRule="exact"/>
        <w:ind w:firstLine="548" w:firstLineChars="196"/>
        <w:rPr>
          <w:rFonts w:ascii="宋体" w:hAnsi="宋体"/>
          <w:bCs/>
          <w:sz w:val="28"/>
          <w:szCs w:val="28"/>
        </w:rPr>
      </w:pPr>
    </w:p>
    <w:p w14:paraId="5E4CE8C3">
      <w:pPr>
        <w:spacing w:line="400" w:lineRule="exact"/>
        <w:ind w:firstLine="548" w:firstLineChars="196"/>
        <w:rPr>
          <w:rFonts w:ascii="宋体" w:hAnsi="宋体"/>
          <w:bCs/>
          <w:sz w:val="28"/>
          <w:szCs w:val="28"/>
        </w:rPr>
      </w:pPr>
    </w:p>
    <w:p w14:paraId="0A61384A">
      <w:pPr>
        <w:spacing w:line="400" w:lineRule="exact"/>
        <w:ind w:firstLine="548" w:firstLineChars="196"/>
        <w:rPr>
          <w:rFonts w:ascii="宋体" w:hAnsi="宋体"/>
          <w:bCs/>
          <w:sz w:val="28"/>
          <w:szCs w:val="28"/>
        </w:rPr>
      </w:pPr>
    </w:p>
    <w:p w14:paraId="6CF0C71F">
      <w:pPr>
        <w:spacing w:line="400" w:lineRule="exact"/>
        <w:ind w:firstLine="548" w:firstLineChars="196"/>
        <w:rPr>
          <w:rFonts w:ascii="宋体" w:hAnsi="宋体"/>
          <w:bCs/>
          <w:sz w:val="28"/>
          <w:szCs w:val="28"/>
        </w:rPr>
      </w:pPr>
    </w:p>
    <w:p w14:paraId="18C671EF">
      <w:pPr>
        <w:pStyle w:val="14"/>
        <w:jc w:val="left"/>
        <w:rPr>
          <w:rFonts w:hAnsi="宋体" w:cs="宋体"/>
          <w:bCs/>
          <w:color w:val="000000"/>
          <w:sz w:val="30"/>
          <w:szCs w:val="30"/>
        </w:rPr>
      </w:pPr>
    </w:p>
    <w:p w14:paraId="63DF2D02">
      <w:pPr>
        <w:pStyle w:val="14"/>
        <w:jc w:val="left"/>
        <w:rPr>
          <w:rFonts w:hAnsi="宋体" w:cs="宋体"/>
          <w:bCs/>
          <w:color w:val="000000"/>
          <w:sz w:val="30"/>
          <w:szCs w:val="30"/>
        </w:rPr>
      </w:pPr>
    </w:p>
    <w:p w14:paraId="032ADEB4">
      <w:pPr>
        <w:pStyle w:val="14"/>
        <w:jc w:val="left"/>
        <w:rPr>
          <w:rFonts w:hAnsi="宋体" w:cs="宋体"/>
          <w:bCs/>
          <w:color w:val="000000"/>
          <w:sz w:val="30"/>
          <w:szCs w:val="30"/>
        </w:rPr>
      </w:pPr>
    </w:p>
    <w:p w14:paraId="3F61091E">
      <w:pPr>
        <w:pStyle w:val="14"/>
        <w:jc w:val="left"/>
        <w:rPr>
          <w:rFonts w:hAnsi="宋体" w:cs="宋体"/>
          <w:bCs/>
          <w:color w:val="000000"/>
          <w:sz w:val="30"/>
          <w:szCs w:val="30"/>
        </w:rPr>
      </w:pPr>
    </w:p>
    <w:p w14:paraId="757B9644">
      <w:pPr>
        <w:rPr>
          <w:rFonts w:ascii="宋体" w:hAnsi="宋体"/>
          <w:bCs/>
          <w:sz w:val="28"/>
          <w:szCs w:val="28"/>
        </w:rPr>
      </w:pPr>
      <w:r>
        <w:rPr>
          <w:rFonts w:hint="eastAsia" w:ascii="宋体" w:hAnsi="宋体"/>
          <w:bCs/>
          <w:sz w:val="28"/>
          <w:szCs w:val="28"/>
        </w:rPr>
        <w:br w:type="page"/>
      </w:r>
    </w:p>
    <w:p w14:paraId="532FF6BA">
      <w:pPr>
        <w:numPr>
          <w:ilvl w:val="0"/>
          <w:numId w:val="9"/>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报价一览表</w:t>
      </w:r>
    </w:p>
    <w:p w14:paraId="074B1AF9">
      <w:pPr>
        <w:spacing w:line="520" w:lineRule="exact"/>
        <w:jc w:val="center"/>
        <w:rPr>
          <w:rFonts w:ascii="宋体" w:hAnsi="宋体" w:cs="宋体"/>
          <w:b/>
          <w:bCs/>
          <w:spacing w:val="30"/>
          <w:sz w:val="44"/>
          <w:szCs w:val="44"/>
        </w:rPr>
      </w:pPr>
      <w:r>
        <w:rPr>
          <w:rFonts w:hAnsi="宋体" w:cs="宋体"/>
          <w:b/>
          <w:bCs/>
          <w:spacing w:val="30"/>
          <w:sz w:val="44"/>
          <w:szCs w:val="44"/>
        </w:rPr>
        <w:t>（</w:t>
      </w:r>
      <w:r>
        <w:rPr>
          <w:rFonts w:hint="eastAsia" w:hAnsi="宋体" w:cs="宋体"/>
          <w:b/>
          <w:bCs/>
          <w:spacing w:val="30"/>
          <w:sz w:val="44"/>
          <w:szCs w:val="44"/>
        </w:rPr>
        <w:t>参考样式，根据采购项目自行设计）</w:t>
      </w:r>
    </w:p>
    <w:p w14:paraId="15612A86">
      <w:pPr>
        <w:adjustRightInd w:val="0"/>
        <w:snapToGrid w:val="0"/>
        <w:jc w:val="right"/>
        <w:rPr>
          <w:rFonts w:ascii="宋体" w:hAnsi="宋体"/>
          <w:sz w:val="24"/>
        </w:rPr>
      </w:pPr>
      <w:r>
        <w:rPr>
          <w:rFonts w:hint="eastAsia" w:ascii="宋体" w:hAnsi="宋体"/>
          <w:sz w:val="24"/>
        </w:rPr>
        <w:t>货币单位：人民币元</w:t>
      </w:r>
    </w:p>
    <w:tbl>
      <w:tblPr>
        <w:tblStyle w:val="28"/>
        <w:tblW w:w="9348" w:type="dxa"/>
        <w:jc w:val="center"/>
        <w:tblLayout w:type="fixed"/>
        <w:tblCellMar>
          <w:top w:w="0" w:type="dxa"/>
          <w:left w:w="30" w:type="dxa"/>
          <w:bottom w:w="0" w:type="dxa"/>
          <w:right w:w="30" w:type="dxa"/>
        </w:tblCellMar>
      </w:tblPr>
      <w:tblGrid>
        <w:gridCol w:w="2229"/>
        <w:gridCol w:w="7119"/>
      </w:tblGrid>
      <w:tr w14:paraId="3C4FAD5C">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14:paraId="360FC1ED">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14:paraId="6EFD2582">
            <w:pPr>
              <w:autoSpaceDE w:val="0"/>
              <w:autoSpaceDN w:val="0"/>
              <w:adjustRightInd w:val="0"/>
              <w:spacing w:line="480" w:lineRule="exact"/>
              <w:jc w:val="center"/>
              <w:rPr>
                <w:rFonts w:ascii="宋体" w:hAnsi="宋体"/>
                <w:sz w:val="24"/>
              </w:rPr>
            </w:pPr>
          </w:p>
        </w:tc>
      </w:tr>
      <w:tr w14:paraId="3A7DA76A">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14:paraId="7AE4B39E">
            <w:pPr>
              <w:autoSpaceDE w:val="0"/>
              <w:autoSpaceDN w:val="0"/>
              <w:adjustRightInd w:val="0"/>
              <w:spacing w:line="480" w:lineRule="exact"/>
              <w:jc w:val="center"/>
              <w:rPr>
                <w:rFonts w:ascii="宋体" w:hAnsi="宋体"/>
                <w:b/>
                <w:sz w:val="24"/>
              </w:rPr>
            </w:pPr>
            <w:r>
              <w:rPr>
                <w:rFonts w:hint="eastAsia" w:ascii="宋体" w:hAnsi="宋体"/>
                <w:b/>
                <w:sz w:val="24"/>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14:paraId="779DC407">
            <w:pPr>
              <w:autoSpaceDE w:val="0"/>
              <w:autoSpaceDN w:val="0"/>
              <w:adjustRightInd w:val="0"/>
              <w:spacing w:line="480" w:lineRule="exact"/>
              <w:rPr>
                <w:rFonts w:ascii="宋体" w:hAnsi="宋体"/>
                <w:b/>
                <w:sz w:val="24"/>
                <w:u w:val="single"/>
              </w:rPr>
            </w:pPr>
          </w:p>
          <w:p w14:paraId="09777CD0">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14:paraId="39956803">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14:paraId="1A7D5417">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14:paraId="33A7E235">
            <w:pPr>
              <w:autoSpaceDE w:val="0"/>
              <w:autoSpaceDN w:val="0"/>
              <w:adjustRightInd w:val="0"/>
              <w:spacing w:line="480" w:lineRule="exact"/>
              <w:ind w:firstLine="843" w:firstLineChars="350"/>
              <w:rPr>
                <w:rFonts w:ascii="宋体"/>
                <w:b/>
                <w:sz w:val="24"/>
                <w:u w:val="single"/>
              </w:rPr>
            </w:pPr>
          </w:p>
          <w:p w14:paraId="1516DF10">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14:paraId="7E981F89">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14:paraId="56510589">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14:paraId="726F5C70">
            <w:pPr>
              <w:autoSpaceDE w:val="0"/>
              <w:autoSpaceDN w:val="0"/>
              <w:adjustRightInd w:val="0"/>
              <w:spacing w:line="480" w:lineRule="exact"/>
              <w:jc w:val="center"/>
              <w:rPr>
                <w:rFonts w:ascii="宋体" w:hAnsi="宋体"/>
                <w:sz w:val="24"/>
              </w:rPr>
            </w:pPr>
          </w:p>
        </w:tc>
      </w:tr>
    </w:tbl>
    <w:p w14:paraId="1500133A">
      <w:pPr>
        <w:pStyle w:val="14"/>
        <w:spacing w:line="480" w:lineRule="exact"/>
        <w:rPr>
          <w:rFonts w:hAnsi="宋体"/>
          <w:sz w:val="28"/>
          <w:szCs w:val="28"/>
        </w:rPr>
      </w:pPr>
      <w:r>
        <w:rPr>
          <w:rFonts w:hint="eastAsia" w:hAnsi="宋体"/>
          <w:sz w:val="28"/>
          <w:szCs w:val="28"/>
        </w:rPr>
        <w:t>注：</w:t>
      </w:r>
    </w:p>
    <w:p w14:paraId="0AD2C5D3">
      <w:pPr>
        <w:pStyle w:val="14"/>
        <w:numPr>
          <w:ilvl w:val="0"/>
          <w:numId w:val="10"/>
        </w:numPr>
        <w:spacing w:line="0" w:lineRule="atLeast"/>
        <w:rPr>
          <w:rFonts w:hAnsi="宋体"/>
          <w:sz w:val="28"/>
          <w:szCs w:val="28"/>
        </w:rPr>
      </w:pPr>
      <w:r>
        <w:rPr>
          <w:rFonts w:hint="eastAsia" w:hAnsi="宋体"/>
          <w:sz w:val="28"/>
          <w:szCs w:val="28"/>
        </w:rPr>
        <w:t>本表报价包含完成本项目应预见和不可预见的一切含税费用。</w:t>
      </w:r>
    </w:p>
    <w:p w14:paraId="1CD772FE">
      <w:pPr>
        <w:pStyle w:val="14"/>
        <w:numPr>
          <w:ilvl w:val="0"/>
          <w:numId w:val="10"/>
        </w:numPr>
        <w:spacing w:line="0" w:lineRule="atLeast"/>
        <w:rPr>
          <w:rFonts w:hAnsi="宋体"/>
          <w:sz w:val="28"/>
          <w:szCs w:val="28"/>
        </w:rPr>
      </w:pPr>
      <w:r>
        <w:rPr>
          <w:rFonts w:hint="eastAsia" w:hAnsi="宋体"/>
          <w:sz w:val="28"/>
          <w:szCs w:val="28"/>
        </w:rPr>
        <w:t>表中报价总价小写金额与大写金额不一致的，以大写金额为准。</w:t>
      </w:r>
    </w:p>
    <w:p w14:paraId="385BD6AF">
      <w:pPr>
        <w:pStyle w:val="14"/>
        <w:numPr>
          <w:ilvl w:val="0"/>
          <w:numId w:val="10"/>
        </w:numPr>
        <w:spacing w:line="0" w:lineRule="atLeast"/>
        <w:rPr>
          <w:rFonts w:hAnsi="宋体"/>
          <w:sz w:val="28"/>
          <w:szCs w:val="28"/>
        </w:rPr>
      </w:pPr>
      <w:r>
        <w:rPr>
          <w:rFonts w:hint="eastAsia"/>
          <w:sz w:val="28"/>
          <w:szCs w:val="28"/>
        </w:rPr>
        <w:t>填写此表时不得改变表格的形式。</w:t>
      </w:r>
    </w:p>
    <w:p w14:paraId="7100CC5F">
      <w:pPr>
        <w:pStyle w:val="14"/>
        <w:numPr>
          <w:ilvl w:val="0"/>
          <w:numId w:val="10"/>
        </w:numPr>
        <w:spacing w:line="0" w:lineRule="atLeast"/>
        <w:rPr>
          <w:rFonts w:hAnsi="宋体"/>
          <w:sz w:val="28"/>
          <w:szCs w:val="28"/>
        </w:rPr>
      </w:pPr>
      <w:r>
        <w:rPr>
          <w:rFonts w:hint="eastAsia"/>
          <w:sz w:val="28"/>
          <w:szCs w:val="28"/>
        </w:rPr>
        <w:t>以上表中内容必须计算机录入、填写、打印。手写按无效报价处理。</w:t>
      </w:r>
    </w:p>
    <w:p w14:paraId="3CA6F670">
      <w:pPr>
        <w:adjustRightInd w:val="0"/>
        <w:snapToGrid w:val="0"/>
        <w:rPr>
          <w:rFonts w:ascii="宋体" w:hAnsi="宋体"/>
          <w:b/>
          <w:sz w:val="28"/>
          <w:szCs w:val="28"/>
        </w:rPr>
      </w:pPr>
    </w:p>
    <w:p w14:paraId="2D6E70E9">
      <w:pPr>
        <w:spacing w:line="400" w:lineRule="exact"/>
        <w:rPr>
          <w:rFonts w:ascii="宋体" w:hAnsi="宋体"/>
          <w:sz w:val="32"/>
          <w:szCs w:val="32"/>
        </w:rPr>
      </w:pPr>
    </w:p>
    <w:p w14:paraId="01BBC403">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25B42343">
      <w:pPr>
        <w:spacing w:line="400" w:lineRule="exact"/>
        <w:rPr>
          <w:rFonts w:ascii="宋体" w:hAnsi="宋体"/>
          <w:sz w:val="32"/>
          <w:szCs w:val="32"/>
        </w:rPr>
      </w:pPr>
    </w:p>
    <w:p w14:paraId="7CAFA95A">
      <w:pPr>
        <w:spacing w:afterLines="50" w:line="400" w:lineRule="exact"/>
        <w:rPr>
          <w:rFonts w:ascii="宋体" w:hAnsi="宋体"/>
          <w:sz w:val="32"/>
          <w:szCs w:val="32"/>
        </w:rPr>
      </w:pPr>
      <w:r>
        <w:rPr>
          <w:rFonts w:hint="eastAsia" w:ascii="宋体" w:hAnsi="宋体"/>
          <w:sz w:val="32"/>
          <w:szCs w:val="32"/>
        </w:rPr>
        <w:t>报价人单位（盖章）：</w:t>
      </w:r>
    </w:p>
    <w:p w14:paraId="14DF685E">
      <w:pPr>
        <w:spacing w:line="480" w:lineRule="exact"/>
        <w:ind w:left="4599" w:leftChars="2190"/>
        <w:rPr>
          <w:rFonts w:ascii="宋体"/>
          <w:sz w:val="28"/>
          <w:szCs w:val="28"/>
        </w:rPr>
      </w:pPr>
    </w:p>
    <w:p w14:paraId="6DB67F11">
      <w:pPr>
        <w:rPr>
          <w:sz w:val="28"/>
          <w:szCs w:val="28"/>
        </w:rPr>
      </w:pPr>
    </w:p>
    <w:p w14:paraId="7422085A">
      <w:pPr>
        <w:rPr>
          <w:sz w:val="24"/>
        </w:rPr>
      </w:pPr>
    </w:p>
    <w:p w14:paraId="0D231C85">
      <w:pPr>
        <w:rPr>
          <w:sz w:val="24"/>
        </w:rPr>
      </w:pPr>
      <w:r>
        <w:rPr>
          <w:sz w:val="24"/>
        </w:rPr>
        <w:br w:type="page"/>
      </w:r>
    </w:p>
    <w:p w14:paraId="482A93E1">
      <w:pPr>
        <w:numPr>
          <w:ilvl w:val="0"/>
          <w:numId w:val="9"/>
        </w:numPr>
        <w:autoSpaceDE w:val="0"/>
        <w:autoSpaceDN w:val="0"/>
        <w:adjustRightInd w:val="0"/>
        <w:spacing w:line="640" w:lineRule="exact"/>
        <w:jc w:val="center"/>
        <w:rPr>
          <w:rFonts w:ascii="宋体" w:hAnsi="宋体" w:cs="宋体"/>
          <w:b/>
          <w:bCs/>
          <w:spacing w:val="30"/>
          <w:sz w:val="44"/>
          <w:szCs w:val="44"/>
        </w:rPr>
      </w:pPr>
      <w:r>
        <w:rPr>
          <w:rFonts w:hint="eastAsia" w:hAnsi="宋体" w:cs="宋体"/>
          <w:b/>
          <w:bCs/>
          <w:spacing w:val="30"/>
          <w:sz w:val="44"/>
          <w:szCs w:val="44"/>
        </w:rPr>
        <w:t>报价明细表</w:t>
      </w:r>
    </w:p>
    <w:p w14:paraId="53DE22B1">
      <w:pPr>
        <w:pStyle w:val="14"/>
        <w:jc w:val="center"/>
        <w:rPr>
          <w:rFonts w:ascii="Times New Roman" w:hAnsi="Times New Roman"/>
          <w:szCs w:val="21"/>
        </w:rPr>
      </w:pPr>
      <w:r>
        <w:rPr>
          <w:rFonts w:hAnsi="宋体" w:cs="宋体"/>
          <w:b/>
          <w:bCs/>
          <w:spacing w:val="30"/>
          <w:sz w:val="44"/>
          <w:szCs w:val="44"/>
        </w:rPr>
        <w:t>（</w:t>
      </w:r>
      <w:r>
        <w:rPr>
          <w:rFonts w:hint="eastAsia" w:hAnsi="宋体" w:cs="宋体"/>
          <w:b/>
          <w:bCs/>
          <w:spacing w:val="30"/>
          <w:sz w:val="44"/>
          <w:szCs w:val="44"/>
        </w:rPr>
        <w:t>参考样式，根据采购项目自行设计）</w:t>
      </w:r>
    </w:p>
    <w:p w14:paraId="3647CC81">
      <w:pPr>
        <w:pStyle w:val="14"/>
        <w:jc w:val="left"/>
        <w:rPr>
          <w:rFonts w:ascii="Times New Roman" w:hAnsi="Times New Roman"/>
          <w:szCs w:val="21"/>
        </w:rPr>
      </w:pPr>
    </w:p>
    <w:tbl>
      <w:tblPr>
        <w:tblStyle w:val="28"/>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14:paraId="42D72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4952910F">
            <w:pPr>
              <w:pStyle w:val="14"/>
              <w:jc w:val="left"/>
              <w:rPr>
                <w:rFonts w:hAnsi="宋体"/>
                <w:b/>
                <w:kern w:val="2"/>
                <w:sz w:val="24"/>
              </w:rPr>
            </w:pPr>
            <w:r>
              <w:rPr>
                <w:rFonts w:hint="eastAsia" w:hAnsi="宋体"/>
                <w:b/>
                <w:kern w:val="2"/>
                <w:sz w:val="24"/>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26875DD7">
            <w:pPr>
              <w:pStyle w:val="14"/>
              <w:jc w:val="left"/>
              <w:rPr>
                <w:rFonts w:hAnsi="宋体"/>
                <w:b/>
                <w:kern w:val="2"/>
                <w:sz w:val="24"/>
              </w:rPr>
            </w:pPr>
            <w:r>
              <w:rPr>
                <w:rFonts w:hint="eastAsia" w:hAnsi="宋体"/>
                <w:b/>
                <w:kern w:val="2"/>
                <w:sz w:val="24"/>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60B27694">
            <w:pPr>
              <w:pStyle w:val="14"/>
              <w:jc w:val="left"/>
              <w:rPr>
                <w:rFonts w:hAnsi="宋体"/>
                <w:b/>
                <w:kern w:val="2"/>
                <w:sz w:val="24"/>
              </w:rPr>
            </w:pPr>
            <w:r>
              <w:rPr>
                <w:rFonts w:hint="eastAsia" w:hAnsi="宋体"/>
                <w:b/>
                <w:kern w:val="2"/>
                <w:sz w:val="24"/>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6D3648A6">
            <w:pPr>
              <w:pStyle w:val="14"/>
              <w:jc w:val="left"/>
              <w:rPr>
                <w:rFonts w:hAnsi="宋体"/>
                <w:b/>
                <w:kern w:val="2"/>
                <w:sz w:val="24"/>
              </w:rPr>
            </w:pPr>
            <w:r>
              <w:rPr>
                <w:rFonts w:hint="eastAsia" w:hAnsi="宋体"/>
                <w:b/>
                <w:kern w:val="2"/>
                <w:sz w:val="24"/>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64D6503A">
            <w:pPr>
              <w:pStyle w:val="14"/>
              <w:jc w:val="left"/>
              <w:rPr>
                <w:rFonts w:hAnsi="宋体"/>
                <w:b/>
                <w:kern w:val="2"/>
                <w:sz w:val="24"/>
              </w:rPr>
            </w:pPr>
            <w:r>
              <w:rPr>
                <w:rFonts w:hint="eastAsia" w:hAnsi="宋体"/>
                <w:b/>
                <w:kern w:val="2"/>
                <w:sz w:val="24"/>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1EAB5EF7">
            <w:pPr>
              <w:pStyle w:val="14"/>
              <w:jc w:val="left"/>
              <w:rPr>
                <w:rFonts w:hAnsi="宋体"/>
                <w:b/>
                <w:kern w:val="2"/>
                <w:sz w:val="24"/>
              </w:rPr>
            </w:pPr>
            <w:r>
              <w:rPr>
                <w:rFonts w:hint="eastAsia" w:hAnsi="宋体"/>
                <w:b/>
                <w:kern w:val="2"/>
                <w:sz w:val="24"/>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49DF0BFE">
            <w:pPr>
              <w:pStyle w:val="14"/>
              <w:jc w:val="left"/>
              <w:rPr>
                <w:rFonts w:hAnsi="宋体"/>
                <w:b/>
                <w:kern w:val="2"/>
                <w:sz w:val="24"/>
              </w:rPr>
            </w:pPr>
            <w:r>
              <w:rPr>
                <w:rFonts w:hint="eastAsia" w:hAnsi="宋体"/>
                <w:b/>
                <w:kern w:val="2"/>
                <w:sz w:val="24"/>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4E92BB75">
            <w:pPr>
              <w:pStyle w:val="14"/>
              <w:jc w:val="left"/>
              <w:rPr>
                <w:rFonts w:hAnsi="宋体"/>
                <w:b/>
                <w:kern w:val="2"/>
                <w:sz w:val="24"/>
              </w:rPr>
            </w:pPr>
            <w:r>
              <w:rPr>
                <w:rFonts w:hint="eastAsia" w:hAnsi="宋体"/>
                <w:b/>
                <w:kern w:val="2"/>
                <w:sz w:val="24"/>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58B2BE7B">
            <w:pPr>
              <w:pStyle w:val="14"/>
              <w:jc w:val="left"/>
              <w:rPr>
                <w:rFonts w:hAnsi="宋体"/>
                <w:b/>
                <w:kern w:val="2"/>
                <w:sz w:val="24"/>
              </w:rPr>
            </w:pPr>
            <w:r>
              <w:rPr>
                <w:rFonts w:hint="eastAsia" w:hAnsi="宋体"/>
                <w:b/>
                <w:kern w:val="2"/>
                <w:sz w:val="24"/>
              </w:rPr>
              <w:t>备注</w:t>
            </w:r>
          </w:p>
        </w:tc>
      </w:tr>
      <w:tr w14:paraId="012C9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3BA339D9">
            <w:pPr>
              <w:pStyle w:val="14"/>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646C8B0A">
            <w:pPr>
              <w:pStyle w:val="14"/>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57432C38">
            <w:pPr>
              <w:pStyle w:val="14"/>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45AF38A2">
            <w:pPr>
              <w:pStyle w:val="14"/>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2E612966">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40B57AD6">
            <w:pPr>
              <w:pStyle w:val="14"/>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6DF59D8F">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4B5D7AE3">
            <w:pPr>
              <w:pStyle w:val="14"/>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60ED8844">
            <w:pPr>
              <w:pStyle w:val="14"/>
              <w:jc w:val="left"/>
              <w:rPr>
                <w:rFonts w:hAnsi="宋体"/>
                <w:kern w:val="2"/>
                <w:sz w:val="24"/>
              </w:rPr>
            </w:pPr>
          </w:p>
        </w:tc>
      </w:tr>
      <w:tr w14:paraId="234CB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28CFEE33">
            <w:pPr>
              <w:pStyle w:val="14"/>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46860966">
            <w:pPr>
              <w:pStyle w:val="14"/>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5DEFF8E6">
            <w:pPr>
              <w:pStyle w:val="14"/>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5FEC3466">
            <w:pPr>
              <w:pStyle w:val="14"/>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0E82BDD2">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6ECAE9A8">
            <w:pPr>
              <w:pStyle w:val="14"/>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266E803D">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3AAF7C60">
            <w:pPr>
              <w:pStyle w:val="14"/>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2665C637">
            <w:pPr>
              <w:pStyle w:val="14"/>
              <w:jc w:val="left"/>
              <w:rPr>
                <w:rFonts w:hAnsi="宋体"/>
                <w:kern w:val="2"/>
                <w:sz w:val="24"/>
              </w:rPr>
            </w:pPr>
          </w:p>
        </w:tc>
      </w:tr>
      <w:tr w14:paraId="1582B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622E400A">
            <w:pPr>
              <w:pStyle w:val="14"/>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2B156D81">
            <w:pPr>
              <w:pStyle w:val="14"/>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75CAD006">
            <w:pPr>
              <w:pStyle w:val="14"/>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615E666A">
            <w:pPr>
              <w:pStyle w:val="14"/>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18D85268">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1B422926">
            <w:pPr>
              <w:pStyle w:val="14"/>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02827F4C">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44B4C183">
            <w:pPr>
              <w:pStyle w:val="14"/>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5CBC1ADF">
            <w:pPr>
              <w:pStyle w:val="14"/>
              <w:jc w:val="left"/>
              <w:rPr>
                <w:rFonts w:hAnsi="宋体"/>
                <w:kern w:val="2"/>
                <w:sz w:val="24"/>
              </w:rPr>
            </w:pPr>
          </w:p>
        </w:tc>
      </w:tr>
      <w:tr w14:paraId="3FDAB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14:paraId="5F189B2D">
            <w:pPr>
              <w:pStyle w:val="14"/>
              <w:jc w:val="left"/>
              <w:rPr>
                <w:rFonts w:hAnsi="宋体"/>
                <w:kern w:val="2"/>
                <w:sz w:val="24"/>
              </w:rPr>
            </w:pPr>
            <w:r>
              <w:rPr>
                <w:rFonts w:hint="eastAsia" w:hAnsi="宋体"/>
                <w:kern w:val="2"/>
                <w:sz w:val="24"/>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6CF23808">
            <w:pPr>
              <w:pStyle w:val="14"/>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4BCEF737">
            <w:pPr>
              <w:pStyle w:val="14"/>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6FAE6C4A">
            <w:pPr>
              <w:pStyle w:val="14"/>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460E071E">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6A3FFD59">
            <w:pPr>
              <w:pStyle w:val="14"/>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68726AEB">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23C1F464">
            <w:pPr>
              <w:pStyle w:val="14"/>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55C10C5E">
            <w:pPr>
              <w:pStyle w:val="14"/>
              <w:jc w:val="left"/>
              <w:rPr>
                <w:rFonts w:hAnsi="宋体"/>
                <w:kern w:val="2"/>
                <w:sz w:val="24"/>
              </w:rPr>
            </w:pPr>
          </w:p>
        </w:tc>
      </w:tr>
      <w:tr w14:paraId="5B603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14:paraId="68797379">
            <w:pPr>
              <w:pStyle w:val="14"/>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40BC06D2">
            <w:pPr>
              <w:pStyle w:val="14"/>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22E7AB3C">
            <w:pPr>
              <w:pStyle w:val="14"/>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24CB6B74">
            <w:pPr>
              <w:pStyle w:val="14"/>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326EC4A9">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3B909562">
            <w:pPr>
              <w:pStyle w:val="14"/>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6F9E6492">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1DCDC755">
            <w:pPr>
              <w:pStyle w:val="14"/>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544BB3D2">
            <w:pPr>
              <w:pStyle w:val="14"/>
              <w:jc w:val="left"/>
              <w:rPr>
                <w:rFonts w:hAnsi="宋体"/>
                <w:kern w:val="2"/>
                <w:sz w:val="24"/>
              </w:rPr>
            </w:pPr>
          </w:p>
        </w:tc>
      </w:tr>
      <w:tr w14:paraId="36C91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14:paraId="614484CB">
            <w:pPr>
              <w:pStyle w:val="14"/>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03A91FED">
            <w:pPr>
              <w:pStyle w:val="14"/>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3ECAC58A">
            <w:pPr>
              <w:pStyle w:val="14"/>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4977B034">
            <w:pPr>
              <w:pStyle w:val="14"/>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04274DDF">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6DFD3D01">
            <w:pPr>
              <w:pStyle w:val="14"/>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28559A4C">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30EC1208">
            <w:pPr>
              <w:pStyle w:val="14"/>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1C4D1C77">
            <w:pPr>
              <w:pStyle w:val="14"/>
              <w:jc w:val="left"/>
              <w:rPr>
                <w:rFonts w:hAnsi="宋体"/>
                <w:kern w:val="2"/>
                <w:sz w:val="24"/>
              </w:rPr>
            </w:pPr>
          </w:p>
        </w:tc>
      </w:tr>
      <w:tr w14:paraId="2F214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14:paraId="45D5762A">
            <w:pPr>
              <w:pStyle w:val="14"/>
              <w:jc w:val="center"/>
              <w:rPr>
                <w:rFonts w:hAnsi="宋体"/>
                <w:kern w:val="2"/>
                <w:sz w:val="24"/>
              </w:rPr>
            </w:pPr>
            <w:r>
              <w:rPr>
                <w:rFonts w:hint="eastAsia" w:hAnsi="宋体"/>
                <w:b/>
                <w:kern w:val="2"/>
                <w:sz w:val="24"/>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FCA0006">
            <w:pPr>
              <w:pStyle w:val="14"/>
              <w:jc w:val="center"/>
              <w:rPr>
                <w:rFonts w:hAnsi="宋体"/>
                <w:kern w:val="2"/>
                <w:sz w:val="24"/>
              </w:rPr>
            </w:pPr>
            <w:r>
              <w:rPr>
                <w:rFonts w:hint="eastAsia" w:hAnsi="宋体"/>
                <w:b/>
                <w:kern w:val="2"/>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14:paraId="220C77B3">
            <w:pPr>
              <w:pStyle w:val="14"/>
              <w:ind w:firstLine="241" w:firstLineChars="100"/>
              <w:rPr>
                <w:rFonts w:hAnsi="宋体"/>
                <w:b/>
                <w:kern w:val="2"/>
                <w:sz w:val="24"/>
              </w:rPr>
            </w:pPr>
            <w:r>
              <w:rPr>
                <w:rFonts w:hint="eastAsia" w:hAnsi="宋体"/>
                <w:b/>
                <w:kern w:val="2"/>
                <w:sz w:val="24"/>
              </w:rPr>
              <w:t>¥：       元</w:t>
            </w:r>
          </w:p>
        </w:tc>
      </w:tr>
      <w:tr w14:paraId="14E6E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14:paraId="7BC15E85">
            <w:pPr>
              <w:pStyle w:val="14"/>
              <w:jc w:val="left"/>
              <w:rPr>
                <w:rFonts w:hAnsi="宋体"/>
                <w:kern w:val="2"/>
                <w:sz w:val="24"/>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0335091">
            <w:pPr>
              <w:pStyle w:val="14"/>
              <w:jc w:val="center"/>
              <w:rPr>
                <w:rFonts w:hAnsi="宋体"/>
                <w:kern w:val="2"/>
                <w:sz w:val="24"/>
              </w:rPr>
            </w:pPr>
            <w:r>
              <w:rPr>
                <w:rFonts w:hint="eastAsia" w:hAnsi="宋体"/>
                <w:b/>
                <w:kern w:val="2"/>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14:paraId="45D24088">
            <w:pPr>
              <w:pStyle w:val="14"/>
              <w:jc w:val="left"/>
              <w:rPr>
                <w:rFonts w:hAnsi="宋体"/>
                <w:b/>
                <w:kern w:val="2"/>
                <w:sz w:val="24"/>
              </w:rPr>
            </w:pPr>
            <w:r>
              <w:rPr>
                <w:rFonts w:hint="eastAsia" w:hAnsi="宋体"/>
                <w:b/>
                <w:kern w:val="2"/>
                <w:sz w:val="24"/>
              </w:rPr>
              <w:t xml:space="preserve"> 人民币：</w:t>
            </w:r>
          </w:p>
        </w:tc>
      </w:tr>
    </w:tbl>
    <w:p w14:paraId="7BDC4F7A">
      <w:pPr>
        <w:pStyle w:val="14"/>
        <w:spacing w:line="0" w:lineRule="atLeast"/>
        <w:ind w:left="336"/>
        <w:rPr>
          <w:rFonts w:hAnsi="宋体"/>
          <w:sz w:val="28"/>
          <w:szCs w:val="28"/>
        </w:rPr>
      </w:pPr>
      <w:r>
        <w:rPr>
          <w:rFonts w:hint="eastAsia" w:hAnsi="宋体"/>
          <w:sz w:val="28"/>
          <w:szCs w:val="28"/>
        </w:rPr>
        <w:t>注：1、本《报价明细表》由报价人根据采购书及项目需求，结合自身认识和判断，自行制定。</w:t>
      </w:r>
    </w:p>
    <w:p w14:paraId="34F2F3F8">
      <w:pPr>
        <w:pStyle w:val="14"/>
        <w:spacing w:line="0" w:lineRule="atLeast"/>
        <w:ind w:left="336"/>
        <w:rPr>
          <w:rFonts w:hAnsi="宋体"/>
          <w:sz w:val="28"/>
          <w:szCs w:val="28"/>
        </w:rPr>
      </w:pPr>
      <w:r>
        <w:rPr>
          <w:rFonts w:hint="eastAsia" w:hAnsi="宋体"/>
          <w:sz w:val="28"/>
          <w:szCs w:val="28"/>
        </w:rPr>
        <w:t>2、本表“报价总价”必须与《报价一览表》中的“报价总价”一致。</w:t>
      </w:r>
    </w:p>
    <w:p w14:paraId="232F7DF2">
      <w:pPr>
        <w:pStyle w:val="14"/>
        <w:spacing w:line="0" w:lineRule="atLeast"/>
        <w:ind w:left="336"/>
        <w:rPr>
          <w:rFonts w:hAnsi="宋体"/>
          <w:sz w:val="28"/>
          <w:szCs w:val="28"/>
        </w:rPr>
      </w:pPr>
      <w:r>
        <w:rPr>
          <w:rFonts w:hint="eastAsia" w:hAnsi="宋体"/>
          <w:sz w:val="28"/>
          <w:szCs w:val="28"/>
        </w:rPr>
        <w:t>3、对于报价免费的项目必须标明“免费”。</w:t>
      </w:r>
    </w:p>
    <w:p w14:paraId="04F09740">
      <w:pPr>
        <w:pStyle w:val="14"/>
        <w:spacing w:line="0" w:lineRule="atLeast"/>
        <w:ind w:left="336"/>
        <w:rPr>
          <w:rFonts w:hAnsi="宋体"/>
          <w:sz w:val="28"/>
          <w:szCs w:val="28"/>
        </w:rPr>
      </w:pPr>
      <w:r>
        <w:rPr>
          <w:rFonts w:hint="eastAsia" w:hAnsi="宋体"/>
          <w:sz w:val="28"/>
          <w:szCs w:val="28"/>
        </w:rPr>
        <w:t>4、所有根据采购书、合同以及其它原因应由成交人支付的税款和其它应交纳的费用都要包括在报价人提交的报价总价中。</w:t>
      </w:r>
    </w:p>
    <w:p w14:paraId="7E6CA235">
      <w:pPr>
        <w:pStyle w:val="14"/>
        <w:jc w:val="left"/>
        <w:rPr>
          <w:rFonts w:ascii="Times New Roman" w:hAnsi="Times New Roman"/>
          <w:szCs w:val="21"/>
        </w:rPr>
      </w:pPr>
    </w:p>
    <w:p w14:paraId="5386FE97">
      <w:pPr>
        <w:pStyle w:val="14"/>
        <w:jc w:val="left"/>
        <w:rPr>
          <w:rFonts w:ascii="Times New Roman" w:hAnsi="Times New Roman"/>
          <w:szCs w:val="21"/>
        </w:rPr>
      </w:pPr>
    </w:p>
    <w:p w14:paraId="78F9E7B9">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3C3D75EC">
      <w:pPr>
        <w:spacing w:line="400" w:lineRule="exact"/>
        <w:rPr>
          <w:rFonts w:ascii="宋体" w:hAnsi="宋体"/>
          <w:sz w:val="32"/>
          <w:szCs w:val="32"/>
        </w:rPr>
      </w:pPr>
    </w:p>
    <w:p w14:paraId="4C9E99B7">
      <w:pPr>
        <w:spacing w:afterLines="50" w:line="400" w:lineRule="exact"/>
        <w:rPr>
          <w:rFonts w:ascii="宋体" w:hAnsi="宋体" w:cs="宋体"/>
          <w:bCs/>
          <w:color w:val="000000"/>
          <w:szCs w:val="21"/>
        </w:rPr>
      </w:pPr>
      <w:r>
        <w:rPr>
          <w:rFonts w:hint="eastAsia" w:ascii="宋体" w:hAnsi="宋体"/>
          <w:sz w:val="32"/>
          <w:szCs w:val="32"/>
        </w:rPr>
        <w:t>报价人单位（盖章）：</w:t>
      </w:r>
    </w:p>
    <w:p w14:paraId="043C1856">
      <w:pPr>
        <w:rPr>
          <w:rFonts w:ascii="宋体" w:hAnsi="宋体" w:cs="宋体"/>
          <w:bCs/>
          <w:color w:val="000000"/>
          <w:szCs w:val="21"/>
        </w:rPr>
      </w:pPr>
      <w:r>
        <w:rPr>
          <w:rFonts w:hint="eastAsia" w:ascii="宋体" w:hAnsi="宋体" w:cs="宋体"/>
          <w:bCs/>
          <w:color w:val="000000"/>
          <w:szCs w:val="21"/>
        </w:rPr>
        <w:br w:type="page"/>
      </w:r>
    </w:p>
    <w:p w14:paraId="4200C7F0">
      <w:pPr>
        <w:numPr>
          <w:ilvl w:val="0"/>
          <w:numId w:val="9"/>
        </w:numPr>
        <w:tabs>
          <w:tab w:val="left" w:pos="210"/>
        </w:tabs>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cs="宋体"/>
          <w:b/>
          <w:bCs/>
          <w:spacing w:val="30"/>
          <w:sz w:val="44"/>
          <w:szCs w:val="44"/>
        </w:rPr>
        <w:t>技术（服务）条款响应表（固定格式）</w:t>
      </w:r>
    </w:p>
    <w:tbl>
      <w:tblPr>
        <w:tblStyle w:val="2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14:paraId="7CEF1A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9A53492">
            <w:pPr>
              <w:jc w:val="center"/>
              <w:rPr>
                <w:rFonts w:ascii="宋体" w:hAnsi="宋体"/>
                <w:b/>
                <w:szCs w:val="21"/>
              </w:rPr>
            </w:pPr>
            <w:r>
              <w:rPr>
                <w:rFonts w:hint="eastAsia" w:ascii="宋体" w:hAnsi="宋体"/>
                <w:b/>
                <w:szCs w:val="21"/>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48AA402">
            <w:pPr>
              <w:widowControl/>
              <w:jc w:val="center"/>
              <w:rPr>
                <w:rFonts w:ascii="宋体" w:hAnsi="宋体"/>
                <w:b/>
                <w:kern w:val="0"/>
                <w:szCs w:val="21"/>
              </w:rPr>
            </w:pPr>
            <w:r>
              <w:rPr>
                <w:rFonts w:hint="eastAsia" w:ascii="宋体" w:hAnsi="宋体"/>
                <w:b/>
                <w:kern w:val="0"/>
                <w:szCs w:val="21"/>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14:paraId="38166911">
            <w:pPr>
              <w:widowControl/>
              <w:jc w:val="center"/>
              <w:rPr>
                <w:rFonts w:ascii="宋体" w:hAnsi="宋体"/>
                <w:b/>
                <w:kern w:val="0"/>
                <w:szCs w:val="21"/>
              </w:rPr>
            </w:pPr>
            <w:r>
              <w:rPr>
                <w:rFonts w:hint="eastAsia" w:ascii="宋体" w:hAnsi="宋体"/>
                <w:b/>
                <w:kern w:val="0"/>
                <w:szCs w:val="21"/>
              </w:rPr>
              <w:t>证明材料</w:t>
            </w:r>
          </w:p>
        </w:tc>
      </w:tr>
      <w:tr w14:paraId="08BF87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41B48550">
            <w:pPr>
              <w:jc w:val="center"/>
              <w:rPr>
                <w:rFonts w:ascii="宋体" w:hAnsi="宋体"/>
                <w:b/>
                <w:szCs w:val="21"/>
              </w:rPr>
            </w:pPr>
            <w:r>
              <w:rPr>
                <w:rFonts w:hint="eastAsia" w:ascii="宋体" w:hAnsi="宋体"/>
                <w:b/>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14:paraId="3ED89D02">
            <w:pPr>
              <w:jc w:val="center"/>
              <w:rPr>
                <w:rFonts w:ascii="宋体" w:hAnsi="宋体"/>
                <w:b/>
                <w:szCs w:val="21"/>
              </w:rPr>
            </w:pPr>
            <w:r>
              <w:rPr>
                <w:rFonts w:hint="eastAsia" w:ascii="宋体" w:hAnsi="宋体"/>
                <w:b/>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14:paraId="3865DCE0">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14:paraId="7C80C95A">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14:paraId="43A83325">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14:paraId="764CA795">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14:paraId="58745A1B">
            <w:pPr>
              <w:jc w:val="center"/>
              <w:rPr>
                <w:rFonts w:ascii="宋体" w:hAnsi="宋体"/>
                <w:b/>
                <w:szCs w:val="21"/>
              </w:rPr>
            </w:pPr>
            <w:r>
              <w:rPr>
                <w:rFonts w:hint="eastAsia" w:ascii="宋体" w:hAnsi="宋体"/>
                <w:b/>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14:paraId="19F73307">
            <w:pPr>
              <w:jc w:val="center"/>
              <w:rPr>
                <w:rFonts w:ascii="宋体" w:hAnsi="宋体"/>
                <w:b/>
                <w:szCs w:val="21"/>
              </w:rPr>
            </w:pPr>
            <w:r>
              <w:rPr>
                <w:rFonts w:hint="eastAsia" w:ascii="宋体" w:hAnsi="宋体"/>
                <w:b/>
                <w:szCs w:val="21"/>
              </w:rPr>
              <w:t>见报价文件__页</w:t>
            </w:r>
          </w:p>
        </w:tc>
      </w:tr>
      <w:tr w14:paraId="62AEB7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45C20135">
            <w:pPr>
              <w:jc w:val="center"/>
              <w:rPr>
                <w:rFonts w:ascii="宋体" w:hAnsi="宋体"/>
                <w:szCs w:val="21"/>
              </w:rPr>
            </w:pPr>
            <w:r>
              <w:rPr>
                <w:rFonts w:ascii="宋体" w:hAnsi="宋体"/>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14:paraId="05BE47A1">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3C211A7">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F1E7F35">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4AC82F9">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2D5CD28">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14020AC">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413BE4F">
            <w:pPr>
              <w:jc w:val="center"/>
              <w:rPr>
                <w:rFonts w:ascii="宋体" w:hAnsi="宋体"/>
                <w:szCs w:val="21"/>
              </w:rPr>
            </w:pPr>
          </w:p>
        </w:tc>
      </w:tr>
      <w:tr w14:paraId="0F3489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526A05E7">
            <w:pPr>
              <w:jc w:val="center"/>
              <w:rPr>
                <w:rFonts w:ascii="宋体" w:hAnsi="宋体"/>
                <w:szCs w:val="21"/>
              </w:rPr>
            </w:pPr>
            <w:r>
              <w:rPr>
                <w:rFonts w:ascii="宋体" w:hAnsi="宋体"/>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14:paraId="1A1646B3">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0F7D4E7">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1BFD3AE">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C7BC7E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BBC77B1">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812EFE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9A6899E">
            <w:pPr>
              <w:spacing w:line="240" w:lineRule="exact"/>
              <w:jc w:val="center"/>
              <w:rPr>
                <w:rFonts w:ascii="宋体" w:hAnsi="宋体"/>
                <w:szCs w:val="21"/>
              </w:rPr>
            </w:pPr>
          </w:p>
        </w:tc>
      </w:tr>
      <w:tr w14:paraId="6CEE9D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2AB0283B">
            <w:pPr>
              <w:jc w:val="center"/>
              <w:rPr>
                <w:rFonts w:ascii="宋体" w:hAnsi="宋体"/>
                <w:szCs w:val="21"/>
              </w:rPr>
            </w:pPr>
            <w:r>
              <w:rPr>
                <w:rFonts w:ascii="宋体" w:hAnsi="宋体"/>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14:paraId="45873154">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1A6AF27">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CA16A0C">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17F1B20">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544BC6A">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C53B651">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EADF898">
            <w:pPr>
              <w:spacing w:line="240" w:lineRule="exact"/>
              <w:jc w:val="center"/>
              <w:rPr>
                <w:rFonts w:ascii="宋体" w:hAnsi="宋体"/>
                <w:szCs w:val="21"/>
              </w:rPr>
            </w:pPr>
          </w:p>
        </w:tc>
      </w:tr>
      <w:tr w14:paraId="3721C2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3E63C8B9">
            <w:pPr>
              <w:jc w:val="center"/>
              <w:rPr>
                <w:rFonts w:ascii="宋体" w:hAnsi="宋体"/>
                <w:szCs w:val="21"/>
              </w:rPr>
            </w:pPr>
            <w:r>
              <w:rPr>
                <w:rFonts w:ascii="宋体" w:hAnsi="宋体"/>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14:paraId="0546A188">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B853DFA">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65A197D">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57A14B8">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3743530">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E47F73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9E67B87">
            <w:pPr>
              <w:spacing w:line="240" w:lineRule="exact"/>
              <w:jc w:val="center"/>
              <w:rPr>
                <w:rFonts w:ascii="宋体" w:hAnsi="宋体"/>
                <w:szCs w:val="21"/>
              </w:rPr>
            </w:pPr>
          </w:p>
        </w:tc>
      </w:tr>
      <w:tr w14:paraId="4065A1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54E8BA6A">
            <w:pPr>
              <w:jc w:val="center"/>
              <w:rPr>
                <w:rFonts w:ascii="宋体" w:hAnsi="宋体"/>
                <w:szCs w:val="21"/>
              </w:rPr>
            </w:pPr>
            <w:r>
              <w:rPr>
                <w:rFonts w:ascii="宋体" w:hAnsi="宋体"/>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14:paraId="6DC89D1E">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07D5F7C">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4F3C7F4">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E4E27EC">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2C1615E">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F455BB8">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85AF4B1">
            <w:pPr>
              <w:spacing w:line="240" w:lineRule="exact"/>
              <w:jc w:val="center"/>
              <w:rPr>
                <w:rFonts w:ascii="宋体" w:hAnsi="宋体"/>
                <w:szCs w:val="21"/>
              </w:rPr>
            </w:pPr>
          </w:p>
        </w:tc>
      </w:tr>
      <w:tr w14:paraId="5C2F64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6171E5B0">
            <w:pPr>
              <w:jc w:val="center"/>
              <w:rPr>
                <w:rFonts w:ascii="宋体" w:hAnsi="宋体"/>
                <w:szCs w:val="21"/>
              </w:rPr>
            </w:pPr>
            <w:r>
              <w:rPr>
                <w:rFonts w:ascii="宋体" w:hAnsi="宋体"/>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14:paraId="0A04B83A">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D85331E">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4C2C6E3">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2D219ED">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79B2258">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35EA86C">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9458DDC">
            <w:pPr>
              <w:spacing w:line="240" w:lineRule="exact"/>
              <w:jc w:val="center"/>
              <w:rPr>
                <w:rFonts w:ascii="宋体" w:hAnsi="宋体"/>
                <w:szCs w:val="21"/>
              </w:rPr>
            </w:pPr>
          </w:p>
        </w:tc>
      </w:tr>
      <w:tr w14:paraId="167393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59852F79">
            <w:pPr>
              <w:jc w:val="center"/>
              <w:rPr>
                <w:rFonts w:ascii="宋体" w:hAnsi="宋体"/>
                <w:szCs w:val="21"/>
              </w:rPr>
            </w:pPr>
            <w:r>
              <w:rPr>
                <w:rFonts w:ascii="宋体" w:hAnsi="宋体"/>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14:paraId="42605E0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B933A1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C2DF76E">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668FAEA">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86335F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3F40485">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D9688F4">
            <w:pPr>
              <w:spacing w:line="240" w:lineRule="exact"/>
              <w:jc w:val="center"/>
              <w:rPr>
                <w:rFonts w:ascii="宋体" w:hAnsi="宋体"/>
                <w:szCs w:val="21"/>
              </w:rPr>
            </w:pPr>
          </w:p>
        </w:tc>
      </w:tr>
      <w:tr w14:paraId="45C276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17A8C969">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4879B7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72F7A10">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6652D8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9CE2E9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B0C9DA5">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65053B8">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E609700">
            <w:pPr>
              <w:spacing w:line="240" w:lineRule="exact"/>
              <w:jc w:val="center"/>
              <w:rPr>
                <w:rFonts w:ascii="宋体" w:hAnsi="宋体"/>
                <w:szCs w:val="21"/>
              </w:rPr>
            </w:pPr>
          </w:p>
        </w:tc>
      </w:tr>
      <w:tr w14:paraId="795BBF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6DDD4F33">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C2F0F4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87E1C25">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D7A07A1">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D8B8360">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C8D6DC0">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6B5091A">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90A3CBD">
            <w:pPr>
              <w:spacing w:line="240" w:lineRule="exact"/>
              <w:jc w:val="center"/>
              <w:rPr>
                <w:rFonts w:ascii="宋体" w:hAnsi="宋体"/>
                <w:szCs w:val="21"/>
              </w:rPr>
            </w:pPr>
          </w:p>
        </w:tc>
      </w:tr>
    </w:tbl>
    <w:p w14:paraId="77C04071">
      <w:pPr>
        <w:spacing w:line="400" w:lineRule="exact"/>
        <w:ind w:left="360"/>
        <w:rPr>
          <w:rFonts w:ascii="宋体" w:hAnsi="宋体"/>
          <w:sz w:val="24"/>
        </w:rPr>
      </w:pPr>
      <w:r>
        <w:rPr>
          <w:rFonts w:hint="eastAsia" w:ascii="宋体" w:hAnsi="宋体"/>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14:paraId="1AC5C166">
      <w:pPr>
        <w:rPr>
          <w:rFonts w:ascii="宋体" w:hAnsi="宋体"/>
          <w:sz w:val="24"/>
        </w:rPr>
      </w:pPr>
    </w:p>
    <w:p w14:paraId="48CBC645">
      <w:pPr>
        <w:spacing w:line="400" w:lineRule="exact"/>
        <w:ind w:firstLine="320" w:firstLineChars="100"/>
        <w:rPr>
          <w:rFonts w:ascii="宋体" w:hAnsi="宋体"/>
          <w:sz w:val="32"/>
          <w:szCs w:val="32"/>
        </w:rPr>
      </w:pPr>
      <w:r>
        <w:rPr>
          <w:rFonts w:hint="eastAsia" w:ascii="宋体" w:hAnsi="宋体"/>
          <w:sz w:val="32"/>
          <w:szCs w:val="32"/>
        </w:rPr>
        <w:t xml:space="preserve">  法人或委托代理人（签字或加盖私章）：</w:t>
      </w:r>
    </w:p>
    <w:p w14:paraId="7F3F2435">
      <w:pPr>
        <w:spacing w:line="400" w:lineRule="exact"/>
        <w:rPr>
          <w:rFonts w:ascii="宋体" w:hAnsi="宋体"/>
          <w:sz w:val="32"/>
          <w:szCs w:val="32"/>
        </w:rPr>
      </w:pPr>
    </w:p>
    <w:p w14:paraId="114D02A6">
      <w:pPr>
        <w:spacing w:line="400" w:lineRule="exact"/>
        <w:rPr>
          <w:rFonts w:ascii="宋体" w:hAnsi="宋体"/>
          <w:sz w:val="32"/>
          <w:szCs w:val="32"/>
        </w:rPr>
      </w:pPr>
      <w:r>
        <w:rPr>
          <w:rFonts w:hint="eastAsia" w:ascii="宋体" w:hAnsi="宋体"/>
          <w:sz w:val="32"/>
          <w:szCs w:val="32"/>
        </w:rPr>
        <w:t>报价人单位（盖章）：</w:t>
      </w:r>
    </w:p>
    <w:p w14:paraId="7BD8A603">
      <w:pPr>
        <w:rPr>
          <w:b/>
          <w:bCs/>
          <w:sz w:val="32"/>
        </w:rPr>
      </w:pPr>
      <w:r>
        <w:rPr>
          <w:rFonts w:hint="eastAsia"/>
          <w:b/>
          <w:bCs/>
          <w:sz w:val="32"/>
        </w:rPr>
        <w:br w:type="page"/>
      </w:r>
    </w:p>
    <w:p w14:paraId="510C1295">
      <w:pPr>
        <w:numPr>
          <w:ilvl w:val="0"/>
          <w:numId w:val="9"/>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商务条款响应表（固定格式）</w:t>
      </w:r>
    </w:p>
    <w:tbl>
      <w:tblPr>
        <w:tblStyle w:val="28"/>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14:paraId="522747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332286F2">
            <w:pPr>
              <w:jc w:val="center"/>
              <w:rPr>
                <w:rFonts w:ascii="宋体" w:hAnsi="宋体"/>
                <w:b/>
                <w:bCs/>
                <w:szCs w:val="21"/>
              </w:rPr>
            </w:pPr>
            <w:r>
              <w:rPr>
                <w:rFonts w:hint="eastAsia" w:ascii="宋体" w:hAnsi="宋体"/>
                <w:b/>
                <w:bCs/>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14:paraId="6A110EF8">
            <w:pPr>
              <w:jc w:val="center"/>
              <w:rPr>
                <w:rFonts w:ascii="宋体" w:hAnsi="宋体"/>
                <w:b/>
                <w:bCs/>
                <w:szCs w:val="21"/>
              </w:rPr>
            </w:pPr>
            <w:r>
              <w:rPr>
                <w:rFonts w:hint="eastAsia" w:ascii="宋体" w:hAnsi="宋体"/>
                <w:b/>
                <w:bCs/>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14:paraId="786E6763">
            <w:pPr>
              <w:jc w:val="center"/>
              <w:rPr>
                <w:rFonts w:ascii="宋体" w:hAnsi="宋体"/>
                <w:b/>
                <w:bCs/>
                <w:szCs w:val="21"/>
              </w:rPr>
            </w:pPr>
            <w:r>
              <w:rPr>
                <w:rFonts w:hint="eastAsia" w:ascii="宋体" w:hAnsi="宋体"/>
                <w:b/>
                <w:bCs/>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14:paraId="50AF767C">
            <w:pPr>
              <w:jc w:val="center"/>
              <w:rPr>
                <w:rFonts w:ascii="宋体" w:hAnsi="宋体"/>
                <w:b/>
                <w:bCs/>
                <w:szCs w:val="21"/>
              </w:rPr>
            </w:pPr>
            <w:r>
              <w:rPr>
                <w:rFonts w:hint="eastAsia" w:ascii="宋体" w:hAnsi="宋体"/>
                <w:b/>
                <w:bCs/>
                <w:szCs w:val="21"/>
              </w:rPr>
              <w:t>商务条款偏离情况</w:t>
            </w:r>
          </w:p>
        </w:tc>
      </w:tr>
      <w:tr w14:paraId="0419F6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3A8417D6">
            <w:pPr>
              <w:jc w:val="center"/>
              <w:rPr>
                <w:rFonts w:ascii="宋体" w:hAnsi="宋体"/>
                <w:b/>
                <w:bCs/>
                <w:szCs w:val="21"/>
              </w:rPr>
            </w:pPr>
            <w:r>
              <w:rPr>
                <w:rFonts w:ascii="宋体" w:hAnsi="宋体"/>
                <w:b/>
                <w:bCs/>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14:paraId="2D4E5D25">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07C6084">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2FEDD79D">
            <w:pPr>
              <w:jc w:val="center"/>
              <w:rPr>
                <w:rFonts w:ascii="宋体" w:hAnsi="宋体"/>
                <w:szCs w:val="21"/>
              </w:rPr>
            </w:pPr>
          </w:p>
        </w:tc>
      </w:tr>
      <w:tr w14:paraId="70ADB0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715B1889">
            <w:pPr>
              <w:jc w:val="center"/>
              <w:rPr>
                <w:rFonts w:ascii="宋体" w:hAnsi="宋体"/>
                <w:b/>
                <w:bCs/>
                <w:szCs w:val="21"/>
              </w:rPr>
            </w:pPr>
            <w:r>
              <w:rPr>
                <w:rFonts w:ascii="宋体" w:hAnsi="宋体"/>
                <w:b/>
                <w:bCs/>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14:paraId="4407A232">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3A8A4B70">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3AF27F80">
            <w:pPr>
              <w:spacing w:line="240" w:lineRule="exact"/>
              <w:jc w:val="center"/>
              <w:rPr>
                <w:rFonts w:ascii="宋体" w:hAnsi="宋体"/>
                <w:szCs w:val="21"/>
              </w:rPr>
            </w:pPr>
          </w:p>
        </w:tc>
      </w:tr>
      <w:tr w14:paraId="3D5802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0B9BB1CA">
            <w:pPr>
              <w:jc w:val="center"/>
              <w:rPr>
                <w:rFonts w:ascii="宋体" w:hAnsi="宋体"/>
                <w:b/>
                <w:bCs/>
                <w:szCs w:val="21"/>
              </w:rPr>
            </w:pPr>
            <w:r>
              <w:rPr>
                <w:rFonts w:ascii="宋体" w:hAnsi="宋体"/>
                <w:b/>
                <w:bCs/>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14:paraId="5E0E5EBA">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50F2CCA9">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5852E2B">
            <w:pPr>
              <w:spacing w:line="240" w:lineRule="exact"/>
              <w:jc w:val="center"/>
              <w:rPr>
                <w:rFonts w:ascii="宋体" w:hAnsi="宋体"/>
                <w:szCs w:val="21"/>
              </w:rPr>
            </w:pPr>
          </w:p>
        </w:tc>
      </w:tr>
      <w:tr w14:paraId="641F22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33D84C15">
            <w:pPr>
              <w:jc w:val="center"/>
              <w:rPr>
                <w:rFonts w:ascii="宋体" w:hAnsi="宋体"/>
                <w:b/>
                <w:bCs/>
                <w:szCs w:val="21"/>
              </w:rPr>
            </w:pPr>
            <w:r>
              <w:rPr>
                <w:rFonts w:ascii="宋体" w:hAnsi="宋体"/>
                <w:b/>
                <w:bCs/>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14:paraId="5BED9F9E">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3B2E9D7E">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4737376">
            <w:pPr>
              <w:spacing w:line="240" w:lineRule="exact"/>
              <w:jc w:val="center"/>
              <w:rPr>
                <w:rFonts w:ascii="宋体" w:hAnsi="宋体"/>
                <w:szCs w:val="21"/>
              </w:rPr>
            </w:pPr>
          </w:p>
        </w:tc>
      </w:tr>
      <w:tr w14:paraId="40FE84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1B790559">
            <w:pPr>
              <w:jc w:val="center"/>
              <w:rPr>
                <w:rFonts w:ascii="宋体" w:hAnsi="宋体"/>
                <w:b/>
                <w:bCs/>
                <w:szCs w:val="21"/>
              </w:rPr>
            </w:pPr>
            <w:r>
              <w:rPr>
                <w:rFonts w:ascii="宋体" w:hAnsi="宋体"/>
                <w:b/>
                <w:bCs/>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14:paraId="28472C7A">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5A414E7E">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CC1AAFB">
            <w:pPr>
              <w:spacing w:line="240" w:lineRule="exact"/>
              <w:jc w:val="center"/>
              <w:rPr>
                <w:rFonts w:ascii="宋体" w:hAnsi="宋体"/>
                <w:szCs w:val="21"/>
              </w:rPr>
            </w:pPr>
          </w:p>
        </w:tc>
      </w:tr>
      <w:tr w14:paraId="71DF90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32557BC4">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434C4EF4">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01C546A">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380B9BE8">
            <w:pPr>
              <w:spacing w:line="240" w:lineRule="exact"/>
              <w:jc w:val="center"/>
              <w:rPr>
                <w:rFonts w:ascii="宋体" w:hAnsi="宋体"/>
                <w:szCs w:val="21"/>
              </w:rPr>
            </w:pPr>
          </w:p>
        </w:tc>
      </w:tr>
      <w:tr w14:paraId="25C74A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49C6BE99">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204E7B9B">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1B8CFAF0">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28D812F3">
            <w:pPr>
              <w:spacing w:line="240" w:lineRule="exact"/>
              <w:jc w:val="center"/>
              <w:rPr>
                <w:rFonts w:ascii="宋体" w:hAnsi="宋体"/>
                <w:szCs w:val="21"/>
              </w:rPr>
            </w:pPr>
          </w:p>
        </w:tc>
      </w:tr>
    </w:tbl>
    <w:p w14:paraId="07515CC0">
      <w:pPr>
        <w:spacing w:line="400" w:lineRule="exact"/>
        <w:ind w:left="360"/>
        <w:rPr>
          <w:rFonts w:ascii="宋体" w:hAnsi="宋体"/>
          <w:sz w:val="24"/>
        </w:rPr>
      </w:pPr>
      <w:r>
        <w:rPr>
          <w:rFonts w:hint="eastAsia" w:ascii="宋体" w:hAnsi="宋体"/>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14:paraId="35742AFC"/>
    <w:p w14:paraId="32DBB5BD">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03CEBBC5">
      <w:pPr>
        <w:spacing w:line="400" w:lineRule="exact"/>
        <w:rPr>
          <w:rFonts w:ascii="宋体" w:hAnsi="宋体"/>
          <w:sz w:val="32"/>
          <w:szCs w:val="32"/>
        </w:rPr>
      </w:pPr>
    </w:p>
    <w:p w14:paraId="253A72B5">
      <w:pPr>
        <w:spacing w:line="400" w:lineRule="exact"/>
        <w:rPr>
          <w:rFonts w:ascii="宋体" w:hAnsi="宋体"/>
          <w:sz w:val="32"/>
          <w:szCs w:val="32"/>
        </w:rPr>
      </w:pPr>
      <w:r>
        <w:rPr>
          <w:rFonts w:hint="eastAsia" w:ascii="宋体" w:hAnsi="宋体"/>
          <w:sz w:val="32"/>
          <w:szCs w:val="32"/>
        </w:rPr>
        <w:t>报价人单位（盖章）：</w:t>
      </w:r>
    </w:p>
    <w:p w14:paraId="3DA6BBDA">
      <w:pPr>
        <w:rPr>
          <w:rFonts w:ascii="宋体" w:hAnsi="宋体"/>
          <w:sz w:val="24"/>
        </w:rPr>
      </w:pPr>
      <w:r>
        <w:rPr>
          <w:rFonts w:hint="eastAsia" w:ascii="宋体" w:hAnsi="宋体"/>
          <w:sz w:val="24"/>
        </w:rPr>
        <w:br w:type="page"/>
      </w:r>
    </w:p>
    <w:p w14:paraId="3692DB89">
      <w:pPr>
        <w:numPr>
          <w:ilvl w:val="0"/>
          <w:numId w:val="9"/>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b/>
          <w:sz w:val="44"/>
          <w:szCs w:val="44"/>
        </w:rPr>
        <w:t>报价人声明及承诺（固定格式）</w:t>
      </w:r>
    </w:p>
    <w:p w14:paraId="6A90475D">
      <w:pPr>
        <w:spacing w:line="560" w:lineRule="exact"/>
        <w:rPr>
          <w:rFonts w:ascii="宋体" w:hAnsi="宋体"/>
          <w:sz w:val="28"/>
          <w:szCs w:val="28"/>
        </w:rPr>
      </w:pPr>
    </w:p>
    <w:p w14:paraId="6264C85A">
      <w:pPr>
        <w:spacing w:line="400" w:lineRule="exact"/>
        <w:rPr>
          <w:rFonts w:ascii="宋体" w:hAnsi="宋体"/>
          <w:b/>
          <w:sz w:val="24"/>
        </w:rPr>
      </w:pPr>
      <w:r>
        <w:rPr>
          <w:rFonts w:hint="eastAsia" w:ascii="宋体" w:hAnsi="宋体"/>
          <w:sz w:val="24"/>
        </w:rPr>
        <w:t xml:space="preserve">致: </w:t>
      </w:r>
      <w:r>
        <w:rPr>
          <w:rFonts w:hint="eastAsia" w:ascii="宋体" w:hAnsi="宋体"/>
          <w:b/>
          <w:kern w:val="28"/>
          <w:sz w:val="24"/>
          <w:u w:val="double"/>
        </w:rPr>
        <w:t>（采购单位名称）</w:t>
      </w:r>
    </w:p>
    <w:p w14:paraId="5279B553">
      <w:pPr>
        <w:spacing w:line="400" w:lineRule="exact"/>
        <w:ind w:firstLine="410" w:firstLineChars="171"/>
        <w:rPr>
          <w:rFonts w:ascii="宋体" w:hAnsi="宋体"/>
          <w:sz w:val="24"/>
        </w:rPr>
      </w:pPr>
      <w:r>
        <w:rPr>
          <w:rFonts w:hint="eastAsia" w:ascii="宋体" w:hAnsi="宋体"/>
          <w:sz w:val="24"/>
        </w:rPr>
        <w:t>我方确认收到贵方提供的</w:t>
      </w:r>
      <w:r>
        <w:rPr>
          <w:rFonts w:hint="eastAsia" w:ascii="宋体" w:hAnsi="宋体"/>
          <w:b/>
          <w:kern w:val="28"/>
          <w:sz w:val="24"/>
          <w:u w:val="single"/>
        </w:rPr>
        <w:t xml:space="preserve">                采购项目（项目编号：     ）</w:t>
      </w:r>
      <w:r>
        <w:rPr>
          <w:rFonts w:hint="eastAsia" w:ascii="宋体" w:hAnsi="宋体"/>
          <w:sz w:val="24"/>
        </w:rPr>
        <w:t>的采购书的全部内容，我方：</w:t>
      </w:r>
      <w:r>
        <w:rPr>
          <w:rFonts w:hint="eastAsia" w:ascii="宋体" w:hAnsi="宋体"/>
          <w:b/>
          <w:sz w:val="24"/>
          <w:u w:val="single"/>
        </w:rPr>
        <w:t xml:space="preserve">(报价人名称)                 </w:t>
      </w:r>
      <w:r>
        <w:rPr>
          <w:rFonts w:hint="eastAsia" w:ascii="宋体" w:hAnsi="宋体"/>
          <w:sz w:val="24"/>
        </w:rPr>
        <w:t>作为报价人正式授权</w:t>
      </w:r>
      <w:r>
        <w:rPr>
          <w:rFonts w:hint="eastAsia" w:ascii="宋体" w:hAnsi="宋体"/>
          <w:b/>
          <w:sz w:val="24"/>
          <w:u w:val="single"/>
        </w:rPr>
        <w:t xml:space="preserve"> (代理人全名、职务、身份证号码)              </w:t>
      </w:r>
      <w:r>
        <w:rPr>
          <w:rFonts w:hint="eastAsia" w:ascii="宋体" w:hAnsi="宋体"/>
          <w:sz w:val="24"/>
        </w:rPr>
        <w:t>代表我方进行有关本报价的一切事宜。</w:t>
      </w:r>
    </w:p>
    <w:p w14:paraId="3DA0FD20">
      <w:pPr>
        <w:spacing w:line="400" w:lineRule="exact"/>
        <w:ind w:firstLine="570"/>
        <w:rPr>
          <w:rFonts w:ascii="宋体" w:hAnsi="宋体"/>
          <w:b/>
          <w:sz w:val="24"/>
        </w:rPr>
      </w:pPr>
      <w:r>
        <w:rPr>
          <w:rFonts w:hint="eastAsia" w:ascii="宋体" w:hAnsi="宋体"/>
          <w:b/>
          <w:sz w:val="24"/>
        </w:rPr>
        <w:t>我方已完全明白采购书的所有条款要求，并重申以下几点：</w:t>
      </w:r>
    </w:p>
    <w:p w14:paraId="430CB83F">
      <w:pPr>
        <w:numPr>
          <w:ilvl w:val="0"/>
          <w:numId w:val="11"/>
        </w:numPr>
        <w:spacing w:line="400" w:lineRule="exact"/>
        <w:rPr>
          <w:rFonts w:ascii="宋体" w:hAnsi="宋体"/>
          <w:sz w:val="24"/>
        </w:rPr>
      </w:pPr>
      <w:r>
        <w:rPr>
          <w:rFonts w:hint="eastAsia" w:ascii="宋体" w:hAnsi="宋体"/>
          <w:sz w:val="24"/>
        </w:rPr>
        <w:t>按采购书要求提供的报价总价详见《报价一览表》。</w:t>
      </w:r>
    </w:p>
    <w:p w14:paraId="4BBAE934">
      <w:pPr>
        <w:numPr>
          <w:ilvl w:val="0"/>
          <w:numId w:val="11"/>
        </w:numPr>
        <w:spacing w:line="400" w:lineRule="exact"/>
        <w:rPr>
          <w:rFonts w:ascii="宋体" w:hAnsi="宋体"/>
          <w:sz w:val="24"/>
        </w:rPr>
      </w:pPr>
      <w:r>
        <w:rPr>
          <w:rFonts w:hint="eastAsia" w:ascii="宋体" w:hAnsi="宋体"/>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14:paraId="02412065">
      <w:pPr>
        <w:numPr>
          <w:ilvl w:val="0"/>
          <w:numId w:val="11"/>
        </w:numPr>
        <w:spacing w:line="400" w:lineRule="exact"/>
        <w:rPr>
          <w:rFonts w:ascii="宋体" w:hAnsi="宋体"/>
          <w:sz w:val="24"/>
        </w:rPr>
      </w:pPr>
      <w:r>
        <w:rPr>
          <w:rFonts w:hint="eastAsia" w:ascii="宋体" w:hAnsi="宋体"/>
          <w:sz w:val="24"/>
        </w:rPr>
        <w:t>我方同意按照贵方可能提出的要求而提供与报价有关的其它任何数据、信息或资料。</w:t>
      </w:r>
    </w:p>
    <w:p w14:paraId="3E53002A">
      <w:pPr>
        <w:numPr>
          <w:ilvl w:val="0"/>
          <w:numId w:val="11"/>
        </w:numPr>
        <w:spacing w:line="400" w:lineRule="exact"/>
        <w:rPr>
          <w:rFonts w:ascii="宋体" w:hAnsi="宋体"/>
          <w:sz w:val="24"/>
        </w:rPr>
      </w:pPr>
      <w:r>
        <w:rPr>
          <w:rFonts w:hint="eastAsia" w:ascii="宋体" w:hAnsi="宋体"/>
          <w:sz w:val="24"/>
        </w:rPr>
        <w:t>我方理解贵方不一定接受最低报价。</w:t>
      </w:r>
    </w:p>
    <w:p w14:paraId="1FF12FDB">
      <w:pPr>
        <w:numPr>
          <w:ilvl w:val="0"/>
          <w:numId w:val="11"/>
        </w:numPr>
        <w:spacing w:line="400" w:lineRule="exact"/>
        <w:rPr>
          <w:rFonts w:ascii="宋体" w:hAnsi="宋体"/>
          <w:sz w:val="24"/>
        </w:rPr>
      </w:pPr>
      <w:r>
        <w:rPr>
          <w:rFonts w:hint="eastAsia" w:ascii="宋体" w:hAnsi="宋体"/>
          <w:sz w:val="24"/>
        </w:rPr>
        <w:t>我方如果成交，将保证履行采购书及其澄清、修改文件（如果有）中的全部责任和义务，按质、按量、按期履行好合同。</w:t>
      </w:r>
    </w:p>
    <w:p w14:paraId="10BCF6E3">
      <w:pPr>
        <w:numPr>
          <w:ilvl w:val="0"/>
          <w:numId w:val="11"/>
        </w:numPr>
        <w:spacing w:line="400" w:lineRule="exact"/>
        <w:rPr>
          <w:rFonts w:ascii="宋体" w:hAnsi="宋体"/>
          <w:sz w:val="24"/>
        </w:rPr>
      </w:pPr>
      <w:r>
        <w:rPr>
          <w:rFonts w:hint="eastAsia" w:ascii="宋体" w:hAnsi="宋体"/>
          <w:sz w:val="24"/>
        </w:rPr>
        <w:t>我方作为</w:t>
      </w:r>
      <w:r>
        <w:rPr>
          <w:rFonts w:hint="eastAsia" w:ascii="宋体" w:hAnsi="宋体"/>
          <w:b/>
          <w:sz w:val="24"/>
          <w:u w:val="single"/>
        </w:rPr>
        <w:t>（</w:t>
      </w:r>
      <w:r>
        <w:rPr>
          <w:rFonts w:hint="eastAsia" w:ascii="宋体" w:hAnsi="宋体"/>
          <w:b/>
          <w:i/>
          <w:sz w:val="24"/>
          <w:u w:val="single"/>
        </w:rPr>
        <w:t>制造商/代理商）</w:t>
      </w:r>
      <w:r>
        <w:rPr>
          <w:rFonts w:hint="eastAsia" w:ascii="宋体" w:hAnsi="宋体"/>
          <w:sz w:val="24"/>
        </w:rPr>
        <w:t>是在法律、财务和运作上独立于采购人的报价人，在此保证所提交的所有文件和全部说明是真实的、准确的、有效的。</w:t>
      </w:r>
    </w:p>
    <w:p w14:paraId="2C5CF8B1">
      <w:pPr>
        <w:numPr>
          <w:ilvl w:val="0"/>
          <w:numId w:val="11"/>
        </w:numPr>
        <w:spacing w:line="400" w:lineRule="exact"/>
        <w:rPr>
          <w:rFonts w:ascii="宋体" w:hAnsi="宋体"/>
          <w:sz w:val="24"/>
        </w:rPr>
      </w:pPr>
      <w:r>
        <w:rPr>
          <w:rFonts w:hint="eastAsia" w:ascii="宋体" w:hAnsi="宋体"/>
          <w:sz w:val="24"/>
        </w:rPr>
        <w:t>我方报价已包含应向知识产权所有权人支付的所有相关税费。并保证，招标人在中国使用我方提供的货物时，如有第三方提出侵犯其知识产权主张的，责任由我方承担。</w:t>
      </w:r>
    </w:p>
    <w:p w14:paraId="00B7A239">
      <w:pPr>
        <w:numPr>
          <w:ilvl w:val="0"/>
          <w:numId w:val="12"/>
        </w:numPr>
        <w:tabs>
          <w:tab w:val="left" w:pos="0"/>
        </w:tabs>
        <w:spacing w:line="440" w:lineRule="exact"/>
        <w:rPr>
          <w:rFonts w:ascii="宋体" w:hAnsi="宋体"/>
          <w:sz w:val="24"/>
        </w:rPr>
      </w:pPr>
      <w:r>
        <w:rPr>
          <w:rFonts w:hint="eastAsia" w:ascii="宋体" w:hAnsi="宋体"/>
          <w:sz w:val="24"/>
        </w:rPr>
        <w:t>我方对在采购响应文件及采购过程中所作出的所有承诺承担法律责任。</w:t>
      </w:r>
    </w:p>
    <w:p w14:paraId="4EECFBEF">
      <w:pPr>
        <w:numPr>
          <w:ilvl w:val="0"/>
          <w:numId w:val="11"/>
        </w:numPr>
        <w:spacing w:line="400" w:lineRule="exact"/>
        <w:rPr>
          <w:rFonts w:ascii="宋体" w:hAnsi="宋体"/>
          <w:sz w:val="24"/>
        </w:rPr>
      </w:pPr>
      <w:r>
        <w:rPr>
          <w:rFonts w:hint="eastAsia" w:ascii="宋体" w:hAnsi="宋体"/>
          <w:snapToGrid w:val="0"/>
          <w:kern w:val="0"/>
          <w:sz w:val="24"/>
        </w:rPr>
        <w:t>我方在近三年没有违法行为，在以往政府招标采购活动中没有违规和违约行为，并保证所供货物及服务来源合法，否则由我方承担因此产生的法律责任和经济责任。</w:t>
      </w:r>
    </w:p>
    <w:p w14:paraId="711425B9">
      <w:pPr>
        <w:numPr>
          <w:ilvl w:val="0"/>
          <w:numId w:val="11"/>
        </w:numPr>
        <w:spacing w:line="400" w:lineRule="exact"/>
        <w:rPr>
          <w:rFonts w:ascii="宋体" w:hAnsi="宋体"/>
          <w:sz w:val="24"/>
        </w:rPr>
      </w:pPr>
      <w:r>
        <w:rPr>
          <w:rFonts w:hint="eastAsia" w:ascii="宋体" w:hAnsi="宋体"/>
          <w:sz w:val="24"/>
        </w:rPr>
        <w:t>所有与本采购项目有关的函件请发往下列地址：</w:t>
      </w:r>
    </w:p>
    <w:p w14:paraId="4D9B4BF7">
      <w:pPr>
        <w:spacing w:line="400" w:lineRule="exact"/>
        <w:rPr>
          <w:rFonts w:ascii="宋体" w:hAnsi="宋体"/>
          <w:sz w:val="24"/>
        </w:rPr>
      </w:pPr>
    </w:p>
    <w:p w14:paraId="5539941C">
      <w:pPr>
        <w:spacing w:line="440" w:lineRule="exact"/>
        <w:rPr>
          <w:rFonts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p>
    <w:p w14:paraId="6366D17D">
      <w:pPr>
        <w:spacing w:line="440" w:lineRule="exact"/>
        <w:ind w:firstLine="240" w:firstLineChars="100"/>
        <w:rPr>
          <w:rFonts w:ascii="宋体" w:hAnsi="宋体"/>
          <w:sz w:val="24"/>
          <w:u w:val="single"/>
        </w:rPr>
      </w:pPr>
      <w:r>
        <w:rPr>
          <w:rFonts w:hint="eastAsia" w:ascii="宋体" w:hAnsi="宋体"/>
          <w:sz w:val="24"/>
        </w:rPr>
        <w:t>地    址：.邮政编码：.</w:t>
      </w:r>
    </w:p>
    <w:p w14:paraId="736000D2">
      <w:pPr>
        <w:spacing w:line="440" w:lineRule="exact"/>
        <w:rPr>
          <w:rFonts w:ascii="宋体" w:hAnsi="宋体"/>
          <w:sz w:val="24"/>
          <w:u w:val="single"/>
        </w:rPr>
      </w:pPr>
      <w:r>
        <w:rPr>
          <w:rFonts w:hint="eastAsia" w:ascii="宋体" w:hAnsi="宋体"/>
          <w:sz w:val="24"/>
        </w:rPr>
        <w:t xml:space="preserve">  代表姓名：.职    务：.</w:t>
      </w:r>
    </w:p>
    <w:p w14:paraId="4857D434">
      <w:pPr>
        <w:spacing w:line="560" w:lineRule="exact"/>
        <w:ind w:firstLine="280" w:firstLineChars="100"/>
        <w:rPr>
          <w:rFonts w:ascii="宋体" w:hAnsi="宋体"/>
          <w:sz w:val="28"/>
          <w:szCs w:val="28"/>
        </w:rPr>
      </w:pPr>
      <w:r>
        <w:rPr>
          <w:rFonts w:hint="eastAsia" w:ascii="宋体" w:hAnsi="宋体"/>
          <w:sz w:val="28"/>
          <w:szCs w:val="28"/>
        </w:rPr>
        <w:t>特此声明。</w:t>
      </w:r>
    </w:p>
    <w:p w14:paraId="16FE5C35">
      <w:pPr>
        <w:spacing w:line="480" w:lineRule="exact"/>
        <w:rPr>
          <w:rFonts w:ascii="宋体" w:hAnsi="宋体"/>
          <w:sz w:val="32"/>
          <w:szCs w:val="32"/>
        </w:rPr>
      </w:pPr>
    </w:p>
    <w:p w14:paraId="1CD849C0">
      <w:pPr>
        <w:spacing w:line="480" w:lineRule="exact"/>
        <w:rPr>
          <w:rFonts w:ascii="宋体" w:hAnsi="宋体"/>
          <w:sz w:val="32"/>
          <w:szCs w:val="32"/>
        </w:rPr>
      </w:pPr>
    </w:p>
    <w:p w14:paraId="7C74D645">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26CE7377">
      <w:pPr>
        <w:spacing w:line="400" w:lineRule="exact"/>
        <w:rPr>
          <w:rFonts w:ascii="宋体" w:hAnsi="宋体"/>
          <w:sz w:val="32"/>
          <w:szCs w:val="32"/>
        </w:rPr>
      </w:pPr>
    </w:p>
    <w:p w14:paraId="1CF8FF31">
      <w:pPr>
        <w:spacing w:line="400" w:lineRule="exact"/>
        <w:rPr>
          <w:rFonts w:ascii="宋体" w:hAnsi="宋体"/>
          <w:sz w:val="32"/>
          <w:szCs w:val="32"/>
        </w:rPr>
      </w:pPr>
      <w:r>
        <w:rPr>
          <w:rFonts w:hint="eastAsia" w:ascii="宋体" w:hAnsi="宋体"/>
          <w:sz w:val="32"/>
          <w:szCs w:val="32"/>
        </w:rPr>
        <w:t>报价人单位（盖章）：</w:t>
      </w:r>
    </w:p>
    <w:p w14:paraId="5AF68477">
      <w:pPr>
        <w:spacing w:line="400" w:lineRule="exact"/>
        <w:rPr>
          <w:rFonts w:ascii="宋体" w:hAnsi="宋体"/>
          <w:sz w:val="32"/>
          <w:szCs w:val="32"/>
        </w:rPr>
      </w:pPr>
    </w:p>
    <w:p w14:paraId="7BFC4683">
      <w:pPr>
        <w:spacing w:line="400" w:lineRule="exact"/>
        <w:rPr>
          <w:rFonts w:ascii="宋体" w:hAnsi="宋体"/>
          <w:sz w:val="32"/>
          <w:szCs w:val="32"/>
        </w:rPr>
      </w:pPr>
      <w:r>
        <w:rPr>
          <w:rFonts w:hint="eastAsia" w:ascii="宋体" w:hAnsi="宋体"/>
          <w:sz w:val="32"/>
          <w:szCs w:val="32"/>
        </w:rPr>
        <w:t xml:space="preserve">                                    年  月  日</w:t>
      </w:r>
    </w:p>
    <w:p w14:paraId="1BAF99C3">
      <w:pPr>
        <w:spacing w:line="320" w:lineRule="exact"/>
        <w:jc w:val="center"/>
        <w:rPr>
          <w:rFonts w:ascii="宋体" w:hAnsi="宋体"/>
          <w:b/>
          <w:sz w:val="28"/>
          <w:szCs w:val="28"/>
        </w:rPr>
      </w:pPr>
    </w:p>
    <w:p w14:paraId="21CB3178">
      <w:pPr>
        <w:spacing w:line="320" w:lineRule="exact"/>
        <w:jc w:val="center"/>
        <w:rPr>
          <w:rFonts w:ascii="宋体" w:hAnsi="宋体"/>
          <w:b/>
          <w:sz w:val="28"/>
          <w:szCs w:val="28"/>
        </w:rPr>
      </w:pPr>
    </w:p>
    <w:p w14:paraId="355DD1CF">
      <w:pPr>
        <w:rPr>
          <w:rFonts w:ascii="宋体" w:hAnsi="宋体"/>
          <w:b/>
          <w:sz w:val="44"/>
          <w:szCs w:val="44"/>
        </w:rPr>
      </w:pPr>
      <w:r>
        <w:rPr>
          <w:rFonts w:hint="eastAsia" w:ascii="宋体" w:hAnsi="宋体"/>
          <w:b/>
          <w:sz w:val="44"/>
          <w:szCs w:val="44"/>
        </w:rPr>
        <w:br w:type="page"/>
      </w:r>
    </w:p>
    <w:p w14:paraId="496C85C7">
      <w:pPr>
        <w:numPr>
          <w:ilvl w:val="0"/>
          <w:numId w:val="9"/>
        </w:numPr>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b/>
          <w:sz w:val="44"/>
          <w:szCs w:val="44"/>
        </w:rPr>
        <w:t>证明材料</w:t>
      </w:r>
    </w:p>
    <w:p w14:paraId="157E16CF">
      <w:pPr>
        <w:rPr>
          <w:b/>
          <w:sz w:val="44"/>
          <w:szCs w:val="44"/>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7DD0E3E-62DD-4D47-8CA3-C5ECA5B0574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A2A29A5-31F5-4194-B300-E5B324C33FDF}"/>
  </w:font>
  <w:font w:name="Cambria">
    <w:panose1 w:val="02040503050406030204"/>
    <w:charset w:val="00"/>
    <w:family w:val="roman"/>
    <w:pitch w:val="default"/>
    <w:sig w:usb0="E00006FF" w:usb1="420024FF" w:usb2="02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embedRegular r:id="rId3" w:fontKey="{46930B97-19E5-40F9-8B7F-C946525763BF}"/>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embedRegular r:id="rId4" w:fontKey="{3F5948F5-5216-4ADE-B6E1-15BD8C174404}"/>
  </w:font>
  <w:font w:name="楷体_GB2312">
    <w:altName w:val="楷体"/>
    <w:panose1 w:val="00000000000000000000"/>
    <w:charset w:val="86"/>
    <w:family w:val="modern"/>
    <w:pitch w:val="default"/>
    <w:sig w:usb0="00000000" w:usb1="00000000" w:usb2="00000000" w:usb3="00000000" w:csb0="00040000" w:csb1="00000000"/>
    <w:embedRegular r:id="rId5" w:fontKey="{5E244C57-D966-4FCD-B5D5-8A7DB5314B94}"/>
  </w:font>
  <w:font w:name="楷体">
    <w:panose1 w:val="02010609060101010101"/>
    <w:charset w:val="86"/>
    <w:family w:val="auto"/>
    <w:pitch w:val="default"/>
    <w:sig w:usb0="800002BF" w:usb1="38CF7CFA" w:usb2="00000016" w:usb3="00000000" w:csb0="00040001" w:csb1="00000000"/>
    <w:embedRegular r:id="rId6" w:fontKey="{767E4C93-10F7-4240-9779-04F99FCC515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4BDFD">
    <w:pPr>
      <w:pStyle w:val="17"/>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2D8AF74">
                          <w:pPr>
                            <w:pStyle w:val="17"/>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52D8AF74">
                    <w:pPr>
                      <w:pStyle w:val="17"/>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D86033B"/>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0D86033B"/>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DF0AA">
    <w:pPr>
      <w:pStyle w:val="1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009316B">
                          <w:pPr>
                            <w:pStyle w:val="17"/>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3009316B">
                    <w:pPr>
                      <w:pStyle w:val="17"/>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1D821">
    <w:pPr>
      <w:pStyle w:val="17"/>
      <w:ind w:right="360"/>
      <w:rPr>
        <w:u w:val="single"/>
      </w:rPr>
    </w:pPr>
  </w:p>
  <w:p w14:paraId="666837D5">
    <w:pPr>
      <w:pStyle w:val="1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F76DA">
    <w:pPr>
      <w:pStyle w:val="1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D8E9F">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E370F">
    <w:pPr>
      <w:pStyle w:val="18"/>
      <w:pBdr>
        <w:bottom w:val="none" w:color="auto" w:sz="0" w:space="1"/>
      </w:pBd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DA4DEA2">
                          <w:pPr>
                            <w:pStyle w:val="18"/>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5DA4DEA2">
                    <w:pPr>
                      <w:pStyle w:val="18"/>
                    </w:pPr>
                    <w:r>
                      <w:fldChar w:fldCharType="begin"/>
                    </w:r>
                    <w:r>
                      <w:instrText xml:space="preserve"> PAGE  \* MERGEFORMAT </w:instrText>
                    </w:r>
                    <w:r>
                      <w:fldChar w:fldCharType="separate"/>
                    </w:r>
                    <w:r>
                      <w:t>0</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A5079D62"/>
    <w:multiLevelType w:val="singleLevel"/>
    <w:tmpl w:val="A5079D62"/>
    <w:lvl w:ilvl="0" w:tentative="0">
      <w:start w:val="2"/>
      <w:numFmt w:val="decimal"/>
      <w:suff w:val="nothing"/>
      <w:lvlText w:val="（%1）"/>
      <w:lvlJc w:val="left"/>
    </w:lvl>
  </w:abstractNum>
  <w:abstractNum w:abstractNumId="2">
    <w:nsid w:val="AD9D038A"/>
    <w:multiLevelType w:val="singleLevel"/>
    <w:tmpl w:val="AD9D038A"/>
    <w:lvl w:ilvl="0" w:tentative="0">
      <w:start w:val="1"/>
      <w:numFmt w:val="decimal"/>
      <w:lvlText w:val="%1."/>
      <w:lvlJc w:val="left"/>
      <w:pPr>
        <w:ind w:left="425" w:hanging="425"/>
      </w:pPr>
      <w:rPr>
        <w:rFonts w:hint="default"/>
      </w:rPr>
    </w:lvl>
  </w:abstractNum>
  <w:abstractNum w:abstractNumId="3">
    <w:nsid w:val="B103DA9E"/>
    <w:multiLevelType w:val="singleLevel"/>
    <w:tmpl w:val="B103DA9E"/>
    <w:lvl w:ilvl="0" w:tentative="0">
      <w:start w:val="3"/>
      <w:numFmt w:val="chineseCounting"/>
      <w:suff w:val="nothing"/>
      <w:lvlText w:val="（%1）"/>
      <w:lvlJc w:val="left"/>
      <w:rPr>
        <w:rFonts w:hint="eastAsia"/>
      </w:rPr>
    </w:lvl>
  </w:abstractNum>
  <w:abstractNum w:abstractNumId="4">
    <w:nsid w:val="E91F1F3E"/>
    <w:multiLevelType w:val="singleLevel"/>
    <w:tmpl w:val="E91F1F3E"/>
    <w:lvl w:ilvl="0" w:tentative="0">
      <w:start w:val="7"/>
      <w:numFmt w:val="chineseCounting"/>
      <w:suff w:val="nothing"/>
      <w:lvlText w:val="%1、"/>
      <w:lvlJc w:val="left"/>
      <w:rPr>
        <w:rFonts w:hint="eastAsia"/>
      </w:rPr>
    </w:lvl>
  </w:abstractNum>
  <w:abstractNum w:abstractNumId="5">
    <w:nsid w:val="1EB37B4F"/>
    <w:multiLevelType w:val="multilevel"/>
    <w:tmpl w:val="1EB37B4F"/>
    <w:lvl w:ilvl="0" w:tentative="0">
      <w:start w:val="1"/>
      <w:numFmt w:val="decimal"/>
      <w:lvlText w:val="%1、"/>
      <w:lvlJc w:val="left"/>
      <w:pPr>
        <w:ind w:left="360" w:hanging="360"/>
      </w:pPr>
      <w:rPr>
        <w:rFonts w:ascii="宋体" w:hAnsi="宋体" w:eastAsia="宋体" w:cs="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7">
    <w:nsid w:val="407E65F9"/>
    <w:multiLevelType w:val="multilevel"/>
    <w:tmpl w:val="407E65F9"/>
    <w:lvl w:ilvl="0" w:tentative="0">
      <w:start w:val="0"/>
      <w:numFmt w:val="decimal"/>
      <w:pStyle w:val="94"/>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C3C74AC"/>
    <w:multiLevelType w:val="singleLevel"/>
    <w:tmpl w:val="5C3C74AC"/>
    <w:lvl w:ilvl="0" w:tentative="0">
      <w:start w:val="1"/>
      <w:numFmt w:val="chineseCounting"/>
      <w:suff w:val="nothing"/>
      <w:lvlText w:val="%1、"/>
      <w:lvlJc w:val="left"/>
      <w:rPr>
        <w:rFonts w:hint="eastAsia"/>
      </w:rPr>
    </w:lvl>
  </w:abstractNum>
  <w:abstractNum w:abstractNumId="10">
    <w:nsid w:val="5D1ACA94"/>
    <w:multiLevelType w:val="singleLevel"/>
    <w:tmpl w:val="5D1ACA94"/>
    <w:lvl w:ilvl="0" w:tentative="0">
      <w:start w:val="3"/>
      <w:numFmt w:val="decimal"/>
      <w:suff w:val="nothing"/>
      <w:lvlText w:val="%1、"/>
      <w:lvlJc w:val="left"/>
    </w:lvl>
  </w:abstractNum>
  <w:num w:numId="1">
    <w:abstractNumId w:val="7"/>
  </w:num>
  <w:num w:numId="2">
    <w:abstractNumId w:val="10"/>
  </w:num>
  <w:num w:numId="3">
    <w:abstractNumId w:val="4"/>
  </w:num>
  <w:num w:numId="4">
    <w:abstractNumId w:val="1"/>
  </w:num>
  <w:num w:numId="5">
    <w:abstractNumId w:val="5"/>
  </w:num>
  <w:num w:numId="6">
    <w:abstractNumId w:val="3"/>
  </w:num>
  <w:num w:numId="7">
    <w:abstractNumId w:val="2"/>
  </w:num>
  <w:num w:numId="8">
    <w:abstractNumId w:val="9"/>
  </w:num>
  <w:num w:numId="9">
    <w:abstractNumId w:val="0"/>
  </w:num>
  <w:num w:numId="10">
    <w:abstractNumId w:val="6"/>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NotTrackMoves/>
  <w:documentProtection w:enforcement="0"/>
  <w:defaultTabStop w:val="420"/>
  <w:evenAndOddHeaders w:val="1"/>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kNGZjZTUwODZkOTViZTYzMDc5MGNjODI1OWZiMDA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29C7941"/>
    <w:rsid w:val="0338148D"/>
    <w:rsid w:val="03AD1858"/>
    <w:rsid w:val="03D568F0"/>
    <w:rsid w:val="05940418"/>
    <w:rsid w:val="07654F6A"/>
    <w:rsid w:val="079E325C"/>
    <w:rsid w:val="0A2F4D76"/>
    <w:rsid w:val="0BEE41F8"/>
    <w:rsid w:val="0D0015C5"/>
    <w:rsid w:val="0E6949B3"/>
    <w:rsid w:val="0F666038"/>
    <w:rsid w:val="0FEF4AD0"/>
    <w:rsid w:val="11FA2096"/>
    <w:rsid w:val="12254861"/>
    <w:rsid w:val="12B4052F"/>
    <w:rsid w:val="12EC524A"/>
    <w:rsid w:val="13071F04"/>
    <w:rsid w:val="13C52591"/>
    <w:rsid w:val="14A66120"/>
    <w:rsid w:val="14E23522"/>
    <w:rsid w:val="168532DC"/>
    <w:rsid w:val="173373DC"/>
    <w:rsid w:val="1753107A"/>
    <w:rsid w:val="18DC1D83"/>
    <w:rsid w:val="18DD33E1"/>
    <w:rsid w:val="18EE0C00"/>
    <w:rsid w:val="1AE42B15"/>
    <w:rsid w:val="1C6369B6"/>
    <w:rsid w:val="20BC39CA"/>
    <w:rsid w:val="213E5304"/>
    <w:rsid w:val="21E00F42"/>
    <w:rsid w:val="245F6E0F"/>
    <w:rsid w:val="24905418"/>
    <w:rsid w:val="263B5217"/>
    <w:rsid w:val="27192484"/>
    <w:rsid w:val="27C423D8"/>
    <w:rsid w:val="28E13EA5"/>
    <w:rsid w:val="291150CE"/>
    <w:rsid w:val="29DD1254"/>
    <w:rsid w:val="2E2429AD"/>
    <w:rsid w:val="2E7F096C"/>
    <w:rsid w:val="2E950643"/>
    <w:rsid w:val="305B2BFC"/>
    <w:rsid w:val="311763F2"/>
    <w:rsid w:val="3237724D"/>
    <w:rsid w:val="32C61B83"/>
    <w:rsid w:val="344B05CF"/>
    <w:rsid w:val="34683033"/>
    <w:rsid w:val="35B77661"/>
    <w:rsid w:val="36583023"/>
    <w:rsid w:val="3713274F"/>
    <w:rsid w:val="39A6093D"/>
    <w:rsid w:val="3BF75747"/>
    <w:rsid w:val="3D832EB5"/>
    <w:rsid w:val="3EB43B95"/>
    <w:rsid w:val="3F0535D6"/>
    <w:rsid w:val="401A05CF"/>
    <w:rsid w:val="40652603"/>
    <w:rsid w:val="42532A81"/>
    <w:rsid w:val="442F0A64"/>
    <w:rsid w:val="44FE771E"/>
    <w:rsid w:val="453D2E2E"/>
    <w:rsid w:val="455B5F6E"/>
    <w:rsid w:val="4678338B"/>
    <w:rsid w:val="476B2D91"/>
    <w:rsid w:val="48833F13"/>
    <w:rsid w:val="4ADD6003"/>
    <w:rsid w:val="4BEB2A35"/>
    <w:rsid w:val="4C9204F0"/>
    <w:rsid w:val="4DBA5FA6"/>
    <w:rsid w:val="4DD5065C"/>
    <w:rsid w:val="4F2C0B0D"/>
    <w:rsid w:val="507A5425"/>
    <w:rsid w:val="50C30629"/>
    <w:rsid w:val="51577DD1"/>
    <w:rsid w:val="51AB09AF"/>
    <w:rsid w:val="520732F2"/>
    <w:rsid w:val="531269D1"/>
    <w:rsid w:val="54B4589B"/>
    <w:rsid w:val="55B90436"/>
    <w:rsid w:val="57434CFA"/>
    <w:rsid w:val="5A165665"/>
    <w:rsid w:val="5A965CB3"/>
    <w:rsid w:val="5C097FBF"/>
    <w:rsid w:val="5C837B0E"/>
    <w:rsid w:val="5CFE645C"/>
    <w:rsid w:val="5D901B4E"/>
    <w:rsid w:val="5DCB7EB6"/>
    <w:rsid w:val="5EB743B6"/>
    <w:rsid w:val="6194517C"/>
    <w:rsid w:val="62437726"/>
    <w:rsid w:val="628F0A4F"/>
    <w:rsid w:val="6296560A"/>
    <w:rsid w:val="62D60C04"/>
    <w:rsid w:val="62DB6DB3"/>
    <w:rsid w:val="63065FF8"/>
    <w:rsid w:val="63550335"/>
    <w:rsid w:val="674B239C"/>
    <w:rsid w:val="68742FE5"/>
    <w:rsid w:val="68BB34A3"/>
    <w:rsid w:val="697C1D6F"/>
    <w:rsid w:val="6A80153E"/>
    <w:rsid w:val="6F544E68"/>
    <w:rsid w:val="719242C5"/>
    <w:rsid w:val="72B62304"/>
    <w:rsid w:val="73861D97"/>
    <w:rsid w:val="742D0AEA"/>
    <w:rsid w:val="750157C1"/>
    <w:rsid w:val="77F228DE"/>
    <w:rsid w:val="78851ED1"/>
    <w:rsid w:val="79C61CFF"/>
    <w:rsid w:val="7DBD7DE5"/>
    <w:rsid w:val="7E7401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9"/>
    <w:qFormat/>
    <w:uiPriority w:val="0"/>
    <w:pPr>
      <w:keepNext/>
      <w:keepLines/>
      <w:spacing w:line="720" w:lineRule="exact"/>
      <w:jc w:val="center"/>
      <w:outlineLvl w:val="0"/>
    </w:pPr>
    <w:rPr>
      <w:b/>
      <w:bCs/>
      <w:kern w:val="44"/>
      <w:sz w:val="44"/>
      <w:szCs w:val="44"/>
    </w:rPr>
  </w:style>
  <w:style w:type="paragraph" w:styleId="3">
    <w:name w:val="heading 2"/>
    <w:basedOn w:val="1"/>
    <w:next w:val="1"/>
    <w:link w:val="48"/>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2"/>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7"/>
    <w:qFormat/>
    <w:uiPriority w:val="9"/>
    <w:pPr>
      <w:keepNext/>
      <w:keepLines/>
      <w:spacing w:before="280" w:after="290" w:line="376" w:lineRule="auto"/>
      <w:outlineLvl w:val="3"/>
    </w:pPr>
    <w:rPr>
      <w:rFonts w:ascii="Cambria" w:hAnsi="Cambria"/>
      <w:b/>
      <w:bCs/>
      <w:kern w:val="0"/>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7"/>
    <w:qFormat/>
    <w:uiPriority w:val="0"/>
    <w:pPr>
      <w:ind w:firstLine="420"/>
    </w:pPr>
    <w:rPr>
      <w:rFonts w:ascii="Calibri" w:hAnsi="Calibri"/>
      <w:kern w:val="0"/>
      <w:sz w:val="20"/>
      <w:szCs w:val="20"/>
    </w:rPr>
  </w:style>
  <w:style w:type="paragraph" w:styleId="7">
    <w:name w:val="Document Map"/>
    <w:basedOn w:val="1"/>
    <w:link w:val="62"/>
    <w:semiHidden/>
    <w:qFormat/>
    <w:uiPriority w:val="0"/>
    <w:pPr>
      <w:shd w:val="clear" w:color="auto" w:fill="000080"/>
    </w:pPr>
    <w:rPr>
      <w:kern w:val="0"/>
      <w:sz w:val="20"/>
    </w:rPr>
  </w:style>
  <w:style w:type="paragraph" w:styleId="8">
    <w:name w:val="annotation text"/>
    <w:basedOn w:val="1"/>
    <w:next w:val="9"/>
    <w:link w:val="65"/>
    <w:qFormat/>
    <w:uiPriority w:val="0"/>
    <w:pPr>
      <w:spacing w:line="280" w:lineRule="exact"/>
      <w:jc w:val="left"/>
    </w:pPr>
    <w:rPr>
      <w:sz w:val="24"/>
    </w:rPr>
  </w:style>
  <w:style w:type="paragraph" w:styleId="9">
    <w:name w:val="Balloon Text"/>
    <w:basedOn w:val="1"/>
    <w:link w:val="41"/>
    <w:semiHidden/>
    <w:qFormat/>
    <w:uiPriority w:val="0"/>
    <w:pPr>
      <w:adjustRightInd w:val="0"/>
      <w:snapToGrid w:val="0"/>
    </w:pPr>
    <w:rPr>
      <w:sz w:val="28"/>
      <w:szCs w:val="18"/>
    </w:rPr>
  </w:style>
  <w:style w:type="paragraph" w:styleId="10">
    <w:name w:val="Body Text"/>
    <w:basedOn w:val="1"/>
    <w:next w:val="1"/>
    <w:qFormat/>
    <w:uiPriority w:val="99"/>
    <w:pPr>
      <w:spacing w:after="120"/>
    </w:pPr>
    <w:rPr>
      <w:rFonts w:ascii="Calibri" w:hAnsi="Calibri" w:eastAsia="宋体" w:cs="Times New Roman"/>
      <w:szCs w:val="22"/>
    </w:rPr>
  </w:style>
  <w:style w:type="paragraph" w:styleId="11">
    <w:name w:val="Body Text Indent"/>
    <w:basedOn w:val="1"/>
    <w:link w:val="55"/>
    <w:qFormat/>
    <w:uiPriority w:val="0"/>
    <w:pPr>
      <w:ind w:firstLine="570"/>
    </w:pPr>
    <w:rPr>
      <w:rFonts w:ascii="宋体" w:hAnsi="宋体"/>
      <w:kern w:val="0"/>
      <w:sz w:val="24"/>
    </w:rPr>
  </w:style>
  <w:style w:type="paragraph" w:styleId="12">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3">
    <w:name w:val="toc 3"/>
    <w:basedOn w:val="1"/>
    <w:next w:val="1"/>
    <w:qFormat/>
    <w:uiPriority w:val="39"/>
    <w:pPr>
      <w:ind w:left="840" w:leftChars="400"/>
    </w:pPr>
  </w:style>
  <w:style w:type="paragraph" w:styleId="14">
    <w:name w:val="Plain Text"/>
    <w:basedOn w:val="1"/>
    <w:link w:val="42"/>
    <w:qFormat/>
    <w:uiPriority w:val="0"/>
    <w:rPr>
      <w:rFonts w:ascii="宋体" w:hAnsi="Courier New"/>
      <w:kern w:val="0"/>
      <w:sz w:val="20"/>
    </w:rPr>
  </w:style>
  <w:style w:type="paragraph" w:styleId="15">
    <w:name w:val="Date"/>
    <w:basedOn w:val="1"/>
    <w:next w:val="1"/>
    <w:link w:val="39"/>
    <w:qFormat/>
    <w:uiPriority w:val="0"/>
    <w:pPr>
      <w:ind w:left="100" w:leftChars="2500"/>
    </w:pPr>
    <w:rPr>
      <w:kern w:val="0"/>
      <w:sz w:val="28"/>
    </w:rPr>
  </w:style>
  <w:style w:type="paragraph" w:styleId="16">
    <w:name w:val="Body Text Indent 2"/>
    <w:basedOn w:val="1"/>
    <w:link w:val="60"/>
    <w:qFormat/>
    <w:uiPriority w:val="0"/>
    <w:pPr>
      <w:spacing w:line="300" w:lineRule="auto"/>
      <w:ind w:firstLine="540" w:firstLineChars="225"/>
    </w:pPr>
    <w:rPr>
      <w:rFonts w:ascii="宋体" w:hAnsi="宋体"/>
      <w:color w:val="000000"/>
      <w:kern w:val="0"/>
      <w:sz w:val="24"/>
    </w:rPr>
  </w:style>
  <w:style w:type="paragraph" w:styleId="17">
    <w:name w:val="footer"/>
    <w:basedOn w:val="1"/>
    <w:link w:val="56"/>
    <w:qFormat/>
    <w:uiPriority w:val="0"/>
    <w:pPr>
      <w:tabs>
        <w:tab w:val="center" w:pos="4153"/>
        <w:tab w:val="right" w:pos="8306"/>
      </w:tabs>
      <w:snapToGrid w:val="0"/>
      <w:jc w:val="left"/>
    </w:pPr>
    <w:rPr>
      <w:kern w:val="0"/>
      <w:sz w:val="18"/>
      <w:szCs w:val="18"/>
    </w:rPr>
  </w:style>
  <w:style w:type="paragraph" w:styleId="18">
    <w:name w:val="header"/>
    <w:basedOn w:val="1"/>
    <w:link w:val="5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9">
    <w:name w:val="toc 1"/>
    <w:basedOn w:val="1"/>
    <w:next w:val="1"/>
    <w:qFormat/>
    <w:uiPriority w:val="39"/>
  </w:style>
  <w:style w:type="paragraph" w:styleId="20">
    <w:name w:val="index heading"/>
    <w:basedOn w:val="1"/>
    <w:next w:val="21"/>
    <w:semiHidden/>
    <w:qFormat/>
    <w:uiPriority w:val="0"/>
    <w:rPr>
      <w:szCs w:val="20"/>
    </w:rPr>
  </w:style>
  <w:style w:type="paragraph" w:styleId="21">
    <w:name w:val="index 1"/>
    <w:basedOn w:val="1"/>
    <w:next w:val="1"/>
    <w:semiHidden/>
    <w:qFormat/>
    <w:uiPriority w:val="0"/>
  </w:style>
  <w:style w:type="paragraph" w:styleId="22">
    <w:name w:val="Subtitle"/>
    <w:basedOn w:val="1"/>
    <w:next w:val="1"/>
    <w:link w:val="38"/>
    <w:qFormat/>
    <w:uiPriority w:val="0"/>
    <w:pPr>
      <w:spacing w:before="240" w:after="60" w:line="312" w:lineRule="auto"/>
      <w:jc w:val="center"/>
      <w:outlineLvl w:val="1"/>
    </w:pPr>
    <w:rPr>
      <w:rFonts w:ascii="Cambria" w:hAnsi="Cambria"/>
      <w:b/>
      <w:bCs/>
      <w:kern w:val="28"/>
      <w:sz w:val="32"/>
      <w:szCs w:val="32"/>
    </w:rPr>
  </w:style>
  <w:style w:type="paragraph" w:styleId="23">
    <w:name w:val="footnote text"/>
    <w:basedOn w:val="1"/>
    <w:link w:val="40"/>
    <w:qFormat/>
    <w:uiPriority w:val="0"/>
    <w:pPr>
      <w:snapToGrid w:val="0"/>
      <w:jc w:val="left"/>
    </w:pPr>
    <w:rPr>
      <w:kern w:val="0"/>
      <w:sz w:val="18"/>
      <w:szCs w:val="18"/>
    </w:rPr>
  </w:style>
  <w:style w:type="paragraph" w:styleId="24">
    <w:name w:val="Body Text Indent 3"/>
    <w:basedOn w:val="1"/>
    <w:link w:val="46"/>
    <w:qFormat/>
    <w:uiPriority w:val="0"/>
    <w:pPr>
      <w:snapToGrid w:val="0"/>
      <w:spacing w:after="120" w:line="360" w:lineRule="auto"/>
      <w:ind w:firstLine="1365"/>
    </w:pPr>
    <w:rPr>
      <w:rFonts w:ascii="宋体"/>
      <w:kern w:val="0"/>
      <w:sz w:val="28"/>
      <w:szCs w:val="20"/>
    </w:rPr>
  </w:style>
  <w:style w:type="paragraph" w:styleId="25">
    <w:name w:val="toc 2"/>
    <w:basedOn w:val="1"/>
    <w:next w:val="1"/>
    <w:qFormat/>
    <w:uiPriority w:val="39"/>
    <w:pPr>
      <w:ind w:left="420" w:leftChars="200"/>
    </w:pPr>
  </w:style>
  <w:style w:type="paragraph" w:styleId="26">
    <w:name w:val="Normal (Web)"/>
    <w:basedOn w:val="1"/>
    <w:qFormat/>
    <w:uiPriority w:val="0"/>
    <w:rPr>
      <w:rFonts w:ascii="Calibri" w:hAnsi="Calibri"/>
      <w:sz w:val="24"/>
      <w:szCs w:val="22"/>
    </w:rPr>
  </w:style>
  <w:style w:type="paragraph" w:styleId="27">
    <w:name w:val="annotation subject"/>
    <w:basedOn w:val="8"/>
    <w:next w:val="8"/>
    <w:link w:val="63"/>
    <w:semiHidden/>
    <w:qFormat/>
    <w:uiPriority w:val="0"/>
    <w:rPr>
      <w:b/>
      <w:bCs/>
      <w:kern w:val="0"/>
      <w:sz w:val="20"/>
    </w:rPr>
  </w:style>
  <w:style w:type="table" w:styleId="29">
    <w:name w:val="Table Grid"/>
    <w:basedOn w:val="2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22"/>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Emphasis"/>
    <w:basedOn w:val="30"/>
    <w:qFormat/>
    <w:uiPriority w:val="20"/>
    <w:rPr>
      <w:color w:val="CC0000"/>
    </w:rPr>
  </w:style>
  <w:style w:type="character" w:styleId="35">
    <w:name w:val="Hyperlink"/>
    <w:qFormat/>
    <w:uiPriority w:val="99"/>
    <w:rPr>
      <w:color w:val="0000FF"/>
      <w:u w:val="single"/>
    </w:rPr>
  </w:style>
  <w:style w:type="character" w:styleId="36">
    <w:name w:val="annotation reference"/>
    <w:semiHidden/>
    <w:qFormat/>
    <w:uiPriority w:val="0"/>
    <w:rPr>
      <w:sz w:val="21"/>
      <w:szCs w:val="21"/>
    </w:rPr>
  </w:style>
  <w:style w:type="character" w:styleId="37">
    <w:name w:val="footnote reference"/>
    <w:qFormat/>
    <w:uiPriority w:val="0"/>
    <w:rPr>
      <w:vertAlign w:val="superscript"/>
    </w:rPr>
  </w:style>
  <w:style w:type="character" w:customStyle="1" w:styleId="38">
    <w:name w:val="副标题 Char"/>
    <w:link w:val="22"/>
    <w:qFormat/>
    <w:uiPriority w:val="0"/>
    <w:rPr>
      <w:rFonts w:ascii="Cambria" w:hAnsi="Cambria" w:eastAsia="宋体" w:cs="Times New Roman"/>
      <w:b/>
      <w:bCs/>
      <w:kern w:val="28"/>
      <w:sz w:val="32"/>
      <w:szCs w:val="32"/>
    </w:rPr>
  </w:style>
  <w:style w:type="character" w:customStyle="1" w:styleId="39">
    <w:name w:val="日期 Char"/>
    <w:link w:val="15"/>
    <w:qFormat/>
    <w:uiPriority w:val="0"/>
    <w:rPr>
      <w:rFonts w:ascii="Times New Roman" w:hAnsi="Times New Roman" w:eastAsia="宋体" w:cs="Times New Roman"/>
      <w:sz w:val="28"/>
      <w:szCs w:val="24"/>
    </w:rPr>
  </w:style>
  <w:style w:type="character" w:customStyle="1" w:styleId="40">
    <w:name w:val="脚注文本 Char"/>
    <w:link w:val="23"/>
    <w:qFormat/>
    <w:uiPriority w:val="0"/>
    <w:rPr>
      <w:rFonts w:ascii="Times New Roman" w:hAnsi="Times New Roman" w:eastAsia="宋体" w:cs="Times New Roman"/>
      <w:sz w:val="18"/>
      <w:szCs w:val="18"/>
    </w:rPr>
  </w:style>
  <w:style w:type="character" w:customStyle="1" w:styleId="41">
    <w:name w:val="批注框文本 Char"/>
    <w:link w:val="9"/>
    <w:semiHidden/>
    <w:qFormat/>
    <w:uiPriority w:val="0"/>
    <w:rPr>
      <w:rFonts w:ascii="Times New Roman" w:hAnsi="Times New Roman"/>
      <w:kern w:val="2"/>
      <w:sz w:val="28"/>
      <w:szCs w:val="18"/>
    </w:rPr>
  </w:style>
  <w:style w:type="character" w:customStyle="1" w:styleId="42">
    <w:name w:val="纯文本 Char"/>
    <w:link w:val="14"/>
    <w:qFormat/>
    <w:uiPriority w:val="0"/>
    <w:rPr>
      <w:rFonts w:ascii="宋体" w:hAnsi="Courier New" w:eastAsia="宋体"/>
      <w:szCs w:val="24"/>
    </w:rPr>
  </w:style>
  <w:style w:type="character" w:customStyle="1" w:styleId="43">
    <w:name w:val="列出段落 Char"/>
    <w:link w:val="44"/>
    <w:qFormat/>
    <w:locked/>
    <w:uiPriority w:val="99"/>
    <w:rPr>
      <w:rFonts w:ascii="Times New Roman" w:hAnsi="Times New Roman"/>
      <w:kern w:val="2"/>
      <w:sz w:val="21"/>
      <w:szCs w:val="24"/>
    </w:rPr>
  </w:style>
  <w:style w:type="paragraph" w:customStyle="1" w:styleId="44">
    <w:name w:val="列出段落2"/>
    <w:basedOn w:val="1"/>
    <w:link w:val="43"/>
    <w:qFormat/>
    <w:uiPriority w:val="99"/>
    <w:pPr>
      <w:ind w:firstLine="420" w:firstLineChars="200"/>
    </w:pPr>
  </w:style>
  <w:style w:type="character" w:customStyle="1" w:styleId="45">
    <w:name w:val="纯文本 Char1"/>
    <w:semiHidden/>
    <w:qFormat/>
    <w:uiPriority w:val="99"/>
    <w:rPr>
      <w:rFonts w:ascii="宋体" w:hAnsi="Courier New" w:eastAsia="宋体" w:cs="Courier New"/>
      <w:szCs w:val="21"/>
    </w:rPr>
  </w:style>
  <w:style w:type="character" w:customStyle="1" w:styleId="46">
    <w:name w:val="正文文本缩进 3 Char"/>
    <w:link w:val="24"/>
    <w:qFormat/>
    <w:uiPriority w:val="0"/>
    <w:rPr>
      <w:rFonts w:ascii="宋体" w:hAnsi="Times New Roman" w:eastAsia="宋体" w:cs="Times New Roman"/>
      <w:sz w:val="28"/>
      <w:szCs w:val="20"/>
    </w:rPr>
  </w:style>
  <w:style w:type="character" w:customStyle="1" w:styleId="47">
    <w:name w:val="正文缩进 Char"/>
    <w:link w:val="6"/>
    <w:qFormat/>
    <w:uiPriority w:val="0"/>
    <w:rPr>
      <w:rFonts w:eastAsia="宋体"/>
    </w:rPr>
  </w:style>
  <w:style w:type="character" w:customStyle="1" w:styleId="48">
    <w:name w:val="标题 2 Char"/>
    <w:link w:val="3"/>
    <w:qFormat/>
    <w:uiPriority w:val="0"/>
    <w:rPr>
      <w:rFonts w:ascii="Arial" w:hAnsi="Arial" w:eastAsia="宋体" w:cs="Times New Roman"/>
      <w:b/>
      <w:bCs/>
      <w:sz w:val="28"/>
      <w:szCs w:val="32"/>
    </w:rPr>
  </w:style>
  <w:style w:type="character" w:customStyle="1" w:styleId="49">
    <w:name w:val="页眉1 Char"/>
    <w:link w:val="50"/>
    <w:qFormat/>
    <w:uiPriority w:val="0"/>
    <w:rPr>
      <w:sz w:val="18"/>
      <w:szCs w:val="18"/>
    </w:rPr>
  </w:style>
  <w:style w:type="paragraph" w:customStyle="1" w:styleId="50">
    <w:name w:val="页眉1"/>
    <w:basedOn w:val="18"/>
    <w:link w:val="49"/>
    <w:qFormat/>
    <w:uiPriority w:val="0"/>
    <w:pPr>
      <w:pBdr>
        <w:bottom w:val="none" w:color="auto" w:sz="0" w:space="0"/>
      </w:pBdr>
      <w:jc w:val="both"/>
    </w:pPr>
  </w:style>
  <w:style w:type="character" w:customStyle="1" w:styleId="51">
    <w:name w:val="页眉 Char"/>
    <w:link w:val="18"/>
    <w:qFormat/>
    <w:uiPriority w:val="0"/>
    <w:rPr>
      <w:sz w:val="18"/>
      <w:szCs w:val="18"/>
    </w:rPr>
  </w:style>
  <w:style w:type="character" w:customStyle="1" w:styleId="52">
    <w:name w:val="标题 3 Char"/>
    <w:link w:val="4"/>
    <w:qFormat/>
    <w:uiPriority w:val="0"/>
    <w:rPr>
      <w:rFonts w:ascii="Times New Roman" w:hAnsi="Times New Roman" w:eastAsia="宋体" w:cs="Times New Roman"/>
      <w:b/>
      <w:bCs/>
      <w:sz w:val="24"/>
      <w:szCs w:val="32"/>
    </w:rPr>
  </w:style>
  <w:style w:type="character" w:customStyle="1" w:styleId="53">
    <w:name w:val="h2"/>
    <w:qFormat/>
    <w:uiPriority w:val="0"/>
    <w:rPr>
      <w:color w:val="000000"/>
      <w:sz w:val="24"/>
      <w:szCs w:val="24"/>
    </w:rPr>
  </w:style>
  <w:style w:type="character" w:customStyle="1" w:styleId="54">
    <w:name w:val="unnamed1"/>
    <w:basedOn w:val="30"/>
    <w:qFormat/>
    <w:uiPriority w:val="0"/>
  </w:style>
  <w:style w:type="character" w:customStyle="1" w:styleId="55">
    <w:name w:val="正文文本缩进 Char"/>
    <w:link w:val="11"/>
    <w:qFormat/>
    <w:uiPriority w:val="0"/>
    <w:rPr>
      <w:rFonts w:ascii="宋体" w:hAnsi="宋体" w:eastAsia="宋体" w:cs="Times New Roman"/>
      <w:sz w:val="24"/>
      <w:szCs w:val="24"/>
    </w:rPr>
  </w:style>
  <w:style w:type="character" w:customStyle="1" w:styleId="56">
    <w:name w:val="页脚 Char"/>
    <w:link w:val="17"/>
    <w:qFormat/>
    <w:uiPriority w:val="0"/>
    <w:rPr>
      <w:rFonts w:ascii="Times New Roman" w:hAnsi="Times New Roman" w:eastAsia="宋体" w:cs="Times New Roman"/>
      <w:sz w:val="18"/>
      <w:szCs w:val="18"/>
    </w:rPr>
  </w:style>
  <w:style w:type="character" w:customStyle="1" w:styleId="57">
    <w:name w:val="标题 4 Char"/>
    <w:link w:val="5"/>
    <w:semiHidden/>
    <w:qFormat/>
    <w:uiPriority w:val="9"/>
    <w:rPr>
      <w:rFonts w:ascii="Cambria" w:hAnsi="Cambria" w:eastAsia="宋体" w:cs="Times New Roman"/>
      <w:b/>
      <w:bCs/>
      <w:sz w:val="28"/>
      <w:szCs w:val="28"/>
    </w:rPr>
  </w:style>
  <w:style w:type="character" w:customStyle="1" w:styleId="58">
    <w:name w:val="font101"/>
    <w:qFormat/>
    <w:uiPriority w:val="0"/>
    <w:rPr>
      <w:rFonts w:hint="eastAsia" w:ascii="黑体" w:hAnsi="宋体" w:eastAsia="黑体" w:cs="黑体"/>
      <w:color w:val="000000"/>
      <w:sz w:val="20"/>
      <w:szCs w:val="20"/>
      <w:u w:val="none"/>
    </w:rPr>
  </w:style>
  <w:style w:type="character" w:customStyle="1" w:styleId="59">
    <w:name w:val="标题 1 Char"/>
    <w:link w:val="2"/>
    <w:qFormat/>
    <w:uiPriority w:val="0"/>
    <w:rPr>
      <w:rFonts w:ascii="Times New Roman" w:hAnsi="Times New Roman" w:eastAsia="宋体" w:cs="Times New Roman"/>
      <w:b/>
      <w:bCs/>
      <w:kern w:val="44"/>
      <w:sz w:val="44"/>
      <w:szCs w:val="44"/>
    </w:rPr>
  </w:style>
  <w:style w:type="character" w:customStyle="1" w:styleId="60">
    <w:name w:val="正文文本缩进 2 Char"/>
    <w:link w:val="16"/>
    <w:qFormat/>
    <w:uiPriority w:val="0"/>
    <w:rPr>
      <w:rFonts w:ascii="宋体" w:hAnsi="宋体" w:eastAsia="宋体" w:cs="Times New Roman"/>
      <w:color w:val="000000"/>
      <w:sz w:val="24"/>
      <w:szCs w:val="24"/>
    </w:rPr>
  </w:style>
  <w:style w:type="character" w:customStyle="1" w:styleId="61">
    <w:name w:val="font61"/>
    <w:qFormat/>
    <w:uiPriority w:val="0"/>
    <w:rPr>
      <w:rFonts w:hint="eastAsia" w:ascii="宋体" w:hAnsi="宋体" w:eastAsia="宋体" w:cs="宋体"/>
      <w:color w:val="000000"/>
      <w:sz w:val="20"/>
      <w:szCs w:val="20"/>
      <w:u w:val="none"/>
    </w:rPr>
  </w:style>
  <w:style w:type="character" w:customStyle="1" w:styleId="62">
    <w:name w:val="文档结构图 Char"/>
    <w:link w:val="7"/>
    <w:semiHidden/>
    <w:qFormat/>
    <w:uiPriority w:val="0"/>
    <w:rPr>
      <w:rFonts w:ascii="Times New Roman" w:hAnsi="Times New Roman" w:eastAsia="宋体" w:cs="Times New Roman"/>
      <w:szCs w:val="24"/>
      <w:shd w:val="clear" w:color="auto" w:fill="000080"/>
    </w:rPr>
  </w:style>
  <w:style w:type="character" w:customStyle="1" w:styleId="63">
    <w:name w:val="批注主题 Char"/>
    <w:link w:val="27"/>
    <w:semiHidden/>
    <w:qFormat/>
    <w:uiPriority w:val="0"/>
    <w:rPr>
      <w:rFonts w:ascii="Times New Roman" w:hAnsi="Times New Roman" w:eastAsia="宋体" w:cs="Times New Roman"/>
      <w:b/>
      <w:bCs/>
      <w:szCs w:val="24"/>
    </w:rPr>
  </w:style>
  <w:style w:type="character" w:customStyle="1" w:styleId="64">
    <w:name w:val="页眉 Char1"/>
    <w:semiHidden/>
    <w:qFormat/>
    <w:uiPriority w:val="99"/>
    <w:rPr>
      <w:rFonts w:ascii="Times New Roman" w:hAnsi="Times New Roman" w:eastAsia="宋体" w:cs="Times New Roman"/>
      <w:sz w:val="18"/>
      <w:szCs w:val="18"/>
    </w:rPr>
  </w:style>
  <w:style w:type="character" w:customStyle="1" w:styleId="65">
    <w:name w:val="批注文字 Char"/>
    <w:link w:val="8"/>
    <w:qFormat/>
    <w:uiPriority w:val="0"/>
    <w:rPr>
      <w:rFonts w:ascii="Times New Roman" w:hAnsi="Times New Roman"/>
      <w:kern w:val="2"/>
      <w:sz w:val="24"/>
      <w:szCs w:val="24"/>
    </w:rPr>
  </w:style>
  <w:style w:type="character" w:customStyle="1" w:styleId="66">
    <w:name w:val="apple-converted-space"/>
    <w:qFormat/>
    <w:uiPriority w:val="99"/>
    <w:rPr>
      <w:rFonts w:cs="Times New Roman"/>
    </w:rPr>
  </w:style>
  <w:style w:type="paragraph" w:customStyle="1" w:styleId="67">
    <w:name w:val="1"/>
    <w:basedOn w:val="1"/>
    <w:qFormat/>
    <w:uiPriority w:val="0"/>
    <w:pPr>
      <w:widowControl/>
      <w:spacing w:after="160" w:line="240" w:lineRule="exact"/>
      <w:jc w:val="left"/>
    </w:pPr>
    <w:rPr>
      <w:rFonts w:ascii="Verdana" w:hAnsi="Verdana"/>
      <w:kern w:val="0"/>
      <w:szCs w:val="20"/>
      <w:lang w:eastAsia="en-US"/>
    </w:rPr>
  </w:style>
  <w:style w:type="paragraph" w:customStyle="1" w:styleId="68">
    <w:name w:val="Char Char Char"/>
    <w:basedOn w:val="1"/>
    <w:qFormat/>
    <w:uiPriority w:val="0"/>
    <w:rPr>
      <w:rFonts w:ascii="宋体" w:hAnsi="宋体"/>
      <w:b/>
      <w:sz w:val="28"/>
      <w:szCs w:val="28"/>
    </w:rPr>
  </w:style>
  <w:style w:type="paragraph" w:customStyle="1" w:styleId="69">
    <w:name w:val="Char Char Char Char"/>
    <w:basedOn w:val="1"/>
    <w:qFormat/>
    <w:uiPriority w:val="0"/>
    <w:rPr>
      <w:szCs w:val="20"/>
    </w:rPr>
  </w:style>
  <w:style w:type="paragraph" w:customStyle="1" w:styleId="70">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1">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72">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73">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4">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5">
    <w:name w:val="列出段落1"/>
    <w:basedOn w:val="1"/>
    <w:qFormat/>
    <w:uiPriority w:val="0"/>
    <w:pPr>
      <w:ind w:firstLine="420" w:firstLineChars="200"/>
    </w:pPr>
    <w:rPr>
      <w:rFonts w:ascii="Calibri" w:hAnsi="Calibri"/>
      <w:szCs w:val="21"/>
    </w:rPr>
  </w:style>
  <w:style w:type="paragraph" w:customStyle="1" w:styleId="76">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77">
    <w:name w:val="Char1 Char Char Char"/>
    <w:basedOn w:val="1"/>
    <w:qFormat/>
    <w:uiPriority w:val="0"/>
    <w:pPr>
      <w:ind w:left="420" w:hanging="420"/>
    </w:pPr>
    <w:rPr>
      <w:sz w:val="24"/>
    </w:rPr>
  </w:style>
  <w:style w:type="paragraph" w:customStyle="1" w:styleId="78">
    <w:name w:val="_Style 1"/>
    <w:basedOn w:val="1"/>
    <w:qFormat/>
    <w:uiPriority w:val="99"/>
    <w:pPr>
      <w:ind w:firstLine="420" w:firstLineChars="200"/>
    </w:pPr>
  </w:style>
  <w:style w:type="paragraph" w:customStyle="1" w:styleId="79">
    <w:name w:val="样式2"/>
    <w:basedOn w:val="1"/>
    <w:qFormat/>
    <w:uiPriority w:val="0"/>
    <w:rPr>
      <w:b/>
      <w:sz w:val="24"/>
    </w:rPr>
  </w:style>
  <w:style w:type="paragraph" w:customStyle="1" w:styleId="80">
    <w:name w:val="_Style 78"/>
    <w:unhideWhenUsed/>
    <w:qFormat/>
    <w:uiPriority w:val="99"/>
    <w:rPr>
      <w:rFonts w:ascii="Times New Roman" w:hAnsi="Times New Roman" w:eastAsia="宋体" w:cs="Times New Roman"/>
      <w:kern w:val="2"/>
      <w:sz w:val="21"/>
      <w:szCs w:val="24"/>
      <w:lang w:val="en-US" w:eastAsia="zh-CN" w:bidi="ar-SA"/>
    </w:rPr>
  </w:style>
  <w:style w:type="paragraph" w:customStyle="1" w:styleId="81">
    <w:name w:val="图"/>
    <w:basedOn w:val="1"/>
    <w:link w:val="93"/>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2">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3">
    <w:name w:val="Char"/>
    <w:basedOn w:val="1"/>
    <w:qFormat/>
    <w:uiPriority w:val="0"/>
    <w:pPr>
      <w:tabs>
        <w:tab w:val="left" w:pos="0"/>
      </w:tabs>
      <w:ind w:left="964" w:hanging="964"/>
    </w:pPr>
    <w:rPr>
      <w:sz w:val="24"/>
    </w:rPr>
  </w:style>
  <w:style w:type="paragraph" w:styleId="84">
    <w:name w:val="List Paragraph"/>
    <w:basedOn w:val="1"/>
    <w:qFormat/>
    <w:uiPriority w:val="34"/>
    <w:pPr>
      <w:spacing w:line="0" w:lineRule="atLeast"/>
      <w:ind w:firstLine="420" w:firstLineChars="200"/>
    </w:pPr>
    <w:rPr>
      <w:rFonts w:ascii="Arial Unicode MS" w:hAnsi="Arial Unicode MS" w:eastAsia="微软雅黑"/>
    </w:rPr>
  </w:style>
  <w:style w:type="paragraph" w:customStyle="1" w:styleId="85">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86">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88">
    <w:name w:val="hwyang"/>
    <w:basedOn w:val="1"/>
    <w:qFormat/>
    <w:uiPriority w:val="0"/>
    <w:pPr>
      <w:widowControl/>
      <w:spacing w:line="360" w:lineRule="auto"/>
      <w:ind w:firstLine="480" w:firstLineChars="200"/>
      <w:jc w:val="left"/>
    </w:pPr>
    <w:rPr>
      <w:kern w:val="0"/>
      <w:sz w:val="24"/>
      <w:szCs w:val="20"/>
    </w:rPr>
  </w:style>
  <w:style w:type="paragraph" w:customStyle="1" w:styleId="89">
    <w:name w:val="列表段落1"/>
    <w:basedOn w:val="1"/>
    <w:qFormat/>
    <w:uiPriority w:val="0"/>
    <w:pPr>
      <w:ind w:firstLine="420" w:firstLineChars="200"/>
    </w:pPr>
    <w:rPr>
      <w:rFonts w:ascii="Calibri" w:hAnsi="Calibri"/>
      <w:szCs w:val="21"/>
    </w:rPr>
  </w:style>
  <w:style w:type="paragraph" w:customStyle="1" w:styleId="90">
    <w:name w:val="正文_0_1"/>
    <w:basedOn w:val="1"/>
    <w:qFormat/>
    <w:uiPriority w:val="0"/>
    <w:pPr>
      <w:spacing w:line="360" w:lineRule="auto"/>
    </w:pPr>
    <w:rPr>
      <w:rFonts w:ascii="Calibri" w:hAnsi="Calibri" w:eastAsia="仿宋" w:cs="宋体"/>
      <w:sz w:val="28"/>
      <w:szCs w:val="28"/>
    </w:rPr>
  </w:style>
  <w:style w:type="paragraph" w:customStyle="1" w:styleId="91">
    <w:name w:val="￥正文"/>
    <w:basedOn w:val="1"/>
    <w:qFormat/>
    <w:uiPriority w:val="0"/>
    <w:pPr>
      <w:spacing w:line="360" w:lineRule="auto"/>
    </w:pPr>
    <w:rPr>
      <w:rFonts w:ascii="Calibri" w:hAnsi="Calibri"/>
      <w:kern w:val="0"/>
      <w:sz w:val="24"/>
      <w:szCs w:val="20"/>
    </w:rPr>
  </w:style>
  <w:style w:type="paragraph" w:customStyle="1" w:styleId="9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3">
    <w:name w:val="图 Char Char"/>
    <w:link w:val="81"/>
    <w:qFormat/>
    <w:locked/>
    <w:uiPriority w:val="0"/>
    <w:rPr>
      <w:rFonts w:ascii="Times New Roman" w:hAnsi="Times New Roman"/>
      <w:snapToGrid w:val="0"/>
      <w:spacing w:val="20"/>
      <w:sz w:val="24"/>
    </w:rPr>
  </w:style>
  <w:style w:type="paragraph" w:customStyle="1" w:styleId="94">
    <w:name w:val="目次、索引正文"/>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5">
    <w:name w:val="正文_1"/>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7">
    <w:name w:val="正文_0"/>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8">
    <w:name w:val="List Paragraph Char"/>
    <w:qFormat/>
    <w:locked/>
    <w:uiPriority w:val="99"/>
    <w:rPr>
      <w:kern w:val="0"/>
      <w:sz w:val="20"/>
      <w:szCs w:val="20"/>
    </w:rPr>
  </w:style>
  <w:style w:type="paragraph" w:customStyle="1" w:styleId="99">
    <w:name w:val="_正文段落"/>
    <w:basedOn w:val="1"/>
    <w:link w:val="100"/>
    <w:qFormat/>
    <w:uiPriority w:val="0"/>
    <w:pPr>
      <w:spacing w:beforeLines="15" w:afterLines="15" w:line="360" w:lineRule="auto"/>
      <w:ind w:firstLine="200" w:firstLineChars="200"/>
    </w:pPr>
    <w:rPr>
      <w:sz w:val="24"/>
    </w:rPr>
  </w:style>
  <w:style w:type="character" w:customStyle="1" w:styleId="100">
    <w:name w:val="_正文段落 Char"/>
    <w:link w:val="99"/>
    <w:qFormat/>
    <w:uiPriority w:val="0"/>
    <w:rPr>
      <w:rFonts w:ascii="Times New Roman" w:hAnsi="Times New Roman"/>
      <w:kern w:val="2"/>
      <w:sz w:val="24"/>
      <w:szCs w:val="24"/>
    </w:rPr>
  </w:style>
  <w:style w:type="paragraph" w:customStyle="1" w:styleId="101">
    <w:name w:val="[CMM]正文"/>
    <w:basedOn w:val="1"/>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03">
    <w:name w:val="Table Paragraph"/>
    <w:basedOn w:val="1"/>
    <w:qFormat/>
    <w:uiPriority w:val="1"/>
    <w:pPr>
      <w:spacing w:before="87"/>
      <w:jc w:val="center"/>
    </w:pPr>
    <w:rPr>
      <w:rFonts w:ascii="等线" w:hAnsi="等线" w:eastAsia="等线" w:cs="等线"/>
    </w:rPr>
  </w:style>
  <w:style w:type="paragraph" w:customStyle="1" w:styleId="104">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5">
    <w:name w:val="表格"/>
    <w:qFormat/>
    <w:uiPriority w:val="0"/>
    <w:pPr>
      <w:widowControl w:val="0"/>
      <w:adjustRightInd w:val="0"/>
      <w:jc w:val="both"/>
      <w:textAlignment w:val="baseline"/>
    </w:pPr>
    <w:rPr>
      <w:rFonts w:ascii="宋体"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91A13C-FD2B-4110-A175-6BA9835C935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37</Pages>
  <Words>10781</Words>
  <Characters>11163</Characters>
  <Lines>72</Lines>
  <Paragraphs>20</Paragraphs>
  <TotalTime>0</TotalTime>
  <ScaleCrop>false</ScaleCrop>
  <LinksUpToDate>false</LinksUpToDate>
  <CharactersWithSpaces>11782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2019-10-10T02:43:00Z</dcterms:created>
  <dc:creator>招投标中心</dc:creator>
  <cp:lastModifiedBy>赵薇薇</cp:lastModifiedBy>
  <cp:lastPrinted>2022-01-21T10:35:00Z</cp:lastPrinted>
  <dcterms:modified xsi:type="dcterms:W3CDTF">2024-09-24T03:13:20Z</dcterms:modified>
  <cp:revision>942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83AAEDDCD1DF42CBA3EC8CF726C02962_13</vt:lpwstr>
  </property>
</Properties>
</file>