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广东财经大学广州校区2022-2023年小额工程造价咨询服务项目</w:t>
      </w:r>
      <w:r>
        <w:rPr>
          <w:rFonts w:hint="eastAsia" w:ascii="宋体" w:hAnsi="宋体"/>
          <w:b/>
          <w:sz w:val="44"/>
          <w:szCs w:val="44"/>
        </w:rPr>
        <w:t>询价文件</w:t>
      </w:r>
    </w:p>
    <w:p>
      <w:pPr>
        <w:spacing w:line="360" w:lineRule="auto"/>
        <w:ind w:firstLine="480" w:firstLineChars="200"/>
        <w:rPr>
          <w:rFonts w:ascii="黑体" w:hAnsi="宋体" w:eastAsia="黑体"/>
          <w:sz w:val="24"/>
        </w:rPr>
      </w:pPr>
    </w:p>
    <w:p>
      <w:pPr>
        <w:spacing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根据《广东财经大学校内分散采购实施办法（试行）》有关规定，我校拟通过简易询价采购方式选定一家供应商负责提供广东财经大学广州校区小额工程工程量清单、工程预算造价清单</w:t>
      </w:r>
      <w:r>
        <w:rPr>
          <w:rFonts w:hint="eastAsia" w:cs="宋体" w:asciiTheme="minorEastAsia" w:hAnsiTheme="minorEastAsia" w:eastAsiaTheme="minorEastAsia"/>
          <w:bCs/>
          <w:sz w:val="28"/>
          <w:szCs w:val="28"/>
          <w:lang w:val="en-US" w:eastAsia="zh-CN"/>
        </w:rPr>
        <w:t>编制</w:t>
      </w:r>
      <w:r>
        <w:rPr>
          <w:rFonts w:hint="eastAsia" w:cs="宋体" w:asciiTheme="minorEastAsia" w:hAnsiTheme="minorEastAsia" w:eastAsiaTheme="minorEastAsia"/>
          <w:bCs/>
          <w:sz w:val="28"/>
          <w:szCs w:val="28"/>
        </w:rPr>
        <w:t>等咨询服务，欢迎符合资格条件的供应商前来报价。具体询价内容如下：</w:t>
      </w:r>
    </w:p>
    <w:p>
      <w:pPr>
        <w:spacing w:line="360" w:lineRule="auto"/>
        <w:ind w:firstLine="560" w:firstLineChars="200"/>
        <w:rPr>
          <w:rFonts w:cs="宋体" w:asciiTheme="minorEastAsia" w:hAnsiTheme="minorEastAsia" w:eastAsiaTheme="minorEastAsia"/>
          <w:bCs/>
          <w:color w:val="FF0000"/>
          <w:sz w:val="28"/>
          <w:szCs w:val="28"/>
        </w:rPr>
      </w:pPr>
      <w:r>
        <w:rPr>
          <w:rFonts w:hint="eastAsia" w:cs="宋体" w:asciiTheme="minorEastAsia" w:hAnsiTheme="minorEastAsia" w:eastAsiaTheme="minorEastAsia"/>
          <w:bCs/>
          <w:sz w:val="28"/>
          <w:szCs w:val="28"/>
        </w:rPr>
        <w:t>一、项目编号:</w:t>
      </w:r>
    </w:p>
    <w:p>
      <w:pPr>
        <w:spacing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二、项目名称：广东财经大学广州校区2022-2023年小额工程造价咨询服务项目</w:t>
      </w:r>
    </w:p>
    <w:p>
      <w:pPr>
        <w:spacing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三、采购预算：80,000元/年，具体以实际实施项目结算为准。</w:t>
      </w:r>
    </w:p>
    <w:p>
      <w:pPr>
        <w:spacing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四、供应商资格条件（投标时提供证明文件，并加盖报价供应商公章）：</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（一）具有独立承担民事责任能力，且具备履行合同所必需的设备和专业技术能力。</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（二）具有合法有效的企业法人《营业执照》副本或事业单位法人证书或法人登记证书。</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（三）具有建设行政主管部门颁发的工程造价咨询乙级或以上资质，报价时须提供企业资质证书并加盖公章。</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报价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人于报价截止日当天在“信用中国”网站（www.creditchina.gov.cn）及中国政府采购网(www.ccgp.gov.cn)查询结果为准，如相关失信记录已失效，报价供应商在投标时须提供相关证明资料）。</w:t>
      </w:r>
    </w:p>
    <w:p>
      <w:pPr>
        <w:spacing w:line="360" w:lineRule="auto"/>
        <w:ind w:firstLine="560" w:firstLineChars="200"/>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（五）本项目不接受联合体投标。</w:t>
      </w:r>
    </w:p>
    <w:p>
      <w:pPr>
        <w:spacing w:line="360" w:lineRule="auto"/>
        <w:ind w:firstLine="562" w:firstLineChars="200"/>
        <w:rPr>
          <w:rFonts w:asciiTheme="minorEastAsia" w:hAnsiTheme="minorEastAsia"/>
          <w:b/>
          <w:bCs w:val="0"/>
          <w:sz w:val="28"/>
          <w:szCs w:val="28"/>
        </w:rPr>
      </w:pPr>
      <w:r>
        <w:rPr>
          <w:rFonts w:hint="eastAsia" w:asciiTheme="minorEastAsia" w:hAnsiTheme="minorEastAsia"/>
          <w:b/>
          <w:bCs w:val="0"/>
          <w:sz w:val="28"/>
          <w:szCs w:val="28"/>
          <w:lang w:val="en-US" w:eastAsia="zh-CN"/>
        </w:rPr>
        <w:t>注：</w:t>
      </w:r>
      <w:r>
        <w:rPr>
          <w:rFonts w:hint="eastAsia" w:asciiTheme="minorEastAsia" w:hAnsiTheme="minorEastAsia"/>
          <w:b/>
          <w:bCs w:val="0"/>
          <w:sz w:val="28"/>
          <w:szCs w:val="28"/>
        </w:rPr>
        <w:t>如</w:t>
      </w:r>
      <w:r>
        <w:rPr>
          <w:rFonts w:hint="eastAsia" w:asciiTheme="minorEastAsia" w:hAnsiTheme="minorEastAsia"/>
          <w:b/>
          <w:bCs w:val="0"/>
          <w:sz w:val="28"/>
          <w:szCs w:val="28"/>
          <w:lang w:val="en-US" w:eastAsia="zh-CN"/>
        </w:rPr>
        <w:t>已</w:t>
      </w:r>
      <w:r>
        <w:rPr>
          <w:rFonts w:hint="eastAsia" w:asciiTheme="minorEastAsia" w:hAnsiTheme="minorEastAsia"/>
          <w:b/>
          <w:bCs w:val="0"/>
          <w:sz w:val="28"/>
          <w:szCs w:val="28"/>
        </w:rPr>
        <w:t>中标我校2022-2023年小额工程预结算审核服务项目</w:t>
      </w:r>
      <w:r>
        <w:rPr>
          <w:rFonts w:hint="eastAsia" w:asciiTheme="minorEastAsia" w:hAnsiTheme="minorEastAsia"/>
          <w:b/>
          <w:bCs w:val="0"/>
          <w:sz w:val="28"/>
          <w:szCs w:val="28"/>
          <w:lang w:val="en-US" w:eastAsia="zh-CN"/>
        </w:rPr>
        <w:t>及广东财经大学基建、修缮项目预算评审服务采购项目标的</w:t>
      </w:r>
      <w:r>
        <w:rPr>
          <w:rFonts w:hint="eastAsia" w:asciiTheme="minorEastAsia" w:hAnsiTheme="minorEastAsia"/>
          <w:b/>
          <w:bCs w:val="0"/>
          <w:sz w:val="28"/>
          <w:szCs w:val="28"/>
        </w:rPr>
        <w:t>，则不能投标本</w:t>
      </w:r>
      <w:r>
        <w:rPr>
          <w:rFonts w:hint="eastAsia" w:asciiTheme="minorEastAsia" w:hAnsiTheme="minorEastAsia"/>
          <w:b/>
          <w:bCs w:val="0"/>
          <w:sz w:val="28"/>
          <w:szCs w:val="28"/>
          <w:lang w:val="en-US" w:eastAsia="zh-CN"/>
        </w:rPr>
        <w:t>项目</w:t>
      </w:r>
      <w:r>
        <w:rPr>
          <w:rFonts w:hint="eastAsia" w:asciiTheme="minorEastAsia" w:hAnsiTheme="minorEastAsia"/>
          <w:b/>
          <w:bCs w:val="0"/>
          <w:sz w:val="28"/>
          <w:szCs w:val="28"/>
        </w:rPr>
        <w:t>造价咨询服务，否则投标即视为无效。</w:t>
      </w:r>
    </w:p>
    <w:p>
      <w:pPr>
        <w:spacing w:beforeLines="25" w:line="360" w:lineRule="auto"/>
        <w:ind w:firstLine="562" w:firstLineChars="200"/>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五、项目概况：</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一</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服务内容：为广东财经大学广州校区100万元以下小额工程（每年大约40个项目）提供</w:t>
      </w:r>
      <w:r>
        <w:rPr>
          <w:rFonts w:hint="eastAsia" w:cs="宋体" w:asciiTheme="minorEastAsia" w:hAnsiTheme="minorEastAsia" w:eastAsiaTheme="minorEastAsia"/>
          <w:bCs/>
          <w:sz w:val="28"/>
          <w:szCs w:val="28"/>
        </w:rPr>
        <w:t>工程量清单、工程预算造价清单的编制等咨询服务</w:t>
      </w:r>
      <w:r>
        <w:rPr>
          <w:rFonts w:hint="eastAsia" w:cs="宋体" w:asciiTheme="minorEastAsia" w:hAnsiTheme="minorEastAsia" w:eastAsiaTheme="minorEastAsia"/>
          <w:sz w:val="28"/>
          <w:szCs w:val="28"/>
        </w:rPr>
        <w:t>。</w:t>
      </w:r>
    </w:p>
    <w:p>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二</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服务期限：1年，自合同签订之日起。</w:t>
      </w:r>
      <w:bookmarkStart w:id="2" w:name="_GoBack"/>
      <w:bookmarkEnd w:id="2"/>
    </w:p>
    <w:p>
      <w:pPr>
        <w:spacing w:line="360" w:lineRule="auto"/>
        <w:ind w:firstLine="422" w:firstLineChars="15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六、编制依据及要求：</w:t>
      </w:r>
    </w:p>
    <w:p>
      <w:pPr>
        <w:spacing w:line="360" w:lineRule="auto"/>
        <w:ind w:firstLine="560" w:firstLineChars="20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一</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执行规范及定额：</w:t>
      </w:r>
      <w:r>
        <w:rPr>
          <w:rFonts w:hint="eastAsia" w:asciiTheme="minorEastAsia" w:hAnsiTheme="minorEastAsia" w:eastAsiaTheme="minorEastAsia"/>
          <w:sz w:val="28"/>
          <w:szCs w:val="28"/>
          <w:lang w:val="en-US" w:eastAsia="zh-CN"/>
        </w:rPr>
        <w:t>执行中华人民共和国国家标准</w:t>
      </w:r>
      <w:r>
        <w:rPr>
          <w:rFonts w:hint="eastAsia" w:asciiTheme="minorEastAsia" w:hAnsiTheme="minorEastAsia" w:eastAsiaTheme="minorEastAsia"/>
          <w:sz w:val="28"/>
          <w:szCs w:val="28"/>
        </w:rPr>
        <w:t>《建设工程工程量清单计价规范》</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广东省建设工程计价依据（2018）》、《广东省市政工程工程量清单计价指引（2013）》、《关于广东省房屋建筑和市政修缮工程工程量清单计价的通知》(2012)、《广东省建设工程施工机具台班费用编制规则(2018)》、对应专业工程《工程量计算规范》等</w:t>
      </w:r>
      <w:r>
        <w:rPr>
          <w:rFonts w:hint="eastAsia" w:asciiTheme="minorEastAsia" w:hAnsiTheme="minorEastAsia" w:eastAsiaTheme="minorEastAsia"/>
          <w:sz w:val="28"/>
          <w:szCs w:val="28"/>
          <w:lang w:eastAsia="zh-CN"/>
        </w:rPr>
        <w:t>。</w:t>
      </w:r>
    </w:p>
    <w:p>
      <w:pPr>
        <w:spacing w:line="360" w:lineRule="auto"/>
        <w:ind w:firstLine="560" w:firstLineChars="20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二</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执行定额内容：按国家、广东省、行业建设主管部门颁发的计价定额和</w:t>
      </w:r>
      <w:r>
        <w:rPr>
          <w:rFonts w:hint="eastAsia" w:asciiTheme="minorEastAsia" w:hAnsiTheme="minorEastAsia" w:eastAsiaTheme="minorEastAsia"/>
          <w:sz w:val="28"/>
          <w:szCs w:val="28"/>
          <w:lang w:val="en-US" w:eastAsia="zh-CN"/>
        </w:rPr>
        <w:t>计价</w:t>
      </w:r>
      <w:r>
        <w:rPr>
          <w:rFonts w:hint="eastAsia" w:asciiTheme="minorEastAsia" w:hAnsiTheme="minorEastAsia" w:eastAsiaTheme="minorEastAsia"/>
          <w:sz w:val="28"/>
          <w:szCs w:val="28"/>
        </w:rPr>
        <w:t>办法执行，根据项目所在地具体工程套用相应定额：《广东省房屋建筑与装饰工程综合定额（2018）》、《广东省通用安装工程综合定额（2018）》、《广东省市政工程综合定额（2018）》、《广东省园林绿化工程综合定额》、《广东省房屋建筑和市政修缮工程综合定额（2012）》等</w:t>
      </w:r>
      <w:r>
        <w:rPr>
          <w:rFonts w:hint="eastAsia" w:asciiTheme="minorEastAsia" w:hAnsiTheme="minorEastAsia" w:eastAsiaTheme="minorEastAsia"/>
          <w:sz w:val="28"/>
          <w:szCs w:val="28"/>
          <w:lang w:eastAsia="zh-CN"/>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三</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材料</w:t>
      </w:r>
      <w:r>
        <w:rPr>
          <w:rFonts w:hint="eastAsia" w:asciiTheme="minorEastAsia" w:hAnsiTheme="minorEastAsia" w:eastAsiaTheme="minorEastAsia"/>
          <w:sz w:val="28"/>
          <w:szCs w:val="28"/>
          <w:lang w:val="en-US" w:eastAsia="zh-CN"/>
        </w:rPr>
        <w:t>设备</w:t>
      </w:r>
      <w:r>
        <w:rPr>
          <w:rFonts w:hint="eastAsia" w:asciiTheme="minorEastAsia" w:hAnsiTheme="minorEastAsia" w:eastAsiaTheme="minorEastAsia"/>
          <w:sz w:val="28"/>
          <w:szCs w:val="28"/>
        </w:rPr>
        <w:t>价格执行文件：根据项目所在地</w:t>
      </w:r>
      <w:r>
        <w:rPr>
          <w:rFonts w:hint="eastAsia" w:asciiTheme="minorEastAsia" w:hAnsiTheme="minorEastAsia" w:eastAsiaTheme="minorEastAsia"/>
          <w:sz w:val="28"/>
          <w:szCs w:val="28"/>
          <w:lang w:val="en-US" w:eastAsia="zh-CN"/>
        </w:rPr>
        <w:t>工程造价管理机构发布的工程造价信息，工程造价信息没有发布的，参照市场价，</w:t>
      </w:r>
      <w:r>
        <w:rPr>
          <w:rFonts w:hint="eastAsia" w:asciiTheme="minorEastAsia" w:hAnsiTheme="minorEastAsia" w:eastAsiaTheme="minorEastAsia"/>
          <w:sz w:val="28"/>
          <w:szCs w:val="28"/>
        </w:rPr>
        <w:t>具体如下：</w:t>
      </w:r>
    </w:p>
    <w:p>
      <w:pPr>
        <w:spacing w:line="360" w:lineRule="auto"/>
        <w:ind w:firstLine="560" w:firstLineChars="20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val="en-US" w:eastAsia="zh-CN"/>
        </w:rPr>
        <w:t>1.</w:t>
      </w:r>
      <w:r>
        <w:rPr>
          <w:rFonts w:hint="eastAsia" w:asciiTheme="minorEastAsia" w:hAnsiTheme="minorEastAsia" w:eastAsiaTheme="minorEastAsia"/>
          <w:sz w:val="28"/>
          <w:szCs w:val="28"/>
        </w:rPr>
        <w:t>人工、机械台班价格按项目当期广州建设工程造价管理站发布的价格执行</w:t>
      </w:r>
      <w:r>
        <w:rPr>
          <w:rFonts w:hint="eastAsia" w:asciiTheme="minorEastAsia" w:hAnsiTheme="minorEastAsia" w:eastAsiaTheme="minorEastAsia"/>
          <w:sz w:val="28"/>
          <w:szCs w:val="28"/>
          <w:lang w:eastAsia="zh-CN"/>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材料、设备价格按如下优先顺序确定：①按项目当期《广州建设工程造价信息》对应材料的税前综合价格；②按项目当期《广州地区建设工程材料（设备）厂商价格信息》对应品牌的材料、设备价格下浮10%取定。③《广州建设工程造价信息》、《广州地区建设工程材料（设备）厂商价格信息》都没有可参考的材料设备，应进行市场询价取定，并提供询价资料，报招标人审定后方可采用。</w:t>
      </w:r>
    </w:p>
    <w:p>
      <w:pPr>
        <w:spacing w:line="360" w:lineRule="auto"/>
        <w:ind w:firstLine="560" w:firstLineChars="20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四</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取费执行文件：根据项目所在地具体工程执行相应文件</w:t>
      </w:r>
      <w:r>
        <w:rPr>
          <w:rFonts w:hint="eastAsia" w:asciiTheme="minorEastAsia" w:hAnsiTheme="minorEastAsia" w:eastAsiaTheme="minorEastAsia"/>
          <w:sz w:val="28"/>
          <w:szCs w:val="28"/>
          <w:lang w:eastAsia="zh-CN"/>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1.</w:t>
      </w:r>
      <w:r>
        <w:rPr>
          <w:rFonts w:hint="eastAsia" w:asciiTheme="minorEastAsia" w:hAnsiTheme="minorEastAsia" w:eastAsiaTheme="minorEastAsia"/>
          <w:sz w:val="28"/>
          <w:szCs w:val="28"/>
        </w:rPr>
        <w:t>绿色施工安全防护措施费，属于不可竞争费用，工程计价时，根据专业工程，应单独列项并按最新定额相应项目及费率计算。</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其他项目取费：暂列金额按分部分项工程费的10%计取；预算包干费根据具体专业工程，在清单中列明包干的内容和费率，其他如暂估价、计日工、总承包服务费、工程优质费、概算幅度差等，应结合工程具体情况，按规范要求计取。</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《广东省住房和城乡建设厅关于营业税改征增值税后调整广东省建设工程计价依据的通知》粤建市函〔2016〕1113号。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4.</w:t>
      </w:r>
      <w:r>
        <w:rPr>
          <w:rFonts w:hint="eastAsia" w:asciiTheme="minorEastAsia" w:hAnsiTheme="minorEastAsia" w:eastAsiaTheme="minorEastAsia"/>
          <w:sz w:val="28"/>
          <w:szCs w:val="28"/>
        </w:rPr>
        <w:t>广州市建设工程造价管理站关于营业税改征增值税后广州市建设工程计价有关问题的通知》穗建造价〔2016〕31号。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rPr>
        <w:t>《广东省住房和城乡建设厅关于调整广东省建设工程计价依据增值税税率的通知》粤建市函〔2018〕898号文。</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6.</w:t>
      </w:r>
      <w:r>
        <w:rPr>
          <w:rFonts w:hint="eastAsia" w:asciiTheme="minorEastAsia" w:hAnsiTheme="minorEastAsia" w:eastAsiaTheme="minorEastAsia"/>
          <w:sz w:val="28"/>
          <w:szCs w:val="28"/>
        </w:rPr>
        <w:t>《广东省财务部税务局关于调整增值税税率的通知》财税〔2018〕32号。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（五）</w:t>
      </w:r>
      <w:r>
        <w:rPr>
          <w:rFonts w:hint="eastAsia" w:asciiTheme="minorEastAsia" w:hAnsiTheme="minorEastAsia" w:eastAsiaTheme="minorEastAsia"/>
          <w:sz w:val="28"/>
          <w:szCs w:val="28"/>
        </w:rPr>
        <w:t>税金：按工程所在地税务机关规定的增值税纳税方法计算。</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（六）</w:t>
      </w:r>
      <w:r>
        <w:rPr>
          <w:rFonts w:hint="eastAsia" w:asciiTheme="minorEastAsia" w:hAnsiTheme="minorEastAsia" w:eastAsiaTheme="minorEastAsia"/>
          <w:sz w:val="28"/>
          <w:szCs w:val="28"/>
        </w:rPr>
        <w:t>国家或广东省出台新定额或是规定按新定额及规定执行。</w:t>
      </w:r>
    </w:p>
    <w:p>
      <w:pPr>
        <w:spacing w:line="360" w:lineRule="auto"/>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七、供应商需按以下要求采集相关数据资料：</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1.根据工程设计施工图（如有）；</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hint="eastAsia" w:asciiTheme="minorEastAsia" w:hAnsiTheme="minorEastAsia" w:eastAsiaTheme="minorEastAsia"/>
          <w:sz w:val="28"/>
          <w:szCs w:val="28"/>
          <w:lang w:val="en-US" w:eastAsia="zh-CN"/>
        </w:rPr>
        <w:t>每个工程项目必须</w:t>
      </w:r>
      <w:r>
        <w:rPr>
          <w:rFonts w:hint="eastAsia" w:asciiTheme="minorEastAsia" w:hAnsiTheme="minorEastAsia" w:eastAsiaTheme="minorEastAsia"/>
          <w:sz w:val="28"/>
          <w:szCs w:val="28"/>
        </w:rPr>
        <w:t>现场勘察，收集用户需求及现场测量工程量；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3.用户需求书。</w:t>
      </w:r>
    </w:p>
    <w:p>
      <w:pPr>
        <w:spacing w:line="360" w:lineRule="auto"/>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八、服务时间及资料要求：</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一</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工程造价咨询业务自收集相关数据资料后开始编制工程量清单、</w:t>
      </w:r>
      <w:r>
        <w:rPr>
          <w:rFonts w:hint="eastAsia" w:cs="宋体" w:asciiTheme="minorEastAsia" w:hAnsiTheme="minorEastAsia" w:eastAsiaTheme="minorEastAsia"/>
          <w:bCs/>
          <w:sz w:val="28"/>
          <w:szCs w:val="28"/>
        </w:rPr>
        <w:t>工程预算造价清单或工程概算清单</w:t>
      </w:r>
      <w:r>
        <w:rPr>
          <w:rFonts w:hint="eastAsia" w:cs="宋体" w:asciiTheme="minorEastAsia" w:hAnsiTheme="minorEastAsia" w:eastAsiaTheme="minorEastAsia"/>
          <w:sz w:val="28"/>
          <w:szCs w:val="28"/>
        </w:rPr>
        <w:t>，应在勘察现场收齐相关需求资料后，20万元以下的项目5个日历天内完成，20万元以上的项目（含20万元） 10个日历天内完成，但不包括与有关单位核对时间，若采购人提出修改意见，供应商应积极配合，并在采购人要求的时间内完成修改工作。</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二</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中标供应商对所编制的工程量清单、</w:t>
      </w:r>
      <w:r>
        <w:rPr>
          <w:rFonts w:hint="eastAsia" w:cs="宋体" w:asciiTheme="minorEastAsia" w:hAnsiTheme="minorEastAsia" w:eastAsiaTheme="minorEastAsia"/>
          <w:bCs/>
          <w:sz w:val="28"/>
          <w:szCs w:val="28"/>
        </w:rPr>
        <w:t>预算造价清单（最高投标限价）或工程概算清单</w:t>
      </w:r>
      <w:r>
        <w:rPr>
          <w:rFonts w:hint="eastAsia" w:cs="宋体" w:asciiTheme="minorEastAsia" w:hAnsiTheme="minorEastAsia" w:eastAsiaTheme="minorEastAsia"/>
          <w:sz w:val="28"/>
          <w:szCs w:val="28"/>
        </w:rPr>
        <w:t>的准确性、合规性负责。</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三</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供应商交付成果资料必须有</w:t>
      </w:r>
      <w:r>
        <w:rPr>
          <w:rFonts w:hint="eastAsia" w:cs="宋体" w:asciiTheme="minorEastAsia" w:hAnsiTheme="minorEastAsia" w:eastAsiaTheme="minorEastAsia"/>
          <w:color w:val="auto"/>
          <w:sz w:val="28"/>
          <w:szCs w:val="28"/>
        </w:rPr>
        <w:t>编制、复核、审定</w:t>
      </w:r>
      <w:r>
        <w:rPr>
          <w:rFonts w:hint="eastAsia" w:cs="宋体" w:asciiTheme="minorEastAsia" w:hAnsiTheme="minorEastAsia" w:eastAsiaTheme="minorEastAsia"/>
          <w:sz w:val="28"/>
          <w:szCs w:val="28"/>
        </w:rPr>
        <w:t xml:space="preserve">等相关负责人签字并加盖从业/执业章，提供全套编制的工程量清单一式两份、工程预算造价清单一式四份，并提供广联达软件版及导出 </w:t>
      </w:r>
      <w:r>
        <w:rPr>
          <w:rFonts w:cs="宋体" w:asciiTheme="minorEastAsia" w:hAnsiTheme="minorEastAsia" w:eastAsiaTheme="minorEastAsia"/>
          <w:sz w:val="28"/>
          <w:szCs w:val="28"/>
        </w:rPr>
        <w:t>EXCEL</w:t>
      </w:r>
      <w:r>
        <w:rPr>
          <w:rFonts w:hint="eastAsia" w:cs="宋体" w:asciiTheme="minorEastAsia" w:hAnsiTheme="minorEastAsia" w:eastAsiaTheme="minorEastAsia"/>
          <w:sz w:val="28"/>
          <w:szCs w:val="28"/>
        </w:rPr>
        <w:t>版等文件。</w:t>
      </w:r>
    </w:p>
    <w:p>
      <w:pPr>
        <w:numPr>
          <w:ilvl w:val="0"/>
          <w:numId w:val="0"/>
        </w:numPr>
        <w:spacing w:beforeLines="25" w:line="360" w:lineRule="auto"/>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lang w:val="en-US" w:eastAsia="zh-CN"/>
        </w:rPr>
        <w:t>九、</w:t>
      </w:r>
      <w:r>
        <w:rPr>
          <w:rFonts w:hint="eastAsia" w:cs="宋体" w:asciiTheme="minorEastAsia" w:hAnsiTheme="minorEastAsia" w:eastAsiaTheme="minorEastAsia"/>
          <w:b/>
          <w:bCs/>
          <w:sz w:val="28"/>
          <w:szCs w:val="28"/>
        </w:rPr>
        <w:t>咨询服务费报价及结算与支付方式：</w:t>
      </w:r>
    </w:p>
    <w:p>
      <w:pPr>
        <w:spacing w:beforeLines="25" w:line="360" w:lineRule="auto"/>
        <w:ind w:left="321"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（一）服务费报价：</w:t>
      </w:r>
    </w:p>
    <w:p>
      <w:pPr>
        <w:spacing w:beforeLines="25" w:line="360" w:lineRule="auto"/>
        <w:ind w:left="321" w:firstLine="560" w:firstLineChars="200"/>
        <w:rPr>
          <w:rFonts w:hint="eastAsia"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1.咨询服务费参照《广东省建筑工程造价咨询服务收费项目和收费标准表》（附件6），并结合我校小额工程实际情况，每个项目均包含工程量清单</w:t>
      </w:r>
      <w:r>
        <w:rPr>
          <w:rFonts w:hint="eastAsia" w:cs="宋体" w:asciiTheme="minorEastAsia" w:hAnsiTheme="minorEastAsia" w:eastAsiaTheme="minorEastAsia"/>
          <w:bCs/>
          <w:sz w:val="28"/>
          <w:szCs w:val="28"/>
          <w:lang w:val="en-US" w:eastAsia="zh-CN"/>
        </w:rPr>
        <w:t>编制</w:t>
      </w:r>
      <w:r>
        <w:rPr>
          <w:rFonts w:hint="eastAsia" w:cs="宋体" w:asciiTheme="minorEastAsia" w:hAnsiTheme="minorEastAsia" w:eastAsiaTheme="minorEastAsia"/>
          <w:bCs/>
          <w:sz w:val="28"/>
          <w:szCs w:val="28"/>
        </w:rPr>
        <w:t>和预算造价</w:t>
      </w:r>
      <w:r>
        <w:rPr>
          <w:rFonts w:hint="eastAsia" w:cs="宋体" w:asciiTheme="minorEastAsia" w:hAnsiTheme="minorEastAsia" w:eastAsiaTheme="minorEastAsia"/>
          <w:bCs/>
          <w:sz w:val="28"/>
          <w:szCs w:val="28"/>
          <w:lang w:val="en-US" w:eastAsia="zh-CN"/>
        </w:rPr>
        <w:t>清单编制工作。</w:t>
      </w:r>
    </w:p>
    <w:p>
      <w:pPr>
        <w:spacing w:beforeLines="25" w:line="360" w:lineRule="auto"/>
        <w:ind w:left="321" w:firstLine="560" w:firstLineChars="200"/>
        <w:rPr>
          <w:rFonts w:hint="eastAsia"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2.工程量清单编制、工程预算造价清单编制咨询服务费，按工程清单计价法差额定率累进计费，供应商在此基础上以</w:t>
      </w:r>
      <w:r>
        <w:rPr>
          <w:rFonts w:hint="eastAsia" w:cs="宋体" w:asciiTheme="minorEastAsia" w:hAnsiTheme="minorEastAsia" w:eastAsiaTheme="minorEastAsia"/>
          <w:b/>
          <w:bCs w:val="0"/>
          <w:sz w:val="28"/>
          <w:szCs w:val="28"/>
        </w:rPr>
        <w:t>下浮率</w:t>
      </w:r>
      <w:r>
        <w:rPr>
          <w:rFonts w:hint="eastAsia" w:cs="宋体" w:asciiTheme="minorEastAsia" w:hAnsiTheme="minorEastAsia" w:eastAsiaTheme="minorEastAsia"/>
          <w:bCs/>
          <w:sz w:val="28"/>
          <w:szCs w:val="28"/>
        </w:rPr>
        <w:t>形式报价（包括该表中说明第2条“造价咨询费不足2000元的按2000元收取”也按该下浮率计算）。例如：1.某工程预算造价为</w:t>
      </w:r>
      <w:r>
        <w:rPr>
          <w:rFonts w:hint="eastAsia" w:cs="宋体" w:asciiTheme="minorEastAsia" w:hAnsiTheme="minorEastAsia" w:eastAsiaTheme="minorEastAsia"/>
          <w:bCs/>
          <w:sz w:val="28"/>
          <w:szCs w:val="28"/>
          <w:lang w:val="en-US" w:eastAsia="zh-CN"/>
        </w:rPr>
        <w:t>60</w:t>
      </w:r>
      <w:r>
        <w:rPr>
          <w:rFonts w:hint="eastAsia" w:cs="宋体" w:asciiTheme="minorEastAsia" w:hAnsiTheme="minorEastAsia" w:eastAsiaTheme="minorEastAsia"/>
          <w:bCs/>
          <w:sz w:val="28"/>
          <w:szCs w:val="28"/>
        </w:rPr>
        <w:t>万元，按此标准计算出来的基准价为</w:t>
      </w:r>
      <w:r>
        <w:rPr>
          <w:rFonts w:hint="eastAsia" w:cs="宋体" w:asciiTheme="minorEastAsia" w:hAnsiTheme="minorEastAsia" w:eastAsiaTheme="minorEastAsia"/>
          <w:bCs/>
          <w:sz w:val="28"/>
          <w:szCs w:val="28"/>
          <w:lang w:val="en-US" w:eastAsia="zh-CN"/>
        </w:rPr>
        <w:t>2880.00</w:t>
      </w:r>
      <w:r>
        <w:rPr>
          <w:rFonts w:hint="eastAsia" w:cs="宋体" w:asciiTheme="minorEastAsia" w:hAnsiTheme="minorEastAsia" w:eastAsiaTheme="minorEastAsia"/>
          <w:bCs/>
          <w:sz w:val="28"/>
          <w:szCs w:val="28"/>
        </w:rPr>
        <w:t>元（</w:t>
      </w:r>
      <w:r>
        <w:rPr>
          <w:rFonts w:hint="eastAsia" w:cs="宋体" w:asciiTheme="minorEastAsia" w:hAnsiTheme="minorEastAsia" w:eastAsiaTheme="minorEastAsia"/>
          <w:bCs/>
          <w:sz w:val="28"/>
          <w:szCs w:val="28"/>
          <w:lang w:val="en-US" w:eastAsia="zh-CN"/>
        </w:rPr>
        <w:t>60</w:t>
      </w:r>
      <w:r>
        <w:rPr>
          <w:rFonts w:hint="eastAsia" w:cs="宋体" w:asciiTheme="minorEastAsia" w:hAnsiTheme="minorEastAsia" w:eastAsiaTheme="minorEastAsia"/>
          <w:bCs/>
          <w:sz w:val="28"/>
          <w:szCs w:val="28"/>
        </w:rPr>
        <w:t>0,000*3‰+</w:t>
      </w:r>
      <w:r>
        <w:rPr>
          <w:rFonts w:hint="eastAsia" w:cs="宋体" w:asciiTheme="minorEastAsia" w:hAnsiTheme="minorEastAsia" w:eastAsiaTheme="minorEastAsia"/>
          <w:bCs/>
          <w:sz w:val="28"/>
          <w:szCs w:val="28"/>
          <w:lang w:val="en-US" w:eastAsia="zh-CN"/>
        </w:rPr>
        <w:t>60</w:t>
      </w:r>
      <w:r>
        <w:rPr>
          <w:rFonts w:hint="eastAsia" w:cs="宋体" w:asciiTheme="minorEastAsia" w:hAnsiTheme="minorEastAsia" w:eastAsiaTheme="minorEastAsia"/>
          <w:bCs/>
          <w:sz w:val="28"/>
          <w:szCs w:val="28"/>
        </w:rPr>
        <w:t>0,000*1.8‰），如供应商投本项目</w:t>
      </w:r>
      <w:r>
        <w:rPr>
          <w:rFonts w:hint="eastAsia" w:cs="宋体" w:asciiTheme="minorEastAsia" w:hAnsiTheme="minorEastAsia" w:eastAsiaTheme="minorEastAsia"/>
          <w:b/>
          <w:bCs w:val="0"/>
          <w:sz w:val="28"/>
          <w:szCs w:val="28"/>
        </w:rPr>
        <w:t>下浮率</w:t>
      </w:r>
      <w:r>
        <w:rPr>
          <w:rFonts w:hint="eastAsia" w:cs="宋体" w:asciiTheme="minorEastAsia" w:hAnsiTheme="minorEastAsia" w:eastAsiaTheme="minorEastAsia"/>
          <w:bCs/>
          <w:sz w:val="28"/>
          <w:szCs w:val="28"/>
        </w:rPr>
        <w:t>为20%，即该工程工程量清单编制及工程预算造价清单编制的咨询服务费为：</w:t>
      </w:r>
      <w:r>
        <w:rPr>
          <w:rFonts w:hint="eastAsia" w:cs="宋体" w:asciiTheme="minorEastAsia" w:hAnsiTheme="minorEastAsia" w:eastAsiaTheme="minorEastAsia"/>
          <w:bCs/>
          <w:sz w:val="28"/>
          <w:szCs w:val="28"/>
          <w:lang w:val="en-US" w:eastAsia="zh-CN"/>
        </w:rPr>
        <w:t>2304.00</w:t>
      </w:r>
      <w:r>
        <w:rPr>
          <w:rFonts w:hint="eastAsia" w:cs="宋体" w:asciiTheme="minorEastAsia" w:hAnsiTheme="minorEastAsia" w:eastAsiaTheme="minorEastAsia"/>
          <w:bCs/>
          <w:sz w:val="28"/>
          <w:szCs w:val="28"/>
        </w:rPr>
        <w:t>元（</w:t>
      </w:r>
      <w:r>
        <w:rPr>
          <w:rFonts w:hint="eastAsia" w:cs="宋体" w:asciiTheme="minorEastAsia" w:hAnsiTheme="minorEastAsia" w:eastAsiaTheme="minorEastAsia"/>
          <w:bCs/>
          <w:sz w:val="28"/>
          <w:szCs w:val="28"/>
          <w:lang w:val="en-US" w:eastAsia="zh-CN"/>
        </w:rPr>
        <w:t>2880</w:t>
      </w:r>
      <w:r>
        <w:rPr>
          <w:rFonts w:hint="eastAsia" w:cs="宋体" w:asciiTheme="minorEastAsia" w:hAnsiTheme="minorEastAsia" w:eastAsiaTheme="minorEastAsia"/>
          <w:bCs/>
          <w:sz w:val="28"/>
          <w:szCs w:val="28"/>
        </w:rPr>
        <w:t>*（1-20%））</w:t>
      </w:r>
      <w:r>
        <w:rPr>
          <w:rFonts w:hint="eastAsia" w:cs="宋体" w:asciiTheme="minorEastAsia" w:hAnsiTheme="minorEastAsia" w:eastAsiaTheme="minorEastAsia"/>
          <w:bCs/>
          <w:sz w:val="28"/>
          <w:szCs w:val="28"/>
          <w:lang w:eastAsia="zh-CN"/>
        </w:rPr>
        <w:t>；</w:t>
      </w:r>
      <w:r>
        <w:rPr>
          <w:rFonts w:hint="eastAsia" w:cs="宋体" w:asciiTheme="minorEastAsia" w:hAnsiTheme="minorEastAsia" w:eastAsiaTheme="minorEastAsia"/>
          <w:bCs/>
          <w:sz w:val="28"/>
          <w:szCs w:val="28"/>
          <w:lang w:val="en-US" w:eastAsia="zh-CN"/>
        </w:rPr>
        <w:t>2</w:t>
      </w:r>
      <w:r>
        <w:rPr>
          <w:rFonts w:hint="eastAsia" w:cs="宋体" w:asciiTheme="minorEastAsia" w:hAnsiTheme="minorEastAsia" w:eastAsiaTheme="minorEastAsia"/>
          <w:bCs/>
          <w:sz w:val="28"/>
          <w:szCs w:val="28"/>
        </w:rPr>
        <w:t>.某工程预算造价为10万元，按此标准计算出来的基准价为480.00元（100,000*3‰+100,000*1.8‰），按表中清单计价法差额定率累进计费，咨询费不足2000元的，按表中说明第2条“造价咨询费不足2000元的按2000元收取”，此条也相应按</w:t>
      </w:r>
      <w:r>
        <w:rPr>
          <w:rFonts w:hint="eastAsia" w:cs="宋体" w:asciiTheme="minorEastAsia" w:hAnsiTheme="minorEastAsia" w:eastAsiaTheme="minorEastAsia"/>
          <w:b/>
          <w:bCs w:val="0"/>
          <w:sz w:val="28"/>
          <w:szCs w:val="28"/>
        </w:rPr>
        <w:t>下浮率</w:t>
      </w:r>
      <w:r>
        <w:rPr>
          <w:rFonts w:hint="eastAsia" w:cs="宋体" w:asciiTheme="minorEastAsia" w:hAnsiTheme="minorEastAsia" w:eastAsiaTheme="minorEastAsia"/>
          <w:bCs/>
          <w:sz w:val="28"/>
          <w:szCs w:val="28"/>
        </w:rPr>
        <w:t>计算，如供应商投本项目</w:t>
      </w:r>
      <w:r>
        <w:rPr>
          <w:rFonts w:hint="eastAsia" w:cs="宋体" w:asciiTheme="minorEastAsia" w:hAnsiTheme="minorEastAsia" w:eastAsiaTheme="minorEastAsia"/>
          <w:b/>
          <w:bCs w:val="0"/>
          <w:sz w:val="28"/>
          <w:szCs w:val="28"/>
        </w:rPr>
        <w:t>下浮率</w:t>
      </w:r>
      <w:r>
        <w:rPr>
          <w:rFonts w:hint="eastAsia" w:cs="宋体" w:asciiTheme="minorEastAsia" w:hAnsiTheme="minorEastAsia" w:eastAsiaTheme="minorEastAsia"/>
          <w:bCs/>
          <w:sz w:val="28"/>
          <w:szCs w:val="28"/>
        </w:rPr>
        <w:t>为20%，即该项目工程量清单编制及工程预算造价清单编制的咨询服务费为：1,600元（2,000*（1-20%））。</w:t>
      </w:r>
    </w:p>
    <w:p>
      <w:pPr>
        <w:pStyle w:val="2"/>
        <w:spacing w:line="360" w:lineRule="auto"/>
        <w:ind w:firstLine="560"/>
        <w:rPr>
          <w:rFonts w:hint="default" w:asciiTheme="minorEastAsia" w:hAnsiTheme="minorEastAsia" w:eastAsiaTheme="minorEastAsia"/>
          <w:bCs/>
          <w:sz w:val="28"/>
          <w:szCs w:val="28"/>
          <w:lang w:val="en-US" w:eastAsia="zh-CN"/>
        </w:rPr>
      </w:pPr>
      <w:r>
        <w:rPr>
          <w:rFonts w:hint="eastAsia" w:asciiTheme="minorEastAsia" w:hAnsiTheme="minorEastAsia" w:eastAsiaTheme="minorEastAsia"/>
          <w:bCs/>
          <w:sz w:val="28"/>
          <w:szCs w:val="28"/>
          <w:lang w:val="en-US" w:eastAsia="zh-CN"/>
        </w:rPr>
        <w:t>3</w:t>
      </w:r>
      <w:r>
        <w:rPr>
          <w:rFonts w:hint="eastAsia" w:asciiTheme="minorEastAsia" w:hAnsiTheme="minorEastAsia" w:eastAsiaTheme="minorEastAsia"/>
          <w:bCs/>
          <w:sz w:val="28"/>
          <w:szCs w:val="28"/>
        </w:rPr>
        <w:t>.按采购人要求单独完成工程概算的编制，由于采购人原因，项目取消不实施，则按单独编制工程概算，支付咨询服务费</w:t>
      </w:r>
      <w:r>
        <w:rPr>
          <w:rFonts w:hint="eastAsia" w:asciiTheme="minorEastAsia" w:hAnsiTheme="minorEastAsia" w:eastAsiaTheme="minorEastAsia"/>
          <w:bCs/>
          <w:sz w:val="28"/>
          <w:szCs w:val="28"/>
          <w:lang w:eastAsia="zh-CN"/>
        </w:rPr>
        <w:t>，</w:t>
      </w:r>
      <w:r>
        <w:rPr>
          <w:rFonts w:hint="eastAsia" w:asciiTheme="minorEastAsia" w:hAnsiTheme="minorEastAsia" w:eastAsiaTheme="minorEastAsia"/>
          <w:bCs/>
          <w:sz w:val="28"/>
          <w:szCs w:val="28"/>
          <w:lang w:val="en-US" w:eastAsia="zh-CN"/>
        </w:rPr>
        <w:t>概算咨询服务费的标准为：2000*（1-投标下浮率）*50%，例如：</w:t>
      </w:r>
      <w:r>
        <w:rPr>
          <w:rFonts w:hint="eastAsia" w:cs="宋体" w:asciiTheme="minorEastAsia" w:hAnsiTheme="minorEastAsia" w:eastAsiaTheme="minorEastAsia"/>
          <w:bCs/>
          <w:sz w:val="28"/>
          <w:szCs w:val="28"/>
        </w:rPr>
        <w:t>供应商投本项目</w:t>
      </w:r>
      <w:r>
        <w:rPr>
          <w:rFonts w:hint="eastAsia" w:cs="宋体" w:asciiTheme="minorEastAsia" w:hAnsiTheme="minorEastAsia" w:eastAsiaTheme="minorEastAsia"/>
          <w:b/>
          <w:bCs w:val="0"/>
          <w:sz w:val="28"/>
          <w:szCs w:val="28"/>
        </w:rPr>
        <w:t>下浮率</w:t>
      </w:r>
      <w:r>
        <w:rPr>
          <w:rFonts w:hint="eastAsia" w:cs="宋体" w:asciiTheme="minorEastAsia" w:hAnsiTheme="minorEastAsia" w:eastAsiaTheme="minorEastAsia"/>
          <w:bCs/>
          <w:sz w:val="28"/>
          <w:szCs w:val="28"/>
        </w:rPr>
        <w:t>为20%</w:t>
      </w:r>
      <w:r>
        <w:rPr>
          <w:rFonts w:hint="eastAsia" w:cs="宋体" w:asciiTheme="minorEastAsia" w:hAnsiTheme="minorEastAsia" w:eastAsiaTheme="minorEastAsia"/>
          <w:bCs/>
          <w:sz w:val="28"/>
          <w:szCs w:val="28"/>
          <w:lang w:eastAsia="zh-CN"/>
        </w:rPr>
        <w:t>，</w:t>
      </w:r>
      <w:r>
        <w:rPr>
          <w:rFonts w:hint="eastAsia" w:cs="宋体" w:asciiTheme="minorEastAsia" w:hAnsiTheme="minorEastAsia" w:eastAsiaTheme="minorEastAsia"/>
          <w:bCs/>
          <w:sz w:val="28"/>
          <w:szCs w:val="28"/>
          <w:lang w:val="en-US" w:eastAsia="zh-CN"/>
        </w:rPr>
        <w:t>则该项目工程概算的编制咨询服务费为：</w:t>
      </w:r>
      <w:r>
        <w:rPr>
          <w:rFonts w:hint="eastAsia" w:asciiTheme="minorEastAsia" w:hAnsiTheme="minorEastAsia" w:eastAsiaTheme="minorEastAsia"/>
          <w:bCs/>
          <w:sz w:val="28"/>
          <w:szCs w:val="28"/>
          <w:lang w:val="en-US" w:eastAsia="zh-CN"/>
        </w:rPr>
        <w:t>2000*（1-20%）*50%=800.00元。</w:t>
      </w:r>
    </w:p>
    <w:p>
      <w:pPr>
        <w:pStyle w:val="2"/>
        <w:spacing w:line="360" w:lineRule="auto"/>
        <w:ind w:firstLine="560"/>
        <w:rPr>
          <w:bCs/>
          <w:sz w:val="28"/>
          <w:szCs w:val="28"/>
        </w:rPr>
      </w:pPr>
      <w:r>
        <w:rPr>
          <w:rFonts w:hint="eastAsia"/>
          <w:bCs/>
          <w:sz w:val="28"/>
          <w:szCs w:val="28"/>
          <w:lang w:val="en-US" w:eastAsia="zh-CN"/>
        </w:rPr>
        <w:t>4</w:t>
      </w:r>
      <w:r>
        <w:rPr>
          <w:bCs/>
          <w:sz w:val="28"/>
          <w:szCs w:val="28"/>
        </w:rPr>
        <w:t>.按采购人要求完成工程概算基础上继续深化工程预算编制，则按工程</w:t>
      </w:r>
      <w:r>
        <w:rPr>
          <w:rFonts w:hint="eastAsia"/>
          <w:bCs/>
          <w:sz w:val="28"/>
          <w:szCs w:val="28"/>
          <w:lang w:val="en-US" w:eastAsia="zh-CN"/>
        </w:rPr>
        <w:t>量清单及</w:t>
      </w:r>
      <w:r>
        <w:rPr>
          <w:bCs/>
          <w:sz w:val="28"/>
          <w:szCs w:val="28"/>
        </w:rPr>
        <w:t>预算</w:t>
      </w:r>
      <w:r>
        <w:rPr>
          <w:rFonts w:hint="eastAsia"/>
          <w:bCs/>
          <w:sz w:val="28"/>
          <w:szCs w:val="28"/>
          <w:lang w:val="en-US" w:eastAsia="zh-CN"/>
        </w:rPr>
        <w:t>造价</w:t>
      </w:r>
      <w:r>
        <w:rPr>
          <w:bCs/>
          <w:sz w:val="28"/>
          <w:szCs w:val="28"/>
        </w:rPr>
        <w:t>编制标准，支付咨询服务费。</w:t>
      </w:r>
    </w:p>
    <w:p>
      <w:pPr>
        <w:pStyle w:val="2"/>
        <w:spacing w:line="360" w:lineRule="auto"/>
        <w:ind w:firstLine="560"/>
        <w:rPr>
          <w:rFonts w:hint="eastAsia"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rPr>
        <w:t>.</w:t>
      </w:r>
      <w:r>
        <w:rPr>
          <w:rFonts w:hint="eastAsia" w:cs="仿宋" w:asciiTheme="minorEastAsia" w:hAnsiTheme="minorEastAsia" w:eastAsiaTheme="minorEastAsia"/>
          <w:sz w:val="28"/>
          <w:szCs w:val="28"/>
        </w:rPr>
        <w:t>本项目发包的工程量清单、工程预算造价清单、工程概算清单的编制，</w:t>
      </w:r>
      <w:r>
        <w:rPr>
          <w:rFonts w:hint="eastAsia" w:asciiTheme="minorEastAsia" w:hAnsiTheme="minorEastAsia" w:eastAsiaTheme="minorEastAsia"/>
          <w:sz w:val="28"/>
          <w:szCs w:val="28"/>
        </w:rPr>
        <w:t>均为综合考虑了含钢筋及预埋件的计算，</w:t>
      </w:r>
      <w:r>
        <w:rPr>
          <w:rFonts w:hint="eastAsia" w:asciiTheme="minorEastAsia" w:hAnsiTheme="minorEastAsia" w:eastAsiaTheme="minorEastAsia"/>
          <w:sz w:val="28"/>
          <w:szCs w:val="28"/>
          <w:lang w:val="en-US" w:eastAsia="zh-CN"/>
        </w:rPr>
        <w:t>工程量清单、</w:t>
      </w:r>
      <w:r>
        <w:rPr>
          <w:rFonts w:hint="eastAsia" w:asciiTheme="minorEastAsia" w:hAnsiTheme="minorEastAsia" w:eastAsiaTheme="minorEastAsia"/>
          <w:sz w:val="28"/>
          <w:szCs w:val="28"/>
        </w:rPr>
        <w:t>工程预算造价</w:t>
      </w:r>
      <w:r>
        <w:rPr>
          <w:rFonts w:hint="eastAsia" w:asciiTheme="minorEastAsia" w:hAnsiTheme="minorEastAsia" w:eastAsiaTheme="minorEastAsia"/>
          <w:sz w:val="28"/>
          <w:szCs w:val="28"/>
          <w:lang w:val="en-US" w:eastAsia="zh-CN"/>
        </w:rPr>
        <w:t>收费基数</w:t>
      </w:r>
      <w:r>
        <w:rPr>
          <w:rFonts w:hint="eastAsia" w:asciiTheme="minorEastAsia" w:hAnsiTheme="minorEastAsia" w:eastAsiaTheme="minorEastAsia"/>
          <w:sz w:val="28"/>
          <w:szCs w:val="28"/>
        </w:rPr>
        <w:t>均为税前工程造价、税前工程概算造价。</w:t>
      </w:r>
    </w:p>
    <w:p>
      <w:pPr>
        <w:pStyle w:val="2"/>
        <w:spacing w:line="360" w:lineRule="auto"/>
        <w:ind w:firstLine="560"/>
        <w:rPr>
          <w:rFonts w:hint="eastAsia"/>
          <w:bCs/>
          <w:sz w:val="28"/>
          <w:szCs w:val="28"/>
        </w:rPr>
      </w:pPr>
      <w:r>
        <w:rPr>
          <w:rFonts w:hint="eastAsia"/>
          <w:bCs/>
          <w:sz w:val="28"/>
          <w:szCs w:val="28"/>
          <w:lang w:val="en-US" w:eastAsia="zh-CN"/>
        </w:rPr>
        <w:t>6</w:t>
      </w:r>
      <w:r>
        <w:rPr>
          <w:rFonts w:hint="eastAsia"/>
          <w:bCs/>
          <w:sz w:val="28"/>
          <w:szCs w:val="28"/>
        </w:rPr>
        <w:t>.以上咨询服务费用已包含编制工程量清单、工程预算造价、工程概算等编制过程中产生的外出劳务费、快递费、交通差旅、餐费、税金等一切相关费用。</w:t>
      </w:r>
    </w:p>
    <w:p>
      <w:pPr>
        <w:spacing w:beforeLines="25" w:line="360" w:lineRule="auto"/>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（二）结算与支付方式：</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1.以每个独立工程项目单独结算，中标供应商按采购人要求完成委托业务，提供正式出稿的工程量清单、工程预算造价清单或工程概算清单纸质版及电子版资料。</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2.每完成一个项目并经采购人确认后，按采购人通知期限，提交相应的咨询服务费书面申请报告、合同及发票，采购人于20个工作日内支付该项目咨询服务费用。若遇寒暑假或其他特殊情况，则付款时间顺延。</w:t>
      </w:r>
    </w:p>
    <w:p>
      <w:pPr>
        <w:spacing w:beforeLines="25" w:line="360" w:lineRule="auto"/>
        <w:ind w:firstLine="281" w:firstLineChars="1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九、双方权利和义务</w:t>
      </w:r>
    </w:p>
    <w:p>
      <w:pPr>
        <w:spacing w:beforeLines="25" w:line="360" w:lineRule="auto"/>
        <w:ind w:firstLine="281" w:firstLineChars="1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（一）采购人的权利与义务</w:t>
      </w:r>
    </w:p>
    <w:p>
      <w:pPr>
        <w:spacing w:beforeLines="25"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1.双方的约定：采购人按合同条款约定进行付款，安排专人负责跟进，负责提供项目资料及协助现场勘查收集数据等资料。</w:t>
      </w:r>
    </w:p>
    <w:p>
      <w:pPr>
        <w:spacing w:beforeLines="25"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2.法律法规以及询价文件规定的其他权利和义务。</w:t>
      </w:r>
    </w:p>
    <w:p>
      <w:pPr>
        <w:spacing w:beforeLines="25" w:line="360" w:lineRule="auto"/>
        <w:ind w:firstLine="281" w:firstLineChars="1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（二）中标供应商的权利与义务</w:t>
      </w:r>
    </w:p>
    <w:p>
      <w:pPr>
        <w:spacing w:beforeLines="25"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1.双方的约定：中标供应商按合同约定提供小额工程工程量清单、工程预算造价清单</w:t>
      </w:r>
      <w:r>
        <w:rPr>
          <w:rFonts w:hint="eastAsia" w:cs="宋体" w:asciiTheme="minorEastAsia" w:hAnsiTheme="minorEastAsia" w:eastAsiaTheme="minorEastAsia"/>
          <w:bCs/>
          <w:sz w:val="28"/>
          <w:szCs w:val="28"/>
          <w:lang w:val="en-US" w:eastAsia="zh-CN"/>
        </w:rPr>
        <w:t>编制</w:t>
      </w:r>
      <w:r>
        <w:rPr>
          <w:rFonts w:hint="eastAsia" w:cs="宋体" w:asciiTheme="minorEastAsia" w:hAnsiTheme="minorEastAsia" w:eastAsiaTheme="minorEastAsia"/>
          <w:bCs/>
          <w:sz w:val="28"/>
          <w:szCs w:val="28"/>
        </w:rPr>
        <w:t>等咨询服务。</w:t>
      </w:r>
    </w:p>
    <w:p>
      <w:pPr>
        <w:spacing w:beforeLines="25" w:line="360" w:lineRule="auto"/>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2.法律法规以及询价文件规定的其他权利和义务。</w:t>
      </w:r>
    </w:p>
    <w:p>
      <w:pPr>
        <w:spacing w:beforeLines="25" w:line="360" w:lineRule="auto"/>
        <w:ind w:firstLine="281" w:firstLineChars="1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十、违约责任：</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一</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中标供应商所提交的工程造价咨询报告，价值客观、真实、合理、 清晰、工整，符合工程预算造价咨询行业标准规范要求，经采购人或采购人委托第三方咨询公司进行预算审核，其误差应与审定预算造价相差±</w:t>
      </w:r>
      <w:r>
        <w:rPr>
          <w:rFonts w:cs="宋体" w:asciiTheme="minorEastAsia" w:hAnsiTheme="minorEastAsia" w:eastAsiaTheme="minorEastAsia"/>
          <w:sz w:val="28"/>
          <w:szCs w:val="28"/>
        </w:rPr>
        <w:t>5</w:t>
      </w:r>
      <w:r>
        <w:rPr>
          <w:rFonts w:hint="eastAsia" w:cs="宋体" w:asciiTheme="minorEastAsia" w:hAnsiTheme="minorEastAsia" w:eastAsiaTheme="minorEastAsia"/>
          <w:sz w:val="28"/>
          <w:szCs w:val="28"/>
        </w:rPr>
        <w:t>%以内，如误差大于等于</w:t>
      </w:r>
      <w:r>
        <w:rPr>
          <w:rFonts w:cs="宋体" w:asciiTheme="minorEastAsia" w:hAnsiTheme="minorEastAsia" w:eastAsiaTheme="minorEastAsia"/>
          <w:sz w:val="28"/>
          <w:szCs w:val="28"/>
        </w:rPr>
        <w:t>5</w:t>
      </w:r>
      <w:r>
        <w:rPr>
          <w:rFonts w:hint="eastAsia" w:cs="宋体" w:asciiTheme="minorEastAsia" w:hAnsiTheme="minorEastAsia" w:eastAsiaTheme="minorEastAsia"/>
          <w:sz w:val="28"/>
          <w:szCs w:val="28"/>
        </w:rPr>
        <w:t>%且小于或等于</w:t>
      </w:r>
      <w:r>
        <w:rPr>
          <w:rFonts w:cs="宋体" w:asciiTheme="minorEastAsia" w:hAnsiTheme="minorEastAsia" w:eastAsiaTheme="minorEastAsia"/>
          <w:sz w:val="28"/>
          <w:szCs w:val="28"/>
        </w:rPr>
        <w:t>10</w:t>
      </w:r>
      <w:r>
        <w:rPr>
          <w:rFonts w:hint="eastAsia" w:cs="宋体" w:asciiTheme="minorEastAsia" w:hAnsiTheme="minorEastAsia" w:eastAsiaTheme="minorEastAsia"/>
          <w:sz w:val="28"/>
          <w:szCs w:val="28"/>
        </w:rPr>
        <w:t>%时，扣减该项目咨询服务费的20%，误差大于</w:t>
      </w:r>
      <w:r>
        <w:rPr>
          <w:rFonts w:cs="宋体" w:asciiTheme="minorEastAsia" w:hAnsiTheme="minorEastAsia" w:eastAsiaTheme="minorEastAsia"/>
          <w:sz w:val="28"/>
          <w:szCs w:val="28"/>
        </w:rPr>
        <w:t>10</w:t>
      </w:r>
      <w:r>
        <w:rPr>
          <w:rFonts w:hint="eastAsia" w:cs="宋体" w:asciiTheme="minorEastAsia" w:hAnsiTheme="minorEastAsia" w:eastAsiaTheme="minorEastAsia"/>
          <w:sz w:val="28"/>
          <w:szCs w:val="28"/>
        </w:rPr>
        <w:t>%时，则采购人不支付该项目</w:t>
      </w:r>
      <w:r>
        <w:rPr>
          <w:rFonts w:hint="eastAsia" w:cs="宋体" w:asciiTheme="minorEastAsia" w:hAnsiTheme="minorEastAsia" w:eastAsiaTheme="minorEastAsia"/>
          <w:sz w:val="28"/>
          <w:szCs w:val="28"/>
          <w:lang w:val="en-US" w:eastAsia="zh-CN"/>
        </w:rPr>
        <w:t>咨询</w:t>
      </w:r>
      <w:r>
        <w:rPr>
          <w:rFonts w:hint="eastAsia" w:cs="宋体" w:asciiTheme="minorEastAsia" w:hAnsiTheme="minorEastAsia" w:eastAsiaTheme="minorEastAsia"/>
          <w:sz w:val="28"/>
          <w:szCs w:val="28"/>
        </w:rPr>
        <w:t>服务费。</w:t>
      </w:r>
    </w:p>
    <w:p>
      <w:pPr>
        <w:spacing w:beforeLines="25" w:line="360" w:lineRule="auto"/>
        <w:ind w:firstLine="560" w:firstLineChars="200"/>
        <w:rPr>
          <w:rFonts w:cs="宋体" w:asciiTheme="minorEastAsia" w:hAnsiTheme="minorEastAsia" w:eastAsiaTheme="minorEastAsia"/>
          <w:sz w:val="28"/>
          <w:szCs w:val="28"/>
        </w:rPr>
      </w:pPr>
      <w:bookmarkStart w:id="0" w:name="bookmark90"/>
      <w:bookmarkEnd w:id="0"/>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二</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中标供应商未在规定期限内完成委托业务，每逾期一天，中标供应商按委托服务费的</w:t>
      </w:r>
      <w:r>
        <w:rPr>
          <w:rFonts w:cs="宋体" w:asciiTheme="minorEastAsia" w:hAnsiTheme="minorEastAsia" w:eastAsiaTheme="minorEastAsia"/>
          <w:sz w:val="28"/>
          <w:szCs w:val="28"/>
        </w:rPr>
        <w:t>5</w:t>
      </w:r>
      <w:r>
        <w:rPr>
          <w:rFonts w:hint="eastAsia" w:cs="宋体" w:asciiTheme="minorEastAsia" w:hAnsiTheme="minorEastAsia" w:eastAsiaTheme="minorEastAsia"/>
          <w:sz w:val="28"/>
          <w:szCs w:val="28"/>
        </w:rPr>
        <w:t>%向采购人偿付违约金。逾期超过10个日历天，采购人有权单方解除合同，并不再支付</w:t>
      </w:r>
      <w:r>
        <w:rPr>
          <w:rFonts w:hint="eastAsia" w:cs="宋体" w:asciiTheme="minorEastAsia" w:hAnsiTheme="minorEastAsia" w:eastAsiaTheme="minorEastAsia"/>
          <w:sz w:val="28"/>
          <w:szCs w:val="28"/>
          <w:lang w:val="en-US" w:eastAsia="zh-CN"/>
        </w:rPr>
        <w:t>委托项目的咨询</w:t>
      </w:r>
      <w:r>
        <w:rPr>
          <w:rFonts w:hint="eastAsia" w:cs="宋体" w:asciiTheme="minorEastAsia" w:hAnsiTheme="minorEastAsia" w:eastAsiaTheme="minorEastAsia"/>
          <w:sz w:val="28"/>
          <w:szCs w:val="28"/>
        </w:rPr>
        <w:t>服务费。</w:t>
      </w:r>
    </w:p>
    <w:p>
      <w:pPr>
        <w:spacing w:beforeLines="25" w:line="360" w:lineRule="auto"/>
        <w:ind w:firstLine="560" w:firstLineChars="200"/>
        <w:rPr>
          <w:rFonts w:cs="宋体" w:asciiTheme="minorEastAsia" w:hAnsiTheme="minorEastAsia" w:eastAsiaTheme="minorEastAsia"/>
          <w:sz w:val="28"/>
          <w:szCs w:val="28"/>
        </w:rPr>
      </w:pPr>
      <w:bookmarkStart w:id="1" w:name="bookmark91"/>
      <w:bookmarkEnd w:id="1"/>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三</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若在施工过程中，发现中标供应商所编制的预算清单（即</w:t>
      </w:r>
      <w:r>
        <w:rPr>
          <w:rFonts w:hint="eastAsia" w:cs="宋体" w:asciiTheme="minorEastAsia" w:hAnsiTheme="minorEastAsia" w:eastAsiaTheme="minorEastAsia"/>
          <w:sz w:val="28"/>
          <w:szCs w:val="28"/>
          <w:lang w:val="en-US" w:eastAsia="zh-CN"/>
        </w:rPr>
        <w:t>最高投标限价</w:t>
      </w:r>
      <w:r>
        <w:rPr>
          <w:rFonts w:hint="eastAsia" w:cs="宋体" w:asciiTheme="minorEastAsia" w:hAnsiTheme="minorEastAsia" w:eastAsiaTheme="minorEastAsia"/>
          <w:sz w:val="28"/>
          <w:szCs w:val="28"/>
        </w:rPr>
        <w:t>）和工程量清单出现漏项、工程量计算错误、清单描述不完整不正确等中标供应商原因造成工程造价增加超过施工合同价的5%以上时，采购人有权单方解除合同，并不再支付该项目</w:t>
      </w:r>
      <w:r>
        <w:rPr>
          <w:rFonts w:hint="eastAsia" w:cs="宋体" w:asciiTheme="minorEastAsia" w:hAnsiTheme="minorEastAsia" w:eastAsiaTheme="minorEastAsia"/>
          <w:sz w:val="28"/>
          <w:szCs w:val="28"/>
          <w:lang w:val="en-US" w:eastAsia="zh-CN"/>
        </w:rPr>
        <w:t>咨询</w:t>
      </w:r>
      <w:r>
        <w:rPr>
          <w:rFonts w:hint="eastAsia" w:cs="宋体" w:asciiTheme="minorEastAsia" w:hAnsiTheme="minorEastAsia" w:eastAsiaTheme="minorEastAsia"/>
          <w:sz w:val="28"/>
          <w:szCs w:val="28"/>
        </w:rPr>
        <w:t>服务费。</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四</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中标供应商如有违背执业标准，职业规范（</w:t>
      </w:r>
      <w:r>
        <w:rPr>
          <w:rFonts w:hint="eastAsia" w:ascii="宋体" w:hAnsi="宋体" w:cs="宋体"/>
          <w:sz w:val="28"/>
          <w:szCs w:val="28"/>
        </w:rPr>
        <w:t>如接受利益请托、对外泄露项目信息、串通工程公司，损害采购人利益</w:t>
      </w:r>
      <w:r>
        <w:rPr>
          <w:rFonts w:hint="eastAsia" w:cs="宋体" w:asciiTheme="minorEastAsia" w:hAnsiTheme="minorEastAsia" w:eastAsiaTheme="minorEastAsia"/>
          <w:sz w:val="28"/>
          <w:szCs w:val="28"/>
        </w:rPr>
        <w:t>）等不当行为时，采购人有权即刻单方面解除本合同，并不支付</w:t>
      </w:r>
      <w:r>
        <w:rPr>
          <w:rFonts w:hint="eastAsia" w:cs="宋体" w:asciiTheme="minorEastAsia" w:hAnsiTheme="minorEastAsia" w:eastAsiaTheme="minorEastAsia"/>
          <w:sz w:val="28"/>
          <w:szCs w:val="28"/>
          <w:lang w:val="en-US" w:eastAsia="zh-CN"/>
        </w:rPr>
        <w:t>前期负责项目的</w:t>
      </w:r>
      <w:r>
        <w:rPr>
          <w:rFonts w:hint="eastAsia" w:cs="宋体" w:asciiTheme="minorEastAsia" w:hAnsiTheme="minorEastAsia" w:eastAsiaTheme="minorEastAsia"/>
          <w:sz w:val="28"/>
          <w:szCs w:val="28"/>
        </w:rPr>
        <w:t>所有费用，且向中标供应商保留追偿一切损失的权利。</w:t>
      </w:r>
    </w:p>
    <w:p>
      <w:pPr>
        <w:spacing w:beforeLines="25" w:line="360" w:lineRule="auto"/>
        <w:ind w:firstLine="560"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lang w:val="en-US" w:eastAsia="zh-CN"/>
        </w:rPr>
        <w:t>五</w:t>
      </w:r>
      <w:r>
        <w:rPr>
          <w:rFonts w:hint="eastAsia" w:cs="宋体" w:asciiTheme="minorEastAsia" w:hAnsiTheme="minorEastAsia" w:eastAsiaTheme="minorEastAsia"/>
          <w:sz w:val="28"/>
          <w:szCs w:val="28"/>
          <w:lang w:eastAsia="zh-CN"/>
        </w:rPr>
        <w:t>）</w:t>
      </w:r>
      <w:r>
        <w:rPr>
          <w:rFonts w:hint="eastAsia" w:cs="宋体" w:asciiTheme="minorEastAsia" w:hAnsiTheme="minorEastAsia" w:eastAsiaTheme="minorEastAsia"/>
          <w:sz w:val="28"/>
          <w:szCs w:val="28"/>
        </w:rPr>
        <w:t>采购人未按合同约定支付咨询服务费，经中标供应商书面催告后，在14个工作日内仍未支付的，中标供应商可以单方面解除合同。</w:t>
      </w:r>
    </w:p>
    <w:p>
      <w:pPr>
        <w:spacing w:beforeLines="25" w:line="360" w:lineRule="auto"/>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十一、解决争议方式</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合同执行过程中发生的任何争议，如双方不能通过友好协商解决，提交广州仲裁委员会仲裁，并由败诉方承担胜诉方所支付的律师费。</w:t>
      </w:r>
    </w:p>
    <w:p>
      <w:pPr>
        <w:spacing w:beforeLines="25" w:line="360" w:lineRule="auto"/>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十二、保密</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中标供应商必须采取措施对本项目实施过程中收集的相关资料保密，否则，由于中标供应商过错导致的上述资料泄密的，中标供应商必须承担一切责任。项目完成后，双方均有责任对本项目的技术保密承担责任。</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未经采购人事先书面同意，中标供应商不得将由采购人为本合同提供的任何资料提供给与本合同无关的任何第三方，不得将其用于履行本合同之外的其它用途。即使向与履行本合同有关的人员提供，也应注意保密并限于履行合同所必需的范围。</w:t>
      </w:r>
    </w:p>
    <w:p>
      <w:pPr>
        <w:spacing w:beforeLines="25"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（三）如果采购人有要求，中标供应商在完成合同后应将有关资料还给采购人。</w:t>
      </w:r>
    </w:p>
    <w:p>
      <w:pPr>
        <w:widowControl/>
        <w:spacing w:line="360" w:lineRule="auto"/>
        <w:ind w:firstLine="562" w:firstLineChars="200"/>
        <w:textAlignment w:val="baseline"/>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十三、报价文件内容（报价供应商报价时需对以下内容逐条响应，且提供材料并加盖报价供应商公章,如未按要求提交或资料不齐全，视为不响应询价文件实质性要求，按无效报价处理）</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（一）按要求提交加盖报价供应商公章的</w:t>
      </w:r>
      <w:r>
        <w:rPr>
          <w:rFonts w:hint="eastAsia" w:cs="宋体" w:asciiTheme="minorEastAsia" w:hAnsiTheme="minorEastAsia" w:eastAsiaTheme="minorEastAsia"/>
          <w:b/>
          <w:color w:val="000000"/>
          <w:kern w:val="0"/>
          <w:sz w:val="28"/>
          <w:szCs w:val="28"/>
        </w:rPr>
        <w:t>《报价声明》</w:t>
      </w:r>
      <w:r>
        <w:rPr>
          <w:rFonts w:hint="eastAsia" w:cs="宋体" w:asciiTheme="minorEastAsia" w:hAnsiTheme="minorEastAsia" w:eastAsiaTheme="minorEastAsia"/>
          <w:bCs/>
          <w:color w:val="000000"/>
          <w:kern w:val="0"/>
          <w:sz w:val="28"/>
          <w:szCs w:val="28"/>
        </w:rPr>
        <w:t>（见附件1）</w:t>
      </w:r>
      <w:r>
        <w:rPr>
          <w:rFonts w:hint="eastAsia" w:cs="宋体" w:asciiTheme="minorEastAsia" w:hAnsiTheme="minorEastAsia" w:eastAsiaTheme="minorEastAsia"/>
          <w:color w:val="000000"/>
          <w:kern w:val="0"/>
          <w:sz w:val="28"/>
          <w:szCs w:val="28"/>
        </w:rPr>
        <w:t>。</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（二）按要求提交加盖报价供应商公章的</w:t>
      </w:r>
      <w:r>
        <w:rPr>
          <w:rFonts w:hint="eastAsia" w:cs="宋体" w:asciiTheme="minorEastAsia" w:hAnsiTheme="minorEastAsia" w:eastAsiaTheme="minorEastAsia"/>
          <w:b/>
          <w:color w:val="000000"/>
          <w:kern w:val="0"/>
          <w:sz w:val="28"/>
          <w:szCs w:val="28"/>
        </w:rPr>
        <w:t>《报价一览表》</w:t>
      </w:r>
      <w:r>
        <w:rPr>
          <w:rFonts w:hint="eastAsia" w:cs="宋体" w:asciiTheme="minorEastAsia" w:hAnsiTheme="minorEastAsia" w:eastAsiaTheme="minorEastAsia"/>
          <w:bCs/>
          <w:color w:val="000000"/>
          <w:kern w:val="0"/>
          <w:sz w:val="28"/>
          <w:szCs w:val="28"/>
        </w:rPr>
        <w:t>（见附件2）</w:t>
      </w:r>
      <w:r>
        <w:rPr>
          <w:rFonts w:hint="eastAsia" w:cs="宋体" w:asciiTheme="minorEastAsia" w:hAnsiTheme="minorEastAsia" w:eastAsiaTheme="minorEastAsia"/>
          <w:color w:val="000000"/>
          <w:kern w:val="0"/>
          <w:sz w:val="28"/>
          <w:szCs w:val="28"/>
        </w:rPr>
        <w:t>。</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（三）非联合体投标承诺书（见附件3）。</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（四）提交企业法人</w:t>
      </w:r>
      <w:r>
        <w:rPr>
          <w:rFonts w:hint="eastAsia" w:cs="宋体" w:asciiTheme="minorEastAsia" w:hAnsiTheme="minorEastAsia" w:eastAsiaTheme="minorEastAsia"/>
          <w:b/>
          <w:color w:val="000000"/>
          <w:kern w:val="0"/>
          <w:sz w:val="28"/>
          <w:szCs w:val="28"/>
        </w:rPr>
        <w:t>《营业执照》副本</w:t>
      </w:r>
      <w:r>
        <w:rPr>
          <w:rFonts w:hint="eastAsia" w:cs="宋体" w:asciiTheme="minorEastAsia" w:hAnsiTheme="minorEastAsia" w:eastAsiaTheme="minorEastAsia"/>
          <w:color w:val="000000"/>
          <w:kern w:val="0"/>
          <w:sz w:val="28"/>
          <w:szCs w:val="28"/>
        </w:rPr>
        <w:t>或</w:t>
      </w:r>
      <w:r>
        <w:rPr>
          <w:rFonts w:hint="eastAsia" w:cs="宋体" w:asciiTheme="minorEastAsia" w:hAnsiTheme="minorEastAsia" w:eastAsiaTheme="minorEastAsia"/>
          <w:b/>
          <w:color w:val="000000"/>
          <w:kern w:val="0"/>
          <w:sz w:val="28"/>
          <w:szCs w:val="28"/>
        </w:rPr>
        <w:t>事业单位法人证书</w:t>
      </w:r>
      <w:r>
        <w:rPr>
          <w:rFonts w:hint="eastAsia" w:cs="宋体" w:asciiTheme="minorEastAsia" w:hAnsiTheme="minorEastAsia" w:eastAsiaTheme="minorEastAsia"/>
          <w:color w:val="000000"/>
          <w:kern w:val="0"/>
          <w:sz w:val="28"/>
          <w:szCs w:val="28"/>
        </w:rPr>
        <w:t>或</w:t>
      </w:r>
      <w:r>
        <w:rPr>
          <w:rFonts w:hint="eastAsia" w:cs="宋体" w:asciiTheme="minorEastAsia" w:hAnsiTheme="minorEastAsia" w:eastAsiaTheme="minorEastAsia"/>
          <w:b/>
          <w:color w:val="000000"/>
          <w:kern w:val="0"/>
          <w:sz w:val="28"/>
          <w:szCs w:val="28"/>
        </w:rPr>
        <w:t>法人登记证书复印件</w:t>
      </w:r>
      <w:r>
        <w:rPr>
          <w:rFonts w:hint="eastAsia" w:cs="宋体" w:asciiTheme="minorEastAsia" w:hAnsiTheme="minorEastAsia" w:eastAsiaTheme="minorEastAsia"/>
          <w:color w:val="000000"/>
          <w:kern w:val="0"/>
          <w:sz w:val="28"/>
          <w:szCs w:val="28"/>
        </w:rPr>
        <w:t>。</w:t>
      </w:r>
    </w:p>
    <w:p>
      <w:pPr>
        <w:widowControl/>
        <w:spacing w:line="360" w:lineRule="auto"/>
        <w:ind w:firstLine="560" w:firstLineChars="200"/>
        <w:textAlignment w:val="baseline"/>
        <w:rPr>
          <w:rFonts w:cs="宋体" w:asciiTheme="minorEastAsia" w:hAnsiTheme="minorEastAsia" w:eastAsiaTheme="minorEastAsia"/>
          <w:b/>
          <w:color w:val="000000"/>
          <w:kern w:val="0"/>
          <w:sz w:val="28"/>
          <w:szCs w:val="28"/>
        </w:rPr>
      </w:pPr>
      <w:r>
        <w:rPr>
          <w:rFonts w:hint="eastAsia" w:cs="宋体" w:asciiTheme="minorEastAsia" w:hAnsiTheme="minorEastAsia" w:eastAsiaTheme="minorEastAsia"/>
          <w:color w:val="000000"/>
          <w:kern w:val="0"/>
          <w:sz w:val="28"/>
          <w:szCs w:val="28"/>
        </w:rPr>
        <w:t>（五）按要求提交具备承接项目的</w:t>
      </w:r>
      <w:r>
        <w:rPr>
          <w:rFonts w:hint="eastAsia" w:asciiTheme="minorEastAsia" w:hAnsiTheme="minorEastAsia" w:eastAsiaTheme="minorEastAsia"/>
          <w:bCs/>
          <w:sz w:val="28"/>
          <w:szCs w:val="28"/>
        </w:rPr>
        <w:t>工程造价咨询乙级或以上资质</w:t>
      </w:r>
      <w:r>
        <w:rPr>
          <w:rFonts w:hint="eastAsia" w:cs="宋体" w:asciiTheme="minorEastAsia" w:hAnsiTheme="minorEastAsia" w:eastAsiaTheme="minorEastAsia"/>
          <w:sz w:val="28"/>
          <w:szCs w:val="28"/>
        </w:rPr>
        <w:t>证书</w:t>
      </w:r>
      <w:r>
        <w:rPr>
          <w:rFonts w:hint="eastAsia" w:cs="宋体" w:asciiTheme="minorEastAsia" w:hAnsiTheme="minorEastAsia" w:eastAsiaTheme="minorEastAsia"/>
          <w:color w:val="000000"/>
          <w:kern w:val="0"/>
          <w:sz w:val="28"/>
          <w:szCs w:val="28"/>
        </w:rPr>
        <w:t>复印件。</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（六）按要求提交</w:t>
      </w:r>
      <w:r>
        <w:rPr>
          <w:rFonts w:hint="eastAsia" w:cs="宋体" w:asciiTheme="minorEastAsia" w:hAnsiTheme="minorEastAsia" w:eastAsiaTheme="minorEastAsia"/>
          <w:b/>
          <w:color w:val="000000"/>
          <w:kern w:val="0"/>
          <w:sz w:val="28"/>
          <w:szCs w:val="28"/>
        </w:rPr>
        <w:t>法定代表人证明书、授权委托书</w:t>
      </w:r>
      <w:r>
        <w:rPr>
          <w:rFonts w:hint="eastAsia" w:cs="宋体" w:asciiTheme="minorEastAsia" w:hAnsiTheme="minorEastAsia" w:eastAsiaTheme="minorEastAsia"/>
          <w:bCs/>
          <w:color w:val="000000"/>
          <w:kern w:val="0"/>
          <w:sz w:val="28"/>
          <w:szCs w:val="28"/>
        </w:rPr>
        <w:t>（附件4、附件5）</w:t>
      </w:r>
      <w:r>
        <w:rPr>
          <w:rFonts w:hint="eastAsia" w:cs="宋体" w:asciiTheme="minorEastAsia" w:hAnsiTheme="minorEastAsia" w:eastAsiaTheme="minorEastAsia"/>
          <w:color w:val="000000"/>
          <w:kern w:val="0"/>
          <w:sz w:val="28"/>
          <w:szCs w:val="28"/>
        </w:rPr>
        <w:t>。</w:t>
      </w:r>
    </w:p>
    <w:p>
      <w:pPr>
        <w:widowControl/>
        <w:spacing w:line="360" w:lineRule="auto"/>
        <w:ind w:firstLine="560" w:firstLineChars="200"/>
        <w:textAlignment w:val="baseline"/>
        <w:rPr>
          <w:rFonts w:cs="宋体" w:asciiTheme="minorEastAsia" w:hAnsiTheme="minorEastAsia" w:eastAsiaTheme="minorEastAsia"/>
          <w:b/>
          <w:kern w:val="0"/>
          <w:sz w:val="28"/>
          <w:szCs w:val="28"/>
        </w:rPr>
      </w:pPr>
      <w:r>
        <w:rPr>
          <w:rFonts w:hint="eastAsia" w:cs="宋体" w:asciiTheme="minorEastAsia" w:hAnsiTheme="minorEastAsia" w:eastAsiaTheme="minorEastAsia"/>
          <w:color w:val="000000"/>
          <w:kern w:val="0"/>
          <w:sz w:val="28"/>
          <w:szCs w:val="28"/>
        </w:rPr>
        <w:t>（七）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r>
        <w:rPr>
          <w:rFonts w:hint="eastAsia" w:cs="宋体" w:asciiTheme="minorEastAsia" w:hAnsiTheme="minorEastAsia" w:eastAsiaTheme="minorEastAsia"/>
          <w:b/>
          <w:kern w:val="0"/>
          <w:sz w:val="28"/>
          <w:szCs w:val="28"/>
        </w:rPr>
        <w:t>（提供查询的页面截图）。</w:t>
      </w:r>
    </w:p>
    <w:p>
      <w:pPr>
        <w:widowControl/>
        <w:spacing w:line="360" w:lineRule="auto"/>
        <w:ind w:firstLine="562"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b/>
          <w:kern w:val="0"/>
          <w:sz w:val="28"/>
          <w:szCs w:val="28"/>
        </w:rPr>
        <w:t>（八）提交</w:t>
      </w:r>
      <w:r>
        <w:rPr>
          <w:rFonts w:hint="eastAsia" w:cs="宋体" w:asciiTheme="minorEastAsia" w:hAnsiTheme="minorEastAsia" w:eastAsiaTheme="minorEastAsia"/>
          <w:color w:val="000000"/>
          <w:kern w:val="0"/>
          <w:sz w:val="28"/>
          <w:szCs w:val="28"/>
        </w:rPr>
        <w:t>具有独立承担民事责任能力，且具备履行合同所必需的设备和专业技术能力</w:t>
      </w:r>
      <w:r>
        <w:rPr>
          <w:rFonts w:hint="eastAsia" w:cs="宋体" w:asciiTheme="minorEastAsia" w:hAnsiTheme="minorEastAsia" w:eastAsiaTheme="minorEastAsia"/>
          <w:b/>
          <w:color w:val="000000"/>
          <w:kern w:val="0"/>
          <w:sz w:val="28"/>
          <w:szCs w:val="28"/>
        </w:rPr>
        <w:t>（提供说明材料或承诺书）</w:t>
      </w:r>
      <w:r>
        <w:rPr>
          <w:rFonts w:hint="eastAsia" w:cs="宋体" w:asciiTheme="minorEastAsia" w:hAnsiTheme="minorEastAsia" w:eastAsiaTheme="minorEastAsia"/>
          <w:color w:val="000000"/>
          <w:kern w:val="0"/>
          <w:sz w:val="28"/>
          <w:szCs w:val="28"/>
        </w:rPr>
        <w:t>。</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（九）提交本项目要求的其他技术（或服务）响应文件。</w:t>
      </w:r>
    </w:p>
    <w:p>
      <w:pPr>
        <w:adjustRightInd w:val="0"/>
        <w:snapToGrid w:val="0"/>
        <w:spacing w:line="360" w:lineRule="auto"/>
        <w:ind w:left="420" w:leftChars="200"/>
        <w:textAlignment w:val="baseline"/>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十四、项目报价要求：</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 xml:space="preserve">（一）各供应商报价应为一次性报价，否则为无效报价。 </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（二）报价供应商只能提供一份报价方案，否则为无效报价。</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（三）报价文件不符合要求者视为无效报价。</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（四）供应商报价超过预算金额的视为无效报价。</w:t>
      </w:r>
    </w:p>
    <w:p>
      <w:pPr>
        <w:widowControl/>
        <w:spacing w:line="360" w:lineRule="auto"/>
        <w:ind w:firstLine="562" w:firstLineChars="200"/>
        <w:textAlignment w:val="baseline"/>
        <w:rPr>
          <w:rFonts w:cs="宋体" w:asciiTheme="minorEastAsia" w:hAnsiTheme="minorEastAsia" w:eastAsiaTheme="minorEastAsia"/>
          <w:b/>
          <w:bCs/>
          <w:color w:val="000000"/>
          <w:kern w:val="0"/>
          <w:sz w:val="28"/>
          <w:szCs w:val="28"/>
        </w:rPr>
      </w:pPr>
      <w:r>
        <w:rPr>
          <w:rFonts w:hint="eastAsia" w:cs="宋体" w:asciiTheme="minorEastAsia" w:hAnsiTheme="minorEastAsia" w:eastAsiaTheme="minorEastAsia"/>
          <w:b/>
          <w:bCs/>
          <w:color w:val="000000"/>
          <w:kern w:val="0"/>
          <w:sz w:val="28"/>
          <w:szCs w:val="28"/>
        </w:rPr>
        <w:t>（五）本次询价须满足</w:t>
      </w:r>
      <w:r>
        <w:rPr>
          <w:rFonts w:hint="eastAsia" w:cs="宋体" w:asciiTheme="minorEastAsia" w:hAnsiTheme="minorEastAsia" w:eastAsiaTheme="minorEastAsia"/>
          <w:b/>
          <w:bCs/>
          <w:color w:val="000000"/>
          <w:kern w:val="0"/>
          <w:sz w:val="28"/>
          <w:szCs w:val="28"/>
          <w:u w:val="single"/>
        </w:rPr>
        <w:t>三</w:t>
      </w:r>
      <w:r>
        <w:rPr>
          <w:rFonts w:hint="eastAsia" w:cs="宋体" w:asciiTheme="minorEastAsia" w:hAnsiTheme="minorEastAsia" w:eastAsiaTheme="minorEastAsia"/>
          <w:b/>
          <w:bCs/>
          <w:color w:val="000000"/>
          <w:kern w:val="0"/>
          <w:sz w:val="28"/>
          <w:szCs w:val="28"/>
        </w:rPr>
        <w:t>家或以上供应商提交报价，价低者中标；若有效报价不足</w:t>
      </w:r>
      <w:r>
        <w:rPr>
          <w:rFonts w:hint="eastAsia" w:cs="宋体" w:asciiTheme="minorEastAsia" w:hAnsiTheme="minorEastAsia" w:eastAsiaTheme="minorEastAsia"/>
          <w:b/>
          <w:bCs/>
          <w:color w:val="000000"/>
          <w:kern w:val="0"/>
          <w:sz w:val="28"/>
          <w:szCs w:val="28"/>
          <w:u w:val="single"/>
        </w:rPr>
        <w:t>三</w:t>
      </w:r>
      <w:r>
        <w:rPr>
          <w:rFonts w:hint="eastAsia" w:cs="宋体" w:asciiTheme="minorEastAsia" w:hAnsiTheme="minorEastAsia" w:eastAsiaTheme="minorEastAsia"/>
          <w:b/>
          <w:bCs/>
          <w:color w:val="000000"/>
          <w:kern w:val="0"/>
          <w:sz w:val="28"/>
          <w:szCs w:val="28"/>
        </w:rPr>
        <w:t>家，则本次询价失败。</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（六）无论询价结果如何，供应商应承担准备文件和递交文件所发生的任何成本和费用。</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（七）供应商所递交的报价文件须密封完好。采购人拒收没有密封完好的报价文件。</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（八）递交了报价文件但不参加唱价的供应商，视为默认唱价结果。</w:t>
      </w:r>
    </w:p>
    <w:p>
      <w:pPr>
        <w:adjustRightInd w:val="0"/>
        <w:snapToGrid w:val="0"/>
        <w:spacing w:line="360" w:lineRule="auto"/>
        <w:ind w:left="420" w:leftChars="200"/>
        <w:textAlignment w:val="baseline"/>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十五、确定成交供应商原则</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（一）在通过资格性与符合性审查、满足技术（或服务）需求有效报价3家或以上的，按照</w:t>
      </w:r>
      <w:r>
        <w:rPr>
          <w:rFonts w:hint="eastAsia" w:cs="宋体" w:asciiTheme="minorEastAsia" w:hAnsiTheme="minorEastAsia" w:eastAsiaTheme="minorEastAsia"/>
          <w:b/>
          <w:bCs/>
          <w:color w:val="000000"/>
          <w:kern w:val="0"/>
          <w:sz w:val="28"/>
          <w:szCs w:val="28"/>
          <w:u w:val="single"/>
        </w:rPr>
        <w:t>下浮率最高原则</w:t>
      </w:r>
      <w:r>
        <w:rPr>
          <w:rFonts w:hint="eastAsia" w:cs="宋体" w:asciiTheme="minorEastAsia" w:hAnsiTheme="minorEastAsia" w:eastAsiaTheme="minorEastAsia"/>
          <w:color w:val="000000"/>
          <w:kern w:val="0"/>
          <w:sz w:val="28"/>
          <w:szCs w:val="28"/>
        </w:rPr>
        <w:t>确定成交供应商。</w:t>
      </w:r>
      <w:r>
        <w:rPr>
          <w:rFonts w:hint="eastAsia" w:cs="宋体" w:asciiTheme="minorEastAsia" w:hAnsiTheme="minorEastAsia" w:eastAsiaTheme="minorEastAsia"/>
          <w:b/>
          <w:bCs/>
          <w:color w:val="000000"/>
          <w:kern w:val="0"/>
          <w:sz w:val="28"/>
          <w:szCs w:val="28"/>
          <w:u w:val="single"/>
        </w:rPr>
        <w:t>报价下浮率最高</w:t>
      </w:r>
      <w:r>
        <w:rPr>
          <w:rFonts w:hint="eastAsia" w:cs="宋体" w:asciiTheme="minorEastAsia" w:hAnsiTheme="minorEastAsia" w:eastAsiaTheme="minorEastAsia"/>
          <w:color w:val="000000"/>
          <w:kern w:val="0"/>
          <w:sz w:val="28"/>
          <w:szCs w:val="28"/>
        </w:rPr>
        <w:t>的供应商为第一成交候选人，</w:t>
      </w:r>
      <w:r>
        <w:rPr>
          <w:rFonts w:hint="eastAsia" w:cs="宋体" w:asciiTheme="minorEastAsia" w:hAnsiTheme="minorEastAsia" w:eastAsiaTheme="minorEastAsia"/>
          <w:b/>
          <w:bCs/>
          <w:color w:val="000000"/>
          <w:kern w:val="0"/>
          <w:sz w:val="28"/>
          <w:szCs w:val="28"/>
          <w:u w:val="single"/>
        </w:rPr>
        <w:t>报价下浮率第二高</w:t>
      </w:r>
      <w:r>
        <w:rPr>
          <w:rFonts w:hint="eastAsia" w:cs="宋体" w:asciiTheme="minorEastAsia" w:hAnsiTheme="minorEastAsia" w:eastAsiaTheme="minorEastAsia"/>
          <w:color w:val="000000"/>
          <w:kern w:val="0"/>
          <w:sz w:val="28"/>
          <w:szCs w:val="28"/>
        </w:rPr>
        <w:t>的供应商为第二成交候选人，</w:t>
      </w:r>
      <w:r>
        <w:rPr>
          <w:rFonts w:hint="eastAsia" w:cs="宋体" w:asciiTheme="minorEastAsia" w:hAnsiTheme="minorEastAsia" w:eastAsiaTheme="minorEastAsia"/>
          <w:b/>
          <w:bCs/>
          <w:color w:val="000000"/>
          <w:kern w:val="0"/>
          <w:sz w:val="28"/>
          <w:szCs w:val="28"/>
          <w:u w:val="single"/>
        </w:rPr>
        <w:t>报价下浮率第三高</w:t>
      </w:r>
      <w:r>
        <w:rPr>
          <w:rFonts w:hint="eastAsia" w:cs="宋体" w:asciiTheme="minorEastAsia" w:hAnsiTheme="minorEastAsia" w:eastAsiaTheme="minorEastAsia"/>
          <w:color w:val="000000"/>
          <w:kern w:val="0"/>
          <w:sz w:val="28"/>
          <w:szCs w:val="28"/>
        </w:rPr>
        <w:t>的供应商为第三成交候选人，依次类推。若有效报价不足3家，本次询价失败。</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（二）当出现相同报价时，按收到递交纸质版报价文件的</w:t>
      </w:r>
      <w:r>
        <w:rPr>
          <w:rFonts w:hint="eastAsia" w:cs="宋体" w:asciiTheme="minorEastAsia" w:hAnsiTheme="minorEastAsia" w:eastAsiaTheme="minorEastAsia"/>
          <w:b/>
          <w:bCs/>
          <w:color w:val="000000"/>
          <w:kern w:val="0"/>
          <w:sz w:val="28"/>
          <w:szCs w:val="28"/>
        </w:rPr>
        <w:t>签到</w:t>
      </w:r>
      <w:r>
        <w:rPr>
          <w:rFonts w:hint="eastAsia" w:cs="宋体" w:asciiTheme="minorEastAsia" w:hAnsiTheme="minorEastAsia" w:eastAsiaTheme="minorEastAsia"/>
          <w:color w:val="000000"/>
          <w:kern w:val="0"/>
          <w:sz w:val="28"/>
          <w:szCs w:val="28"/>
        </w:rPr>
        <w:t>先后顺序，由采购小组成员从号码箱中随机代抽取一个乒乓球，以乒乓球上标注的号码数作为相同报价的供应商的排名顺序（从小到大）。</w:t>
      </w:r>
    </w:p>
    <w:p>
      <w:pPr>
        <w:widowControl/>
        <w:spacing w:line="360" w:lineRule="auto"/>
        <w:ind w:firstLine="560" w:firstLineChars="200"/>
        <w:textAlignment w:val="baseline"/>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（三）若成交供应商放弃成交资格或不按照学校采购制度的规定签订合同或被采购人单方面解除合同的，采购人有权依照排名先后顺序依次选择其他供应商作为成交供应商。</w:t>
      </w:r>
    </w:p>
    <w:p>
      <w:pPr>
        <w:adjustRightInd w:val="0"/>
        <w:snapToGrid w:val="0"/>
        <w:spacing w:line="360" w:lineRule="auto"/>
        <w:ind w:firstLine="281" w:firstLineChars="100"/>
        <w:textAlignment w:val="baseline"/>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十六、如果本次供应商报价均超过本项目预算金额，本次询价采购失败。</w:t>
      </w:r>
    </w:p>
    <w:p>
      <w:pPr>
        <w:adjustRightInd w:val="0"/>
        <w:snapToGrid w:val="0"/>
        <w:spacing w:line="360" w:lineRule="auto"/>
        <w:ind w:firstLine="281" w:firstLineChars="100"/>
        <w:textAlignment w:val="baseline"/>
        <w:rPr>
          <w:rFonts w:cs="宋体" w:asciiTheme="minorEastAsia" w:hAnsiTheme="minorEastAsia" w:eastAsiaTheme="minorEastAsia"/>
          <w:kern w:val="0"/>
          <w:sz w:val="28"/>
          <w:szCs w:val="28"/>
        </w:rPr>
      </w:pPr>
      <w:r>
        <w:rPr>
          <w:rFonts w:hint="eastAsia" w:cs="宋体" w:asciiTheme="minorEastAsia" w:hAnsiTheme="minorEastAsia" w:eastAsiaTheme="minorEastAsia"/>
          <w:b/>
          <w:sz w:val="28"/>
          <w:szCs w:val="28"/>
        </w:rPr>
        <w:t>十七、报价文件送达时间及送达方式</w:t>
      </w:r>
      <w:r>
        <w:rPr>
          <w:rFonts w:hint="eastAsia" w:cs="宋体" w:asciiTheme="minorEastAsia" w:hAnsiTheme="minorEastAsia" w:eastAsiaTheme="minorEastAsia"/>
          <w:kern w:val="0"/>
          <w:sz w:val="28"/>
          <w:szCs w:val="28"/>
          <w:u w:val="single"/>
        </w:rPr>
        <w:t xml:space="preserve"> 2022</w:t>
      </w:r>
      <w:r>
        <w:rPr>
          <w:rFonts w:hint="eastAsia" w:cs="宋体" w:asciiTheme="minorEastAsia" w:hAnsiTheme="minorEastAsia" w:eastAsiaTheme="minorEastAsia"/>
          <w:kern w:val="0"/>
          <w:sz w:val="28"/>
          <w:szCs w:val="28"/>
        </w:rPr>
        <w:t>年</w:t>
      </w:r>
      <w:r>
        <w:rPr>
          <w:rFonts w:hint="eastAsia" w:cs="宋体" w:asciiTheme="minorEastAsia" w:hAnsiTheme="minorEastAsia" w:eastAsiaTheme="minorEastAsia"/>
          <w:kern w:val="0"/>
          <w:sz w:val="28"/>
          <w:szCs w:val="28"/>
          <w:u w:val="single"/>
        </w:rPr>
        <w:t xml:space="preserve"> 7</w:t>
      </w:r>
      <w:r>
        <w:rPr>
          <w:rFonts w:hint="eastAsia" w:cs="宋体" w:asciiTheme="minorEastAsia" w:hAnsiTheme="minorEastAsia" w:eastAsiaTheme="minorEastAsia"/>
          <w:kern w:val="0"/>
          <w:sz w:val="28"/>
          <w:szCs w:val="28"/>
        </w:rPr>
        <w:t>月</w:t>
      </w:r>
      <w:r>
        <w:rPr>
          <w:rFonts w:hint="eastAsia" w:cs="宋体" w:asciiTheme="minorEastAsia" w:hAnsiTheme="minorEastAsia" w:eastAsiaTheme="minorEastAsia"/>
          <w:kern w:val="0"/>
          <w:sz w:val="28"/>
          <w:szCs w:val="28"/>
          <w:u w:val="single"/>
        </w:rPr>
        <w:t xml:space="preserve"> </w:t>
      </w:r>
      <w:r>
        <w:rPr>
          <w:rFonts w:hint="eastAsia" w:cs="宋体" w:asciiTheme="minorEastAsia" w:hAnsiTheme="minorEastAsia" w:eastAsiaTheme="minorEastAsia"/>
          <w:kern w:val="0"/>
          <w:sz w:val="28"/>
          <w:szCs w:val="28"/>
          <w:u w:val="single"/>
          <w:lang w:val="en-US" w:eastAsia="zh-CN"/>
        </w:rPr>
        <w:t>8</w:t>
      </w:r>
      <w:r>
        <w:rPr>
          <w:rFonts w:hint="eastAsia" w:cs="宋体" w:asciiTheme="minorEastAsia" w:hAnsiTheme="minorEastAsia" w:eastAsiaTheme="minorEastAsia"/>
          <w:kern w:val="0"/>
          <w:sz w:val="28"/>
          <w:szCs w:val="28"/>
        </w:rPr>
        <w:t>日（星期</w:t>
      </w:r>
      <w:r>
        <w:rPr>
          <w:rFonts w:hint="eastAsia" w:cs="宋体" w:asciiTheme="minorEastAsia" w:hAnsiTheme="minorEastAsia" w:eastAsiaTheme="minorEastAsia"/>
          <w:kern w:val="0"/>
          <w:sz w:val="28"/>
          <w:szCs w:val="28"/>
          <w:lang w:val="en-US" w:eastAsia="zh-CN"/>
        </w:rPr>
        <w:t>五</w:t>
      </w:r>
      <w:r>
        <w:rPr>
          <w:rFonts w:hint="eastAsia" w:cs="宋体" w:asciiTheme="minorEastAsia" w:hAnsiTheme="minorEastAsia" w:eastAsiaTheme="minorEastAsia"/>
          <w:kern w:val="0"/>
          <w:sz w:val="28"/>
          <w:szCs w:val="28"/>
        </w:rPr>
        <w:t>）上午</w:t>
      </w:r>
      <w:r>
        <w:rPr>
          <w:rFonts w:hint="eastAsia" w:cs="宋体" w:asciiTheme="minorEastAsia" w:hAnsiTheme="minorEastAsia" w:eastAsiaTheme="minorEastAsia"/>
          <w:kern w:val="0"/>
          <w:sz w:val="28"/>
          <w:szCs w:val="28"/>
          <w:lang w:val="en-US" w:eastAsia="zh-CN"/>
        </w:rPr>
        <w:t>10</w:t>
      </w:r>
      <w:r>
        <w:rPr>
          <w:rFonts w:hint="eastAsia" w:cs="宋体" w:asciiTheme="minorEastAsia" w:hAnsiTheme="minorEastAsia" w:eastAsiaTheme="minorEastAsia"/>
          <w:kern w:val="0"/>
          <w:sz w:val="28"/>
          <w:szCs w:val="28"/>
        </w:rPr>
        <w:t>:30前（备注：因疫情防控，报价文件须采用顺丰邮寄方式送达，★所有文件均需加盖公章，且需独立密封包装，以邮件收件通知时间为准）。</w:t>
      </w:r>
    </w:p>
    <w:p>
      <w:pPr>
        <w:widowControl/>
        <w:spacing w:line="360" w:lineRule="auto"/>
        <w:ind w:firstLine="281" w:firstLineChars="100"/>
        <w:textAlignment w:val="baseline"/>
        <w:rPr>
          <w:rFonts w:cs="宋体" w:asciiTheme="minorEastAsia" w:hAnsiTheme="minorEastAsia" w:eastAsiaTheme="minorEastAsia"/>
          <w:kern w:val="0"/>
          <w:sz w:val="28"/>
          <w:szCs w:val="28"/>
        </w:rPr>
      </w:pPr>
      <w:r>
        <w:rPr>
          <w:rFonts w:hint="eastAsia" w:cs="宋体" w:asciiTheme="minorEastAsia" w:hAnsiTheme="minorEastAsia" w:eastAsiaTheme="minorEastAsia"/>
          <w:b/>
          <w:sz w:val="28"/>
          <w:szCs w:val="28"/>
        </w:rPr>
        <w:t>十八、报价文件快递地点：</w:t>
      </w:r>
      <w:r>
        <w:rPr>
          <w:rFonts w:hint="eastAsia" w:cs="宋体" w:asciiTheme="minorEastAsia" w:hAnsiTheme="minorEastAsia" w:eastAsiaTheme="minorEastAsia"/>
          <w:sz w:val="28"/>
          <w:szCs w:val="28"/>
        </w:rPr>
        <w:t>广东省广州市海珠区仑头路21号</w:t>
      </w:r>
      <w:r>
        <w:rPr>
          <w:rFonts w:hint="eastAsia" w:cs="宋体" w:asciiTheme="minorEastAsia" w:hAnsiTheme="minorEastAsia" w:eastAsiaTheme="minorEastAsia"/>
          <w:kern w:val="0"/>
          <w:sz w:val="28"/>
          <w:szCs w:val="28"/>
        </w:rPr>
        <w:t>广东财经大学后勤处（联系人 蔡老师，联系电话：13450408505）。</w:t>
      </w:r>
    </w:p>
    <w:p>
      <w:pPr>
        <w:adjustRightInd w:val="0"/>
        <w:snapToGrid w:val="0"/>
        <w:spacing w:line="360" w:lineRule="auto"/>
        <w:ind w:firstLine="281" w:firstLineChars="100"/>
        <w:textAlignment w:val="baseline"/>
        <w:rPr>
          <w:rFonts w:cs="宋体" w:asciiTheme="minorEastAsia" w:hAnsiTheme="minorEastAsia" w:eastAsiaTheme="minorEastAsia"/>
          <w:kern w:val="0"/>
          <w:sz w:val="28"/>
          <w:szCs w:val="28"/>
        </w:rPr>
      </w:pPr>
      <w:r>
        <w:rPr>
          <w:rFonts w:hint="eastAsia" w:cs="宋体" w:asciiTheme="minorEastAsia" w:hAnsiTheme="minorEastAsia" w:eastAsiaTheme="minorEastAsia"/>
          <w:b/>
          <w:kern w:val="0"/>
          <w:sz w:val="28"/>
          <w:szCs w:val="28"/>
        </w:rPr>
        <w:t>十九、询价评审时间及地点：</w:t>
      </w:r>
      <w:r>
        <w:rPr>
          <w:rFonts w:hint="eastAsia" w:cs="宋体" w:asciiTheme="minorEastAsia" w:hAnsiTheme="minorEastAsia" w:eastAsiaTheme="minorEastAsia"/>
          <w:kern w:val="0"/>
          <w:sz w:val="28"/>
          <w:szCs w:val="28"/>
          <w:u w:val="single"/>
        </w:rPr>
        <w:t>2022</w:t>
      </w:r>
      <w:r>
        <w:rPr>
          <w:rFonts w:hint="eastAsia" w:cs="宋体" w:asciiTheme="minorEastAsia" w:hAnsiTheme="minorEastAsia" w:eastAsiaTheme="minorEastAsia"/>
          <w:kern w:val="0"/>
          <w:sz w:val="28"/>
          <w:szCs w:val="28"/>
        </w:rPr>
        <w:t>年</w:t>
      </w:r>
      <w:r>
        <w:rPr>
          <w:rFonts w:hint="eastAsia" w:cs="宋体" w:asciiTheme="minorEastAsia" w:hAnsiTheme="minorEastAsia" w:eastAsiaTheme="minorEastAsia"/>
          <w:kern w:val="0"/>
          <w:sz w:val="28"/>
          <w:szCs w:val="28"/>
          <w:u w:val="single"/>
        </w:rPr>
        <w:t>7</w:t>
      </w:r>
      <w:r>
        <w:rPr>
          <w:rFonts w:hint="eastAsia" w:cs="宋体" w:asciiTheme="minorEastAsia" w:hAnsiTheme="minorEastAsia" w:eastAsiaTheme="minorEastAsia"/>
          <w:kern w:val="0"/>
          <w:sz w:val="28"/>
          <w:szCs w:val="28"/>
        </w:rPr>
        <w:t>月</w:t>
      </w:r>
      <w:r>
        <w:rPr>
          <w:rFonts w:hint="eastAsia" w:cs="宋体" w:asciiTheme="minorEastAsia" w:hAnsiTheme="minorEastAsia" w:eastAsiaTheme="minorEastAsia"/>
          <w:kern w:val="0"/>
          <w:sz w:val="28"/>
          <w:szCs w:val="28"/>
          <w:u w:val="single"/>
          <w:lang w:val="en-US" w:eastAsia="zh-CN"/>
        </w:rPr>
        <w:t>8</w:t>
      </w:r>
      <w:r>
        <w:rPr>
          <w:rFonts w:hint="eastAsia" w:cs="宋体" w:asciiTheme="minorEastAsia" w:hAnsiTheme="minorEastAsia" w:eastAsiaTheme="minorEastAsia"/>
          <w:kern w:val="0"/>
          <w:sz w:val="28"/>
          <w:szCs w:val="28"/>
        </w:rPr>
        <w:t>日（星期</w:t>
      </w:r>
      <w:r>
        <w:rPr>
          <w:rFonts w:hint="eastAsia" w:cs="宋体" w:asciiTheme="minorEastAsia" w:hAnsiTheme="minorEastAsia" w:eastAsiaTheme="minorEastAsia"/>
          <w:kern w:val="0"/>
          <w:sz w:val="28"/>
          <w:szCs w:val="28"/>
          <w:lang w:val="en-US" w:eastAsia="zh-CN"/>
        </w:rPr>
        <w:t>五</w:t>
      </w:r>
      <w:r>
        <w:rPr>
          <w:rFonts w:hint="eastAsia" w:cs="宋体" w:asciiTheme="minorEastAsia" w:hAnsiTheme="minorEastAsia" w:eastAsiaTheme="minorEastAsia"/>
          <w:kern w:val="0"/>
          <w:sz w:val="28"/>
          <w:szCs w:val="28"/>
        </w:rPr>
        <w:t>）上午</w:t>
      </w:r>
      <w:r>
        <w:rPr>
          <w:rFonts w:hint="eastAsia" w:cs="宋体" w:asciiTheme="minorEastAsia" w:hAnsiTheme="minorEastAsia" w:eastAsiaTheme="minorEastAsia"/>
          <w:kern w:val="0"/>
          <w:sz w:val="28"/>
          <w:szCs w:val="28"/>
          <w:lang w:val="en-US" w:eastAsia="zh-CN"/>
        </w:rPr>
        <w:t>10</w:t>
      </w:r>
      <w:r>
        <w:rPr>
          <w:rFonts w:hint="eastAsia" w:cs="宋体" w:asciiTheme="minorEastAsia" w:hAnsiTheme="minorEastAsia" w:eastAsiaTheme="minorEastAsia"/>
          <w:kern w:val="0"/>
          <w:sz w:val="28"/>
          <w:szCs w:val="28"/>
        </w:rPr>
        <w:t>:30分，校医院楼401后勤处会议室（备注：此日期应与报价文件送达日期一致）。</w:t>
      </w:r>
    </w:p>
    <w:p>
      <w:pPr>
        <w:adjustRightInd w:val="0"/>
        <w:snapToGrid w:val="0"/>
        <w:spacing w:line="360" w:lineRule="auto"/>
        <w:ind w:firstLine="281" w:firstLineChars="100"/>
        <w:textAlignment w:val="baselin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二十、本询价文件未尽事宜的解释权属于广东财经大学后勤处。</w:t>
      </w:r>
    </w:p>
    <w:p>
      <w:pPr>
        <w:widowControl/>
        <w:spacing w:line="360" w:lineRule="auto"/>
        <w:jc w:val="center"/>
        <w:textAlignment w:val="baseline"/>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w:t>
      </w:r>
    </w:p>
    <w:p>
      <w:pPr>
        <w:widowControl/>
        <w:spacing w:line="360" w:lineRule="auto"/>
        <w:jc w:val="center"/>
        <w:textAlignment w:val="baseline"/>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广东财经大学后勤处</w:t>
      </w:r>
    </w:p>
    <w:p>
      <w:pPr>
        <w:widowControl/>
        <w:spacing w:line="360" w:lineRule="auto"/>
        <w:jc w:val="center"/>
        <w:textAlignment w:val="baseline"/>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2022年7月</w:t>
      </w:r>
      <w:r>
        <w:rPr>
          <w:rFonts w:hint="eastAsia" w:cs="宋体" w:asciiTheme="minorEastAsia" w:hAnsiTheme="minorEastAsia" w:eastAsiaTheme="minorEastAsia"/>
          <w:kern w:val="0"/>
          <w:sz w:val="28"/>
          <w:szCs w:val="28"/>
          <w:lang w:val="en-US" w:eastAsia="zh-CN"/>
        </w:rPr>
        <w:t>5</w:t>
      </w:r>
      <w:r>
        <w:rPr>
          <w:rFonts w:hint="eastAsia" w:cs="宋体" w:asciiTheme="minorEastAsia" w:hAnsiTheme="minorEastAsia" w:eastAsiaTheme="minorEastAsia"/>
          <w:kern w:val="0"/>
          <w:sz w:val="28"/>
          <w:szCs w:val="28"/>
        </w:rPr>
        <w:t xml:space="preserve">日 </w:t>
      </w:r>
    </w:p>
    <w:p>
      <w:pPr>
        <w:rPr>
          <w:rFonts w:asciiTheme="minorEastAsia" w:hAnsiTheme="minorEastAsia" w:eastAsiaTheme="minorEastAsia"/>
          <w:sz w:val="28"/>
          <w:szCs w:val="28"/>
        </w:rPr>
      </w:pPr>
    </w:p>
    <w:p>
      <w:pPr>
        <w:pStyle w:val="2"/>
      </w:pPr>
    </w:p>
    <w:p>
      <w:pPr>
        <w:widowControl/>
        <w:spacing w:line="360" w:lineRule="auto"/>
        <w:textAlignment w:val="baseline"/>
        <w:rPr>
          <w:rFonts w:ascii="仿宋" w:hAnsi="仿宋" w:eastAsia="仿宋" w:cs="Tahoma"/>
          <w:color w:val="000000"/>
          <w:kern w:val="0"/>
          <w:sz w:val="24"/>
        </w:rPr>
      </w:pPr>
      <w:r>
        <w:rPr>
          <w:rFonts w:hint="eastAsia" w:ascii="仿宋" w:hAnsi="仿宋" w:eastAsia="仿宋" w:cs="Tahoma"/>
          <w:color w:val="000000"/>
          <w:kern w:val="0"/>
          <w:sz w:val="24"/>
        </w:rPr>
        <w:t>附件1</w:t>
      </w:r>
    </w:p>
    <w:p>
      <w:pPr>
        <w:widowControl/>
        <w:spacing w:line="425" w:lineRule="atLeast"/>
        <w:jc w:val="center"/>
        <w:textAlignment w:val="baseline"/>
        <w:rPr>
          <w:rFonts w:ascii="仿宋" w:hAnsi="仿宋" w:eastAsia="仿宋"/>
          <w:b/>
          <w:color w:val="000000"/>
          <w:kern w:val="0"/>
          <w:sz w:val="24"/>
        </w:rPr>
      </w:pPr>
      <w:r>
        <w:rPr>
          <w:rFonts w:hint="eastAsia" w:ascii="仿宋" w:hAnsi="仿宋" w:eastAsia="仿宋"/>
          <w:b/>
          <w:color w:val="000000"/>
          <w:kern w:val="0"/>
          <w:sz w:val="24"/>
        </w:rPr>
        <w:t>报价声明</w:t>
      </w:r>
    </w:p>
    <w:p>
      <w:pPr>
        <w:widowControl/>
        <w:adjustRightInd w:val="0"/>
        <w:snapToGrid w:val="0"/>
        <w:spacing w:line="360" w:lineRule="auto"/>
        <w:ind w:right="78" w:rightChars="37"/>
        <w:textAlignment w:val="baseline"/>
        <w:rPr>
          <w:rFonts w:ascii="仿宋" w:hAnsi="仿宋" w:eastAsia="仿宋"/>
          <w:color w:val="000000"/>
          <w:kern w:val="0"/>
          <w:sz w:val="24"/>
        </w:rPr>
      </w:pPr>
      <w:r>
        <w:rPr>
          <w:rFonts w:hint="eastAsia" w:ascii="仿宋" w:hAnsi="仿宋" w:eastAsia="仿宋"/>
          <w:color w:val="000000"/>
          <w:kern w:val="0"/>
          <w:sz w:val="24"/>
        </w:rPr>
        <w:t>广东财经大学：</w:t>
      </w:r>
    </w:p>
    <w:p>
      <w:pPr>
        <w:widowControl/>
        <w:spacing w:line="440" w:lineRule="exact"/>
        <w:ind w:firstLine="528" w:firstLineChars="220"/>
        <w:textAlignment w:val="baseline"/>
        <w:rPr>
          <w:rFonts w:ascii="仿宋" w:hAnsi="仿宋" w:eastAsia="仿宋"/>
          <w:bCs/>
          <w:color w:val="000000"/>
          <w:kern w:val="0"/>
          <w:sz w:val="24"/>
        </w:rPr>
      </w:pPr>
      <w:r>
        <w:rPr>
          <w:rFonts w:hint="eastAsia" w:ascii="仿宋" w:hAnsi="仿宋" w:eastAsia="仿宋"/>
          <w:color w:val="000000"/>
          <w:kern w:val="0"/>
          <w:sz w:val="24"/>
        </w:rPr>
        <w:t>我方确认收到贵方提供的</w:t>
      </w:r>
      <w:r>
        <w:rPr>
          <w:rFonts w:hint="eastAsia" w:ascii="仿宋" w:hAnsi="仿宋" w:eastAsia="仿宋"/>
          <w:bCs/>
          <w:color w:val="000000"/>
          <w:kern w:val="0"/>
          <w:sz w:val="24"/>
          <w:u w:val="single"/>
        </w:rPr>
        <w:t>广东财经大学广州校区2022-2023年小额工程造价咨询服务项目</w:t>
      </w:r>
      <w:r>
        <w:rPr>
          <w:rFonts w:hint="eastAsia" w:ascii="仿宋" w:hAnsi="仿宋" w:eastAsia="仿宋"/>
          <w:color w:val="000000"/>
          <w:kern w:val="0"/>
          <w:sz w:val="24"/>
        </w:rPr>
        <w:t>询价文件及相关附件的全部内容，我方：</w:t>
      </w:r>
      <w:r>
        <w:rPr>
          <w:rFonts w:hint="eastAsia" w:ascii="仿宋" w:hAnsi="仿宋" w:eastAsia="仿宋"/>
          <w:b/>
          <w:color w:val="000000"/>
          <w:kern w:val="0"/>
          <w:sz w:val="24"/>
          <w:u w:val="double"/>
        </w:rPr>
        <w:t xml:space="preserve">(报价人名称)                 </w:t>
      </w:r>
      <w:r>
        <w:rPr>
          <w:rFonts w:hint="eastAsia" w:ascii="仿宋" w:hAnsi="仿宋" w:eastAsia="仿宋"/>
          <w:color w:val="000000"/>
          <w:kern w:val="0"/>
          <w:sz w:val="24"/>
        </w:rPr>
        <w:t>作为报价供应商正式授权</w:t>
      </w:r>
      <w:r>
        <w:rPr>
          <w:rFonts w:hint="eastAsia" w:ascii="仿宋" w:hAnsi="仿宋" w:eastAsia="仿宋"/>
          <w:b/>
          <w:color w:val="000000"/>
          <w:kern w:val="0"/>
          <w:sz w:val="24"/>
          <w:u w:val="double"/>
        </w:rPr>
        <w:t xml:space="preserve"> (授权代表全名、职务、身份证号码)              </w:t>
      </w:r>
      <w:r>
        <w:rPr>
          <w:rFonts w:hint="eastAsia" w:ascii="仿宋" w:hAnsi="仿宋" w:eastAsia="仿宋"/>
          <w:color w:val="000000"/>
          <w:kern w:val="0"/>
          <w:sz w:val="24"/>
        </w:rPr>
        <w:t>代表我方进行有关本项目询价的一切事宜。</w:t>
      </w:r>
    </w:p>
    <w:p>
      <w:pPr>
        <w:widowControl/>
        <w:spacing w:line="440" w:lineRule="exact"/>
        <w:ind w:firstLine="410" w:firstLineChars="171"/>
        <w:textAlignment w:val="baseline"/>
        <w:rPr>
          <w:rFonts w:ascii="仿宋" w:hAnsi="仿宋" w:eastAsia="仿宋"/>
          <w:color w:val="000000"/>
          <w:kern w:val="0"/>
          <w:sz w:val="24"/>
        </w:rPr>
      </w:pPr>
      <w:r>
        <w:rPr>
          <w:rFonts w:hint="eastAsia" w:ascii="仿宋" w:hAnsi="仿宋" w:eastAsia="仿宋"/>
          <w:color w:val="000000"/>
          <w:kern w:val="0"/>
          <w:sz w:val="24"/>
        </w:rPr>
        <w:t>在此提交的报价文件正本</w:t>
      </w:r>
      <w:r>
        <w:rPr>
          <w:rFonts w:hint="eastAsia" w:ascii="仿宋" w:hAnsi="仿宋" w:eastAsia="仿宋"/>
          <w:b/>
          <w:color w:val="000000"/>
          <w:kern w:val="0"/>
          <w:sz w:val="24"/>
          <w:u w:val="double"/>
        </w:rPr>
        <w:t xml:space="preserve"> 1 </w:t>
      </w:r>
      <w:r>
        <w:rPr>
          <w:rFonts w:hint="eastAsia" w:ascii="仿宋" w:hAnsi="仿宋" w:eastAsia="仿宋"/>
          <w:color w:val="000000"/>
          <w:kern w:val="0"/>
          <w:sz w:val="24"/>
        </w:rPr>
        <w:t xml:space="preserve">套，副本 </w:t>
      </w:r>
      <w:r>
        <w:rPr>
          <w:rFonts w:hint="eastAsia" w:ascii="仿宋" w:hAnsi="仿宋" w:eastAsia="仿宋"/>
          <w:b/>
          <w:color w:val="000000"/>
          <w:kern w:val="0"/>
          <w:sz w:val="24"/>
          <w:u w:val="double"/>
        </w:rPr>
        <w:t xml:space="preserve">1 </w:t>
      </w:r>
      <w:r>
        <w:rPr>
          <w:rFonts w:hint="eastAsia" w:ascii="仿宋" w:hAnsi="仿宋" w:eastAsia="仿宋"/>
          <w:color w:val="000000"/>
          <w:kern w:val="0"/>
          <w:sz w:val="24"/>
        </w:rPr>
        <w:t>套，电子稿</w:t>
      </w:r>
      <w:r>
        <w:rPr>
          <w:rFonts w:hint="eastAsia" w:ascii="仿宋" w:hAnsi="仿宋" w:eastAsia="仿宋"/>
          <w:b/>
          <w:color w:val="000000"/>
          <w:kern w:val="0"/>
          <w:sz w:val="24"/>
          <w:u w:val="double"/>
        </w:rPr>
        <w:t>1</w:t>
      </w:r>
      <w:r>
        <w:rPr>
          <w:rFonts w:hint="eastAsia" w:ascii="仿宋" w:hAnsi="仿宋" w:eastAsia="仿宋"/>
          <w:color w:val="000000"/>
          <w:kern w:val="0"/>
          <w:sz w:val="24"/>
        </w:rPr>
        <w:t>套，</w:t>
      </w:r>
      <w:r>
        <w:rPr>
          <w:rFonts w:hint="eastAsia" w:ascii="仿宋" w:hAnsi="仿宋" w:eastAsia="仿宋"/>
          <w:b/>
          <w:color w:val="000000"/>
          <w:kern w:val="0"/>
          <w:sz w:val="24"/>
        </w:rPr>
        <w:t>报价文件包括如下内容：</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本报价声明。</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报价一览表（附件2）。</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非联合体投标承诺书（见附件3）。</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企业法人《营业执照》副本或事业单位法人证书或法人登记证书复印件。</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法定代表人证明书、授权委托书（附件4、附件5）。</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承接本项目具有</w:t>
      </w:r>
      <w:r>
        <w:rPr>
          <w:rFonts w:hint="eastAsia" w:ascii="仿宋" w:hAnsi="仿宋" w:eastAsia="仿宋"/>
          <w:b/>
          <w:bCs/>
          <w:color w:val="000000"/>
          <w:kern w:val="0"/>
          <w:sz w:val="24"/>
        </w:rPr>
        <w:t>建设行政主管部门颁发的工程造价咨询乙级或以上资质</w:t>
      </w:r>
      <w:r>
        <w:rPr>
          <w:rFonts w:hint="eastAsia" w:ascii="仿宋" w:hAnsi="仿宋" w:eastAsia="仿宋"/>
          <w:b/>
          <w:color w:val="000000"/>
          <w:kern w:val="0"/>
          <w:sz w:val="24"/>
        </w:rPr>
        <w:t>。</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提供查询的页面截图）。</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提交具有独立承担民事责任能力，且具备履行合同所必需的设备和专业技术能力（提供说明材料或承诺书）。</w:t>
      </w:r>
    </w:p>
    <w:p>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提交本项目要求的其他技术（或服务）响应文件。</w:t>
      </w:r>
    </w:p>
    <w:p>
      <w:pPr>
        <w:widowControl/>
        <w:adjustRightInd w:val="0"/>
        <w:snapToGrid w:val="0"/>
        <w:spacing w:line="360" w:lineRule="auto"/>
        <w:ind w:right="78" w:rightChars="37" w:firstLine="482" w:firstLineChars="200"/>
        <w:textAlignment w:val="baseline"/>
        <w:rPr>
          <w:rFonts w:ascii="仿宋" w:hAnsi="仿宋" w:eastAsia="仿宋" w:cs="Tahoma"/>
          <w:b/>
          <w:color w:val="000000"/>
          <w:kern w:val="0"/>
          <w:sz w:val="24"/>
        </w:rPr>
      </w:pPr>
      <w:r>
        <w:rPr>
          <w:rFonts w:hint="eastAsia" w:ascii="仿宋" w:hAnsi="仿宋" w:eastAsia="仿宋" w:cs="Tahoma"/>
          <w:b/>
          <w:color w:val="000000"/>
          <w:kern w:val="0"/>
          <w:sz w:val="24"/>
        </w:rPr>
        <w:t>我方已完全明白询价文件的所有条款要求，并重申以下几点：</w:t>
      </w:r>
    </w:p>
    <w:p>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我方严格遵守贵校采购有关规定。</w:t>
      </w:r>
    </w:p>
    <w:p>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我方具备履行合同所必需的设备和专业技术能力。</w:t>
      </w:r>
    </w:p>
    <w:p>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我方已认真阅读询价文件及相关附件的全部内容，对本次询价作出实质性响应。</w:t>
      </w:r>
    </w:p>
    <w:p>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明白，如最终被确定为成交供应商，必须积极配合贵校、按照贵校采购制度规定的程序签订合同、履行约定。如我方不按贵校采购制度的规定签订合同，贵校有权将成交资格授予其他供应商。如我方有违约行为，贵校有权单方面解除合同并相应追究我方经济和法律责任。</w:t>
      </w:r>
    </w:p>
    <w:p>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我方同意按照贵校的要求提供与报价有关的其它任何数据、信息或资料，并对其真实性和合法性负责。</w:t>
      </w:r>
    </w:p>
    <w:p>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报价已包含应向知识产权所有权人支付的所有相关税费，保证所供货物、服务来源合法有效，保证采购人在中国使用我方提供的货物、服务时，如有第三方提出侵犯其知识产权或其他主张的，由我方承担因此产生的法律责任和经济责任。</w:t>
      </w:r>
    </w:p>
    <w:p>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近三年，我方在经营销售活动中没有违法行为，在招标投标、政府采购领域中没有违规和违约行为。</w:t>
      </w:r>
    </w:p>
    <w:p>
      <w:pPr>
        <w:widowControl/>
        <w:tabs>
          <w:tab w:val="left" w:pos="8100"/>
        </w:tabs>
        <w:adjustRightInd w:val="0"/>
        <w:snapToGrid w:val="0"/>
        <w:spacing w:line="348" w:lineRule="auto"/>
        <w:jc w:val="center"/>
        <w:textAlignment w:val="baseline"/>
        <w:rPr>
          <w:rFonts w:ascii="仿宋" w:hAnsi="仿宋" w:eastAsia="仿宋" w:cs="Tahoma"/>
          <w:color w:val="000000"/>
          <w:kern w:val="0"/>
          <w:sz w:val="24"/>
        </w:rPr>
      </w:pPr>
    </w:p>
    <w:p>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 xml:space="preserve">报价供应商（公章）：   </w:t>
      </w:r>
    </w:p>
    <w:p>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日期：20</w:t>
      </w:r>
      <w:r>
        <w:rPr>
          <w:rFonts w:ascii="仿宋" w:hAnsi="仿宋" w:eastAsia="仿宋" w:cs="Tahoma"/>
          <w:color w:val="000000"/>
          <w:kern w:val="0"/>
          <w:sz w:val="24"/>
        </w:rPr>
        <w:t>22</w:t>
      </w:r>
      <w:r>
        <w:rPr>
          <w:rFonts w:hint="eastAsia" w:ascii="仿宋" w:hAnsi="仿宋" w:eastAsia="仿宋" w:cs="Tahoma"/>
          <w:color w:val="000000"/>
          <w:kern w:val="0"/>
          <w:sz w:val="24"/>
        </w:rPr>
        <w:t>年  月  日</w:t>
      </w:r>
    </w:p>
    <w:p>
      <w:pPr>
        <w:widowControl/>
        <w:spacing w:line="425" w:lineRule="atLeast"/>
        <w:textAlignment w:val="baseline"/>
        <w:rPr>
          <w:rFonts w:ascii="仿宋" w:hAnsi="仿宋" w:eastAsia="仿宋" w:cs="Tahoma"/>
          <w:color w:val="000000"/>
          <w:kern w:val="0"/>
          <w:sz w:val="24"/>
        </w:rPr>
      </w:pPr>
      <w:r>
        <w:rPr>
          <w:rFonts w:hint="eastAsia" w:ascii="仿宋" w:hAnsi="仿宋" w:eastAsia="仿宋"/>
          <w:b/>
          <w:color w:val="000000"/>
          <w:kern w:val="0"/>
          <w:sz w:val="24"/>
        </w:rPr>
        <w:t>（注：本报价声明为必要文件，必须加盖报价供应商公章，否则，作无效报价处理）</w:t>
      </w:r>
    </w:p>
    <w:p>
      <w:pPr>
        <w:widowControl/>
        <w:spacing w:line="425" w:lineRule="atLeast"/>
        <w:textAlignment w:val="baseline"/>
        <w:rPr>
          <w:rFonts w:ascii="仿宋" w:hAnsi="仿宋" w:eastAsia="仿宋" w:cs="Tahoma"/>
          <w:color w:val="000000"/>
          <w:kern w:val="0"/>
          <w:sz w:val="24"/>
          <w:szCs w:val="20"/>
        </w:rPr>
      </w:pPr>
      <w:r>
        <w:rPr>
          <w:rFonts w:ascii="仿宋" w:hAnsi="仿宋" w:eastAsia="仿宋" w:cs="Tahoma"/>
          <w:color w:val="000000"/>
          <w:kern w:val="0"/>
          <w:sz w:val="24"/>
          <w:szCs w:val="20"/>
        </w:rPr>
        <w:br w:type="page"/>
      </w:r>
    </w:p>
    <w:p>
      <w:pPr>
        <w:widowControl/>
        <w:tabs>
          <w:tab w:val="left" w:pos="8100"/>
        </w:tabs>
        <w:adjustRightInd w:val="0"/>
        <w:snapToGrid w:val="0"/>
        <w:spacing w:line="348" w:lineRule="auto"/>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4"/>
        </w:rPr>
        <w:t>附件2</w:t>
      </w:r>
      <w:r>
        <w:rPr>
          <w:rFonts w:hint="eastAsia" w:ascii="仿宋" w:hAnsi="仿宋" w:eastAsia="仿宋" w:cs="宋体"/>
          <w:b/>
          <w:color w:val="000000"/>
          <w:kern w:val="0"/>
          <w:sz w:val="28"/>
          <w:szCs w:val="28"/>
        </w:rPr>
        <w:t xml:space="preserve">  </w:t>
      </w:r>
    </w:p>
    <w:p>
      <w:pPr>
        <w:widowControl/>
        <w:tabs>
          <w:tab w:val="left" w:pos="8100"/>
        </w:tabs>
        <w:adjustRightInd w:val="0"/>
        <w:snapToGrid w:val="0"/>
        <w:spacing w:line="348" w:lineRule="auto"/>
        <w:textAlignment w:val="baseline"/>
        <w:rPr>
          <w:rFonts w:ascii="宋体" w:hAnsi="宋体" w:cs="Tahoma"/>
          <w:color w:val="000000"/>
          <w:kern w:val="0"/>
          <w:sz w:val="24"/>
          <w:szCs w:val="20"/>
        </w:rPr>
      </w:pPr>
      <w:r>
        <w:rPr>
          <w:rFonts w:hint="eastAsia" w:ascii="仿宋" w:hAnsi="仿宋" w:eastAsia="仿宋" w:cs="宋体"/>
          <w:b/>
          <w:color w:val="000000"/>
          <w:kern w:val="0"/>
          <w:sz w:val="28"/>
          <w:szCs w:val="28"/>
        </w:rPr>
        <w:t xml:space="preserve">      </w:t>
      </w:r>
    </w:p>
    <w:p>
      <w:pPr>
        <w:widowControl/>
        <w:spacing w:line="560" w:lineRule="exact"/>
        <w:jc w:val="center"/>
        <w:textAlignment w:val="baseline"/>
        <w:rPr>
          <w:rFonts w:ascii="宋体" w:hAnsi="宋体"/>
          <w:b/>
          <w:color w:val="000000"/>
          <w:kern w:val="0"/>
          <w:sz w:val="28"/>
          <w:szCs w:val="28"/>
        </w:rPr>
      </w:pPr>
      <w:r>
        <w:rPr>
          <w:rFonts w:hint="eastAsia" w:ascii="宋体" w:hAnsi="宋体"/>
          <w:b/>
          <w:color w:val="000000"/>
          <w:kern w:val="0"/>
          <w:sz w:val="28"/>
          <w:szCs w:val="28"/>
        </w:rPr>
        <w:t>报价一览表</w:t>
      </w:r>
    </w:p>
    <w:p>
      <w:pPr>
        <w:widowControl/>
        <w:adjustRightInd w:val="0"/>
        <w:snapToGrid w:val="0"/>
        <w:spacing w:line="425" w:lineRule="atLeast"/>
        <w:jc w:val="right"/>
        <w:textAlignment w:val="baseline"/>
        <w:rPr>
          <w:rFonts w:ascii="宋体" w:hAnsi="宋体"/>
          <w:color w:val="000000"/>
          <w:kern w:val="0"/>
          <w:sz w:val="24"/>
          <w:szCs w:val="20"/>
        </w:rPr>
      </w:pPr>
      <w:r>
        <w:rPr>
          <w:rFonts w:hint="eastAsia" w:ascii="宋体" w:hAnsi="宋体"/>
          <w:color w:val="000000"/>
          <w:kern w:val="0"/>
          <w:sz w:val="24"/>
          <w:szCs w:val="20"/>
        </w:rPr>
        <w:t>货币单位：人民币元</w:t>
      </w:r>
    </w:p>
    <w:tbl>
      <w:tblPr>
        <w:tblStyle w:val="6"/>
        <w:tblW w:w="0" w:type="auto"/>
        <w:jc w:val="center"/>
        <w:tblLayout w:type="fixed"/>
        <w:tblCellMar>
          <w:top w:w="0" w:type="dxa"/>
          <w:left w:w="30" w:type="dxa"/>
          <w:bottom w:w="0" w:type="dxa"/>
          <w:right w:w="30" w:type="dxa"/>
        </w:tblCellMar>
      </w:tblPr>
      <w:tblGrid>
        <w:gridCol w:w="2229"/>
        <w:gridCol w:w="7119"/>
      </w:tblGrid>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项目名称</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Cs/>
                <w:color w:val="000000"/>
                <w:kern w:val="0"/>
                <w:sz w:val="24"/>
                <w:szCs w:val="20"/>
              </w:rPr>
            </w:pPr>
            <w:r>
              <w:rPr>
                <w:rFonts w:hint="eastAsia" w:ascii="宋体" w:hAnsi="宋体"/>
                <w:bCs/>
                <w:color w:val="000000"/>
                <w:kern w:val="0"/>
                <w:sz w:val="24"/>
                <w:szCs w:val="20"/>
              </w:rPr>
              <w:t>广东财经大学广州校区2022-2023年小额工程造价咨询服务项目</w:t>
            </w:r>
          </w:p>
        </w:tc>
      </w:tr>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项目编号</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ind w:firstLine="480" w:firstLineChars="200"/>
              <w:textAlignment w:val="baseline"/>
              <w:rPr>
                <w:rFonts w:ascii="宋体" w:hAnsi="宋体"/>
                <w:color w:val="FF0000"/>
                <w:kern w:val="0"/>
                <w:sz w:val="24"/>
                <w:szCs w:val="20"/>
              </w:rPr>
            </w:pPr>
            <w:r>
              <w:rPr>
                <w:rFonts w:hint="eastAsia" w:ascii="宋体" w:hAnsi="宋体"/>
                <w:color w:val="auto"/>
                <w:kern w:val="0"/>
                <w:sz w:val="24"/>
                <w:szCs w:val="20"/>
              </w:rPr>
              <w:t>FA-202207-001</w:t>
            </w:r>
          </w:p>
        </w:tc>
      </w:tr>
      <w:tr>
        <w:tblPrEx>
          <w:tblCellMar>
            <w:top w:w="0" w:type="dxa"/>
            <w:left w:w="30" w:type="dxa"/>
            <w:bottom w:w="0" w:type="dxa"/>
            <w:right w:w="30" w:type="dxa"/>
          </w:tblCellMar>
        </w:tblPrEx>
        <w:trPr>
          <w:cantSplit/>
          <w:trHeight w:val="829" w:hRule="atLeast"/>
          <w:jc w:val="center"/>
        </w:trPr>
        <w:tc>
          <w:tcPr>
            <w:tcW w:w="2229" w:type="dxa"/>
            <w:vMerge w:val="restart"/>
            <w:tcBorders>
              <w:top w:val="single" w:color="auto" w:sz="6" w:space="0"/>
              <w:left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下浮率（%）</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textAlignment w:val="baseline"/>
              <w:rPr>
                <w:rFonts w:ascii="宋体" w:hAnsi="宋体"/>
                <w:b/>
                <w:color w:val="000000"/>
                <w:kern w:val="0"/>
                <w:sz w:val="24"/>
                <w:szCs w:val="20"/>
                <w:u w:val="single"/>
              </w:rPr>
            </w:pPr>
          </w:p>
          <w:p>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hAnsi="宋体"/>
                <w:b/>
                <w:color w:val="000000"/>
                <w:kern w:val="0"/>
                <w:sz w:val="24"/>
                <w:szCs w:val="20"/>
                <w:u w:val="single"/>
              </w:rPr>
              <w:t xml:space="preserve">                                    </w:t>
            </w:r>
          </w:p>
        </w:tc>
      </w:tr>
      <w:tr>
        <w:tblPrEx>
          <w:tblCellMar>
            <w:top w:w="0" w:type="dxa"/>
            <w:left w:w="30" w:type="dxa"/>
            <w:bottom w:w="0" w:type="dxa"/>
            <w:right w:w="30" w:type="dxa"/>
          </w:tblCellMar>
        </w:tblPrEx>
        <w:trPr>
          <w:cantSplit/>
          <w:trHeight w:val="971" w:hRule="atLeast"/>
          <w:jc w:val="center"/>
        </w:trPr>
        <w:tc>
          <w:tcPr>
            <w:tcW w:w="2229" w:type="dxa"/>
            <w:vMerge w:val="continue"/>
            <w:tcBorders>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ind w:firstLine="843" w:firstLineChars="350"/>
              <w:textAlignment w:val="baseline"/>
              <w:rPr>
                <w:rFonts w:ascii="宋体"/>
                <w:b/>
                <w:color w:val="000000"/>
                <w:kern w:val="0"/>
                <w:sz w:val="24"/>
                <w:szCs w:val="20"/>
                <w:u w:val="single"/>
              </w:rPr>
            </w:pPr>
          </w:p>
          <w:p>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b/>
                <w:color w:val="000000"/>
                <w:kern w:val="0"/>
                <w:sz w:val="24"/>
                <w:szCs w:val="20"/>
                <w:u w:val="single"/>
              </w:rPr>
              <w:t xml:space="preserve">大写：                                        </w:t>
            </w:r>
          </w:p>
        </w:tc>
      </w:tr>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备注</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color w:val="000000"/>
                <w:kern w:val="0"/>
                <w:sz w:val="24"/>
                <w:szCs w:val="20"/>
              </w:rPr>
            </w:pPr>
          </w:p>
        </w:tc>
      </w:tr>
    </w:tbl>
    <w:p>
      <w:pPr>
        <w:spacing w:line="360" w:lineRule="auto"/>
        <w:rPr>
          <w:rFonts w:ascii="宋体" w:hAnsi="宋体"/>
          <w:kern w:val="0"/>
          <w:sz w:val="24"/>
        </w:rPr>
      </w:pPr>
      <w:r>
        <w:rPr>
          <w:rFonts w:hint="eastAsia" w:ascii="宋体" w:hAnsi="宋体"/>
          <w:kern w:val="0"/>
          <w:sz w:val="24"/>
        </w:rPr>
        <w:t>注：</w:t>
      </w:r>
    </w:p>
    <w:p>
      <w:pPr>
        <w:numPr>
          <w:ilvl w:val="255"/>
          <w:numId w:val="0"/>
        </w:numPr>
        <w:spacing w:line="360" w:lineRule="auto"/>
        <w:ind w:left="336"/>
        <w:rPr>
          <w:rFonts w:ascii="宋体" w:hAnsi="宋体"/>
          <w:kern w:val="0"/>
          <w:sz w:val="24"/>
        </w:rPr>
      </w:pPr>
      <w:r>
        <w:rPr>
          <w:rFonts w:hint="eastAsia" w:ascii="宋体" w:hAnsi="宋体"/>
          <w:kern w:val="0"/>
          <w:sz w:val="24"/>
        </w:rPr>
        <w:t>1、本表报价包含完成本项目应预见和不可预见的一切含税费用。</w:t>
      </w:r>
    </w:p>
    <w:p>
      <w:pPr>
        <w:numPr>
          <w:ilvl w:val="255"/>
          <w:numId w:val="0"/>
        </w:numPr>
        <w:spacing w:line="360" w:lineRule="auto"/>
        <w:ind w:left="336"/>
        <w:rPr>
          <w:rFonts w:ascii="宋体" w:hAnsi="宋体"/>
          <w:kern w:val="0"/>
          <w:sz w:val="24"/>
        </w:rPr>
      </w:pPr>
      <w:r>
        <w:rPr>
          <w:rFonts w:hint="eastAsia" w:ascii="宋体" w:hAnsi="宋体"/>
          <w:kern w:val="0"/>
          <w:sz w:val="24"/>
        </w:rPr>
        <w:t>2、表中总报价小写金额与大写金额不一致的，以大写金额为准。</w:t>
      </w:r>
    </w:p>
    <w:p>
      <w:pPr>
        <w:numPr>
          <w:ilvl w:val="255"/>
          <w:numId w:val="0"/>
        </w:numPr>
        <w:spacing w:line="360" w:lineRule="auto"/>
        <w:ind w:left="336"/>
        <w:rPr>
          <w:rFonts w:ascii="宋体" w:hAnsi="宋体"/>
          <w:kern w:val="0"/>
          <w:sz w:val="24"/>
        </w:rPr>
      </w:pPr>
      <w:r>
        <w:rPr>
          <w:rFonts w:hint="eastAsia" w:ascii="宋体" w:hAnsi="Courier New"/>
          <w:kern w:val="0"/>
          <w:sz w:val="24"/>
        </w:rPr>
        <w:t>3、填写此表时不得改变表格的形式。</w:t>
      </w:r>
    </w:p>
    <w:p>
      <w:pPr>
        <w:numPr>
          <w:ilvl w:val="255"/>
          <w:numId w:val="0"/>
        </w:numPr>
        <w:spacing w:line="360" w:lineRule="auto"/>
        <w:ind w:left="336"/>
        <w:rPr>
          <w:rFonts w:ascii="宋体" w:hAnsi="宋体"/>
          <w:kern w:val="0"/>
          <w:sz w:val="24"/>
        </w:rPr>
      </w:pPr>
      <w:r>
        <w:rPr>
          <w:rFonts w:hint="eastAsia" w:ascii="宋体" w:hAnsi="Courier New"/>
          <w:kern w:val="0"/>
          <w:sz w:val="24"/>
        </w:rPr>
        <w:t>4、以上表中内容必须计算机录入、填写、打印。手写按无效报价处理。</w:t>
      </w:r>
    </w:p>
    <w:p>
      <w:pPr>
        <w:widowControl/>
        <w:adjustRightInd w:val="0"/>
        <w:snapToGrid w:val="0"/>
        <w:spacing w:line="425" w:lineRule="atLeast"/>
        <w:textAlignment w:val="baseline"/>
        <w:rPr>
          <w:rFonts w:ascii="宋体" w:hAnsi="宋体"/>
          <w:b/>
          <w:color w:val="000000"/>
          <w:kern w:val="0"/>
          <w:sz w:val="24"/>
          <w:szCs w:val="20"/>
        </w:rPr>
      </w:pP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425" w:lineRule="atLeast"/>
        <w:textAlignment w:val="baseline"/>
        <w:rPr>
          <w:rFonts w:ascii="仿宋" w:hAnsi="仿宋" w:eastAsia="仿宋" w:cs="宋体"/>
          <w:b/>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Tahoma"/>
          <w:b/>
          <w:color w:val="000000"/>
          <w:kern w:val="0"/>
          <w:sz w:val="24"/>
          <w:szCs w:val="20"/>
        </w:rPr>
      </w:pPr>
    </w:p>
    <w:p>
      <w:pPr>
        <w:snapToGrid w:val="0"/>
        <w:spacing w:line="460" w:lineRule="exact"/>
        <w:ind w:firstLine="470" w:firstLineChars="196"/>
        <w:textAlignment w:val="baseline"/>
        <w:rPr>
          <w:rFonts w:ascii="宋体" w:hAnsi="宋体" w:cs="Tahoma"/>
          <w:color w:val="000000"/>
          <w:kern w:val="0"/>
          <w:sz w:val="24"/>
          <w:szCs w:val="20"/>
        </w:rPr>
        <w:sectPr>
          <w:headerReference r:id="rId3" w:type="default"/>
          <w:footerReference r:id="rId4" w:type="default"/>
          <w:pgSz w:w="11905" w:h="16837"/>
          <w:pgMar w:top="1418" w:right="1474" w:bottom="1418" w:left="1588" w:header="851" w:footer="992" w:gutter="0"/>
          <w:pgNumType w:start="1"/>
          <w:cols w:space="720" w:num="1"/>
          <w:docGrid w:linePitch="286" w:charSpace="0"/>
        </w:sectPr>
      </w:pPr>
    </w:p>
    <w:p>
      <w:pPr>
        <w:widowControl/>
        <w:spacing w:line="425" w:lineRule="atLeast"/>
        <w:textAlignment w:val="baseline"/>
        <w:rPr>
          <w:rFonts w:ascii="仿宋" w:hAnsi="仿宋" w:eastAsia="仿宋"/>
          <w:b/>
          <w:color w:val="000000"/>
          <w:kern w:val="0"/>
          <w:sz w:val="28"/>
          <w:szCs w:val="28"/>
        </w:rPr>
      </w:pPr>
      <w:r>
        <w:rPr>
          <w:rFonts w:hint="eastAsia" w:ascii="仿宋" w:hAnsi="仿宋" w:eastAsia="仿宋" w:cs="宋体"/>
          <w:b/>
          <w:color w:val="000000"/>
          <w:kern w:val="0"/>
          <w:sz w:val="24"/>
        </w:rPr>
        <w:t>附件3</w:t>
      </w:r>
    </w:p>
    <w:p>
      <w:pPr>
        <w:keepNext/>
        <w:keepLines/>
        <w:widowControl/>
        <w:spacing w:line="400" w:lineRule="exact"/>
        <w:jc w:val="left"/>
        <w:textAlignment w:val="baseline"/>
        <w:outlineLvl w:val="1"/>
        <w:rPr>
          <w:rFonts w:ascii="仿宋" w:hAnsi="仿宋" w:eastAsia="仿宋" w:cs="宋体"/>
          <w:bCs/>
          <w:color w:val="000000"/>
          <w:kern w:val="0"/>
          <w:sz w:val="24"/>
          <w:szCs w:val="28"/>
        </w:rPr>
      </w:pPr>
    </w:p>
    <w:p>
      <w:pPr>
        <w:keepNext/>
        <w:keepLines/>
        <w:widowControl/>
        <w:spacing w:line="400" w:lineRule="exact"/>
        <w:jc w:val="center"/>
        <w:textAlignment w:val="baseline"/>
        <w:outlineLvl w:val="1"/>
        <w:rPr>
          <w:rFonts w:ascii="仿宋" w:hAnsi="仿宋" w:eastAsia="仿宋" w:cs="仿宋"/>
          <w:b/>
          <w:color w:val="000000"/>
          <w:kern w:val="0"/>
          <w:sz w:val="32"/>
          <w:szCs w:val="32"/>
        </w:rPr>
      </w:pPr>
      <w:r>
        <w:rPr>
          <w:rFonts w:hint="eastAsia" w:ascii="仿宋" w:hAnsi="仿宋" w:eastAsia="仿宋" w:cs="宋体"/>
          <w:b/>
          <w:color w:val="000000"/>
          <w:kern w:val="0"/>
          <w:sz w:val="32"/>
          <w:szCs w:val="32"/>
        </w:rPr>
        <w:t>承诺书</w:t>
      </w:r>
    </w:p>
    <w:p>
      <w:pPr>
        <w:widowControl/>
        <w:spacing w:line="425" w:lineRule="atLeast"/>
        <w:jc w:val="center"/>
        <w:textAlignment w:val="baseline"/>
        <w:rPr>
          <w:rFonts w:ascii="仿宋" w:hAnsi="仿宋" w:eastAsia="仿宋" w:cs="仿宋"/>
          <w:color w:val="000000"/>
          <w:kern w:val="0"/>
          <w:sz w:val="23"/>
          <w:szCs w:val="23"/>
        </w:rPr>
      </w:pPr>
    </w:p>
    <w:p>
      <w:pPr>
        <w:spacing w:line="480" w:lineRule="auto"/>
        <w:jc w:val="left"/>
        <w:rPr>
          <w:rFonts w:ascii="仿宋" w:hAnsi="仿宋" w:eastAsia="仿宋" w:cs="仿宋"/>
          <w:color w:val="000000"/>
          <w:kern w:val="0"/>
          <w:sz w:val="24"/>
        </w:rPr>
      </w:pPr>
    </w:p>
    <w:p>
      <w:pPr>
        <w:spacing w:line="480" w:lineRule="auto"/>
        <w:ind w:firstLine="480" w:firstLineChars="200"/>
        <w:jc w:val="left"/>
        <w:rPr>
          <w:rFonts w:ascii="仿宋" w:hAnsi="仿宋" w:eastAsia="仿宋" w:cs="宋体"/>
          <w:color w:val="000000"/>
          <w:kern w:val="0"/>
          <w:sz w:val="24"/>
        </w:rPr>
      </w:pPr>
      <w:r>
        <w:rPr>
          <w:rFonts w:hint="eastAsia" w:ascii="仿宋" w:hAnsi="仿宋" w:eastAsia="仿宋" w:cs="宋体"/>
          <w:color w:val="000000"/>
          <w:kern w:val="0"/>
          <w:sz w:val="24"/>
        </w:rPr>
        <w:t>我方已知悉并清楚理解本次采购的全部内容，对本次采购作出实质性响应。同时我方声明：我司完全符合《政府采购法》第二十二条规定的条件，且非联合体投标。如若我方不符合上述声明，则贵校有权随时无条件解除双方之间合同，一切责任均由我方承担。</w:t>
      </w:r>
    </w:p>
    <w:p>
      <w:pPr>
        <w:widowControl/>
        <w:spacing w:line="425" w:lineRule="atLeast"/>
        <w:ind w:firstLine="480" w:firstLineChars="200"/>
        <w:jc w:val="left"/>
        <w:textAlignment w:val="baseline"/>
        <w:rPr>
          <w:rFonts w:ascii="仿宋" w:hAnsi="仿宋" w:eastAsia="仿宋" w:cs="宋体"/>
          <w:color w:val="000000"/>
          <w:kern w:val="0"/>
          <w:sz w:val="24"/>
        </w:rPr>
      </w:pPr>
    </w:p>
    <w:p>
      <w:pPr>
        <w:widowControl/>
        <w:tabs>
          <w:tab w:val="left" w:pos="676"/>
          <w:tab w:val="left" w:pos="2330"/>
          <w:tab w:val="left" w:pos="9230"/>
        </w:tabs>
        <w:autoSpaceDE w:val="0"/>
        <w:autoSpaceDN w:val="0"/>
        <w:adjustRightInd w:val="0"/>
        <w:spacing w:line="425" w:lineRule="atLeast"/>
        <w:textAlignment w:val="baseline"/>
        <w:rPr>
          <w:rFonts w:ascii="仿宋" w:hAnsi="仿宋" w:eastAsia="仿宋" w:cs="宋体"/>
          <w:color w:val="000000"/>
          <w:kern w:val="0"/>
          <w:sz w:val="24"/>
        </w:rPr>
      </w:pPr>
      <w:r>
        <w:rPr>
          <w:rFonts w:hint="eastAsia" w:ascii="仿宋" w:hAnsi="仿宋" w:eastAsia="仿宋" w:cs="宋体"/>
          <w:color w:val="000000"/>
          <w:kern w:val="0"/>
          <w:sz w:val="24"/>
        </w:rPr>
        <w:t xml:space="preserve">                                 </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pPr>
        <w:widowControl/>
        <w:spacing w:line="425" w:lineRule="atLeast"/>
        <w:ind w:firstLine="4800" w:firstLineChars="2000"/>
        <w:textAlignment w:val="baseline"/>
        <w:rPr>
          <w:color w:val="000000"/>
          <w:kern w:val="0"/>
          <w:szCs w:val="20"/>
        </w:rPr>
      </w:pPr>
      <w:r>
        <w:rPr>
          <w:rFonts w:hint="eastAsia" w:ascii="仿宋" w:hAnsi="仿宋" w:eastAsia="仿宋" w:cs="宋体"/>
          <w:color w:val="000000"/>
          <w:kern w:val="0"/>
          <w:sz w:val="24"/>
        </w:rPr>
        <w:t>联 系 电 话：</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425" w:lineRule="atLeast"/>
        <w:textAlignment w:val="baseline"/>
        <w:rPr>
          <w:rFonts w:ascii="仿宋" w:hAnsi="仿宋" w:eastAsia="仿宋" w:cs="宋体"/>
          <w:b/>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olor w:val="000000"/>
          <w:kern w:val="0"/>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olor w:val="000000"/>
          <w:kern w:val="0"/>
          <w:szCs w:val="20"/>
        </w:rPr>
      </w:pPr>
      <w:r>
        <w:rPr>
          <w:rFonts w:hint="eastAsia" w:ascii="仿宋" w:hAnsi="仿宋" w:eastAsia="仿宋" w:cs="Tahoma"/>
          <w:b/>
          <w:color w:val="000000"/>
          <w:kern w:val="0"/>
          <w:sz w:val="24"/>
          <w:szCs w:val="20"/>
        </w:rPr>
        <w:t>附件4</w:t>
      </w:r>
    </w:p>
    <w:p>
      <w:pPr>
        <w:widowControl/>
        <w:spacing w:line="425" w:lineRule="atLeast"/>
        <w:jc w:val="center"/>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8"/>
          <w:szCs w:val="28"/>
        </w:rPr>
        <w:t>法定代表人证明书</w:t>
      </w:r>
    </w:p>
    <w:p>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u w:val="single"/>
        </w:rPr>
        <w:t>（法定代表人姓名）</w:t>
      </w:r>
      <w:r>
        <w:rPr>
          <w:rFonts w:hint="eastAsia" w:ascii="仿宋" w:hAnsi="仿宋" w:eastAsia="仿宋" w:cs="宋体"/>
          <w:color w:val="000000"/>
          <w:kern w:val="0"/>
          <w:sz w:val="24"/>
        </w:rPr>
        <w:t>同志，</w:t>
      </w:r>
      <w:r>
        <w:rPr>
          <w:rFonts w:hint="eastAsia" w:ascii="仿宋" w:hAnsi="仿宋" w:eastAsia="仿宋" w:cs="宋体"/>
          <w:color w:val="000000"/>
          <w:kern w:val="0"/>
          <w:sz w:val="24"/>
          <w:u w:val="single"/>
        </w:rPr>
        <w:t>( 身份证号码： )</w:t>
      </w:r>
      <w:r>
        <w:rPr>
          <w:rFonts w:hint="eastAsia" w:ascii="仿宋" w:hAnsi="仿宋" w:eastAsia="仿宋" w:cs="宋体"/>
          <w:color w:val="000000"/>
          <w:kern w:val="0"/>
          <w:sz w:val="24"/>
        </w:rPr>
        <w:t>现任我单位</w:t>
      </w:r>
      <w:r>
        <w:rPr>
          <w:rFonts w:hint="eastAsia" w:ascii="仿宋" w:hAnsi="仿宋" w:eastAsia="仿宋" w:cs="宋体"/>
          <w:color w:val="000000"/>
          <w:kern w:val="0"/>
          <w:sz w:val="24"/>
          <w:u w:val="single"/>
        </w:rPr>
        <w:t xml:space="preserve"> （报价供应商名称、职务） </w:t>
      </w:r>
      <w:r>
        <w:rPr>
          <w:rFonts w:hint="eastAsia" w:ascii="仿宋" w:hAnsi="仿宋" w:eastAsia="仿宋" w:cs="宋体"/>
          <w:color w:val="000000"/>
          <w:kern w:val="0"/>
          <w:sz w:val="24"/>
        </w:rPr>
        <w:t>，为法定代表人，特此证明。</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营业执照号码：</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组织机构代码：</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经 济 性  质：</w:t>
      </w:r>
    </w:p>
    <w:p>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rPr>
        <w:t>成立日期：</w:t>
      </w:r>
    </w:p>
    <w:p>
      <w:pPr>
        <w:widowControl/>
        <w:spacing w:line="425" w:lineRule="atLeast"/>
        <w:ind w:firstLine="560" w:firstLineChars="200"/>
        <w:textAlignment w:val="baseline"/>
        <w:rPr>
          <w:rFonts w:ascii="仿宋" w:hAnsi="仿宋" w:eastAsia="仿宋" w:cs="宋体"/>
          <w:color w:val="000000"/>
          <w:kern w:val="0"/>
          <w:sz w:val="28"/>
          <w:szCs w:val="28"/>
        </w:rPr>
      </w:pPr>
    </w:p>
    <w:tbl>
      <w:tblPr>
        <w:tblStyle w:val="6"/>
        <w:tblW w:w="5610" w:type="dxa"/>
        <w:tblInd w:w="2076"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附法定代表人身份证复印件</w:t>
            </w:r>
          </w:p>
          <w:p>
            <w:pPr>
              <w:widowControl/>
              <w:spacing w:line="500" w:lineRule="exact"/>
              <w:textAlignment w:val="baseline"/>
              <w:rPr>
                <w:rFonts w:ascii="仿宋" w:hAnsi="仿宋" w:eastAsia="仿宋" w:cs="宋体"/>
                <w:color w:val="000000"/>
                <w:kern w:val="0"/>
                <w:sz w:val="24"/>
              </w:rPr>
            </w:pPr>
          </w:p>
        </w:tc>
      </w:tr>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p>
        </w:tc>
      </w:tr>
    </w:tbl>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法定代表人姓名（签名）：</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500" w:lineRule="exact"/>
        <w:ind w:left="4599" w:leftChars="2190"/>
        <w:textAlignment w:val="baseline"/>
        <w:rPr>
          <w:rFonts w:ascii="仿宋" w:hAnsi="仿宋" w:eastAsia="仿宋" w:cs="宋体"/>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宋体"/>
          <w:color w:val="000000"/>
          <w:kern w:val="0"/>
          <w:sz w:val="28"/>
          <w:szCs w:val="28"/>
        </w:rPr>
      </w:pPr>
      <w:r>
        <w:rPr>
          <w:rFonts w:hint="eastAsia" w:ascii="仿宋" w:hAnsi="仿宋" w:eastAsia="仿宋" w:cs="宋体"/>
          <w:color w:val="000000"/>
          <w:kern w:val="0"/>
          <w:sz w:val="28"/>
          <w:szCs w:val="28"/>
        </w:rPr>
        <w:br w:type="page"/>
      </w:r>
      <w:r>
        <w:rPr>
          <w:rFonts w:hint="eastAsia" w:ascii="仿宋" w:hAnsi="仿宋" w:eastAsia="仿宋" w:cs="Tahoma"/>
          <w:b/>
          <w:color w:val="000000"/>
          <w:kern w:val="0"/>
          <w:sz w:val="24"/>
          <w:szCs w:val="20"/>
        </w:rPr>
        <w:t>附件5</w:t>
      </w:r>
    </w:p>
    <w:p>
      <w:pPr>
        <w:widowControl/>
        <w:spacing w:line="425" w:lineRule="atLeast"/>
        <w:jc w:val="center"/>
        <w:textAlignment w:val="baseline"/>
        <w:rPr>
          <w:rFonts w:ascii="仿宋" w:hAnsi="仿宋" w:eastAsia="仿宋" w:cs="宋体"/>
          <w:color w:val="000000"/>
          <w:kern w:val="0"/>
          <w:sz w:val="28"/>
          <w:szCs w:val="28"/>
        </w:rPr>
      </w:pPr>
      <w:r>
        <w:rPr>
          <w:rFonts w:hint="eastAsia" w:ascii="仿宋" w:hAnsi="仿宋" w:eastAsia="仿宋" w:cs="宋体"/>
          <w:b/>
          <w:color w:val="000000"/>
          <w:kern w:val="0"/>
          <w:sz w:val="28"/>
          <w:szCs w:val="28"/>
        </w:rPr>
        <w:t>授权委托书</w:t>
      </w:r>
    </w:p>
    <w:p>
      <w:pPr>
        <w:spacing w:line="500" w:lineRule="exact"/>
        <w:rPr>
          <w:rFonts w:ascii="仿宋" w:hAnsi="仿宋" w:eastAsia="仿宋" w:cs="宋体"/>
          <w:color w:val="000000"/>
          <w:kern w:val="0"/>
          <w:sz w:val="24"/>
        </w:rPr>
      </w:pPr>
      <w:r>
        <w:rPr>
          <w:rFonts w:hint="eastAsia" w:ascii="仿宋" w:hAnsi="仿宋" w:eastAsia="仿宋" w:cs="宋体"/>
          <w:color w:val="000000"/>
          <w:kern w:val="0"/>
          <w:sz w:val="24"/>
        </w:rPr>
        <w:t>致:广东财经大学</w:t>
      </w:r>
    </w:p>
    <w:p>
      <w:pPr>
        <w:widowControl/>
        <w:spacing w:line="500" w:lineRule="exact"/>
        <w:ind w:firstLine="614" w:firstLineChars="256"/>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本授权书声明：</w:t>
      </w:r>
      <w:r>
        <w:rPr>
          <w:rFonts w:hint="eastAsia" w:ascii="仿宋" w:hAnsi="仿宋" w:eastAsia="仿宋" w:cs="宋体"/>
          <w:color w:val="000000"/>
          <w:kern w:val="0"/>
          <w:sz w:val="24"/>
          <w:u w:val="single"/>
        </w:rPr>
        <w:t xml:space="preserve"> （法定代表人姓名） </w:t>
      </w:r>
      <w:r>
        <w:rPr>
          <w:rFonts w:hint="eastAsia" w:ascii="仿宋" w:hAnsi="仿宋" w:eastAsia="仿宋" w:cs="宋体"/>
          <w:color w:val="000000"/>
          <w:kern w:val="0"/>
          <w:sz w:val="24"/>
        </w:rPr>
        <w:t>是注册于</w:t>
      </w:r>
      <w:r>
        <w:rPr>
          <w:rFonts w:hint="eastAsia" w:ascii="仿宋" w:hAnsi="仿宋" w:eastAsia="仿宋" w:cs="宋体"/>
          <w:color w:val="000000"/>
          <w:kern w:val="0"/>
          <w:sz w:val="24"/>
          <w:u w:val="single"/>
        </w:rPr>
        <w:t>（国家或地区）</w:t>
      </w:r>
      <w:r>
        <w:rPr>
          <w:rFonts w:hint="eastAsia" w:ascii="仿宋" w:hAnsi="仿宋" w:eastAsia="仿宋" w:cs="宋体"/>
          <w:color w:val="000000"/>
          <w:kern w:val="0"/>
          <w:sz w:val="24"/>
        </w:rPr>
        <w:t>的 （报价供应商公司名称）的法定代表人，现任</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职务。在</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 xml:space="preserve">中，现授权 </w:t>
      </w:r>
      <w:r>
        <w:rPr>
          <w:rFonts w:hint="eastAsia" w:ascii="仿宋" w:hAnsi="仿宋" w:eastAsia="仿宋" w:cs="宋体"/>
          <w:color w:val="000000"/>
          <w:kern w:val="0"/>
          <w:sz w:val="24"/>
          <w:u w:val="single"/>
        </w:rPr>
        <w:t xml:space="preserve">          （姓名、职务）</w:t>
      </w:r>
      <w:r>
        <w:rPr>
          <w:rFonts w:hint="eastAsia" w:ascii="仿宋" w:hAnsi="仿宋" w:eastAsia="仿宋" w:cs="宋体"/>
          <w:color w:val="000000"/>
          <w:kern w:val="0"/>
          <w:sz w:val="24"/>
        </w:rPr>
        <w:t>作为我公司的全权代理人，以我方的名义处理一切与之有关的事宜。</w:t>
      </w:r>
    </w:p>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本授权书于    年   月    日签字生效，有效期至    年    月    日。</w:t>
      </w:r>
    </w:p>
    <w:tbl>
      <w:tblPr>
        <w:tblStyle w:val="6"/>
        <w:tblpPr w:leftFromText="180" w:rightFromText="180" w:vertAnchor="text" w:horzAnchor="page" w:tblpXSpec="center" w:tblpY="370"/>
        <w:tblW w:w="5610" w:type="dxa"/>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附被授权人身份证复印件</w:t>
            </w:r>
          </w:p>
          <w:p>
            <w:pPr>
              <w:widowControl/>
              <w:spacing w:line="500" w:lineRule="exact"/>
              <w:textAlignment w:val="baseline"/>
              <w:rPr>
                <w:rFonts w:ascii="仿宋" w:hAnsi="仿宋" w:eastAsia="仿宋" w:cs="宋体"/>
                <w:color w:val="000000"/>
                <w:kern w:val="0"/>
                <w:sz w:val="24"/>
              </w:rPr>
            </w:pPr>
          </w:p>
        </w:tc>
      </w:tr>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p>
        </w:tc>
      </w:tr>
    </w:tbl>
    <w:p>
      <w:pPr>
        <w:widowControl/>
        <w:spacing w:line="500" w:lineRule="exact"/>
        <w:ind w:firstLine="480" w:firstLineChars="200"/>
        <w:textAlignment w:val="baseline"/>
        <w:rPr>
          <w:rFonts w:ascii="仿宋" w:hAnsi="仿宋" w:eastAsia="仿宋" w:cs="宋体"/>
          <w:color w:val="000000"/>
          <w:kern w:val="0"/>
          <w:sz w:val="24"/>
        </w:rPr>
      </w:pPr>
    </w:p>
    <w:p>
      <w:pPr>
        <w:widowControl/>
        <w:spacing w:line="500" w:lineRule="exact"/>
        <w:ind w:firstLine="4200" w:firstLineChars="1750"/>
        <w:jc w:val="left"/>
        <w:textAlignment w:val="baseline"/>
        <w:rPr>
          <w:rFonts w:ascii="仿宋" w:hAnsi="仿宋" w:eastAsia="仿宋" w:cs="宋体"/>
          <w:color w:val="000000"/>
          <w:kern w:val="0"/>
          <w:sz w:val="24"/>
        </w:rPr>
      </w:pP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地        址：</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法定代表人（签名）：</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代理人（签名）：</w:t>
      </w:r>
    </w:p>
    <w:p>
      <w:pPr>
        <w:widowControl/>
        <w:spacing w:line="425" w:lineRule="atLeast"/>
        <w:ind w:firstLine="4320" w:firstLineChars="1800"/>
        <w:textAlignment w:val="baseline"/>
        <w:rPr>
          <w:color w:val="000000"/>
          <w:kern w:val="0"/>
          <w:szCs w:val="20"/>
        </w:rPr>
      </w:pPr>
      <w:r>
        <w:rPr>
          <w:rFonts w:hint="eastAsia" w:ascii="仿宋" w:hAnsi="仿宋" w:eastAsia="仿宋" w:cs="宋体"/>
          <w:color w:val="000000"/>
          <w:kern w:val="0"/>
          <w:sz w:val="24"/>
        </w:rPr>
        <w:t>联 系 电 话：</w:t>
      </w:r>
    </w:p>
    <w:p>
      <w:pPr>
        <w:widowControl/>
        <w:spacing w:line="500" w:lineRule="exact"/>
        <w:ind w:firstLine="4320" w:firstLineChars="180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（注：法定代表人为报价供应商代表并亲自签署投标文件的可不提交，否则，本委托书为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，必须有法定代表人和代理人的</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，且有效期不得短于投标截止日或开标日，否则，作无效投标处理）。</w:t>
      </w:r>
    </w:p>
    <w:p>
      <w:pPr>
        <w:pStyle w:val="10"/>
        <w:ind w:firstLine="482"/>
        <w:rPr>
          <w:rFonts w:ascii="仿宋" w:hAnsi="仿宋" w:eastAsia="仿宋" w:cs="宋体"/>
          <w:b/>
          <w:color w:val="000000"/>
          <w:kern w:val="0"/>
          <w:sz w:val="24"/>
        </w:rPr>
      </w:pPr>
    </w:p>
    <w:p>
      <w:pPr>
        <w:pStyle w:val="10"/>
        <w:ind w:firstLine="482"/>
        <w:rPr>
          <w:rFonts w:ascii="仿宋" w:hAnsi="仿宋" w:eastAsia="仿宋" w:cs="宋体"/>
          <w:b/>
          <w:color w:val="000000"/>
          <w:kern w:val="0"/>
          <w:sz w:val="24"/>
        </w:rPr>
      </w:pPr>
    </w:p>
    <w:p>
      <w:pPr>
        <w:pStyle w:val="10"/>
        <w:ind w:firstLine="482"/>
        <w:rPr>
          <w:rFonts w:ascii="仿宋" w:hAnsi="仿宋" w:eastAsia="仿宋" w:cs="宋体"/>
          <w:b/>
          <w:color w:val="000000"/>
          <w:kern w:val="0"/>
          <w:sz w:val="24"/>
        </w:rPr>
      </w:pPr>
    </w:p>
    <w:p>
      <w:pPr>
        <w:pStyle w:val="10"/>
        <w:ind w:firstLine="482"/>
        <w:rPr>
          <w:rFonts w:ascii="仿宋" w:hAnsi="仿宋" w:eastAsia="仿宋" w:cs="宋体"/>
          <w:b/>
          <w:color w:val="000000"/>
          <w:kern w:val="0"/>
          <w:sz w:val="24"/>
        </w:rPr>
      </w:pPr>
    </w:p>
    <w:p>
      <w:pPr>
        <w:pStyle w:val="10"/>
        <w:ind w:firstLine="482"/>
        <w:rPr>
          <w:rFonts w:ascii="仿宋" w:hAnsi="仿宋" w:eastAsia="仿宋" w:cs="宋体"/>
          <w:b/>
          <w:color w:val="000000"/>
          <w:kern w:val="0"/>
          <w:sz w:val="24"/>
        </w:rPr>
      </w:pPr>
    </w:p>
    <w:p>
      <w:pPr>
        <w:pStyle w:val="10"/>
        <w:ind w:firstLine="482"/>
        <w:rPr>
          <w:rFonts w:ascii="仿宋" w:hAnsi="仿宋" w:eastAsia="仿宋" w:cs="宋体"/>
          <w:b/>
          <w:color w:val="000000"/>
          <w:kern w:val="0"/>
          <w:sz w:val="24"/>
        </w:rPr>
      </w:pPr>
    </w:p>
    <w:p>
      <w:pPr>
        <w:pStyle w:val="10"/>
        <w:ind w:firstLine="482"/>
        <w:rPr>
          <w:rFonts w:ascii="仿宋" w:hAnsi="仿宋" w:eastAsia="仿宋" w:cs="宋体"/>
          <w:b/>
          <w:color w:val="000000"/>
          <w:kern w:val="0"/>
          <w:sz w:val="24"/>
        </w:rPr>
      </w:pPr>
      <w:r>
        <w:rPr>
          <w:rFonts w:hint="eastAsia" w:ascii="仿宋" w:hAnsi="仿宋" w:eastAsia="仿宋" w:cs="宋体"/>
          <w:b/>
          <w:color w:val="000000"/>
          <w:kern w:val="0"/>
          <w:sz w:val="24"/>
        </w:rPr>
        <w:t>附件6：</w:t>
      </w:r>
    </w:p>
    <w:p>
      <w:r>
        <w:rPr>
          <w:rFonts w:hint="eastAsia"/>
        </w:rPr>
        <w:drawing>
          <wp:inline distT="0" distB="0" distL="114300" distR="114300">
            <wp:extent cx="5966460" cy="4171315"/>
            <wp:effectExtent l="0" t="0" r="15240" b="635"/>
            <wp:docPr id="1" name="图片 1" descr="16545902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590247044"/>
                    <pic:cNvPicPr>
                      <a:picLocks noChangeAspect="1"/>
                    </pic:cNvPicPr>
                  </pic:nvPicPr>
                  <pic:blipFill>
                    <a:blip r:embed="rId7" cstate="print"/>
                    <a:stretch>
                      <a:fillRect/>
                    </a:stretch>
                  </pic:blipFill>
                  <pic:spPr>
                    <a:xfrm>
                      <a:off x="0" y="0"/>
                      <a:ext cx="5966460" cy="4171315"/>
                    </a:xfrm>
                    <a:prstGeom prst="rect">
                      <a:avLst/>
                    </a:prstGeom>
                  </pic:spPr>
                </pic:pic>
              </a:graphicData>
            </a:graphic>
          </wp:inline>
        </w:drawing>
      </w:r>
    </w:p>
    <w:sectPr>
      <w:footerReference r:id="rId5" w:type="default"/>
      <w:pgSz w:w="11906" w:h="16838"/>
      <w:pgMar w:top="1588" w:right="1134" w:bottom="1247" w:left="1361" w:header="907" w:footer="851" w:gutter="0"/>
      <w:cols w:space="425" w:num="1"/>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16</w:t>
    </w:r>
    <w:r>
      <w:rPr>
        <w:b/>
        <w:sz w:val="24"/>
        <w:szCs w:val="24"/>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chineseCountingThousand"/>
      <w:lvlText w:val="（%1）"/>
      <w:lvlJc w:val="left"/>
      <w:pPr>
        <w:tabs>
          <w:tab w:val="left" w:pos="0"/>
        </w:tabs>
        <w:ind w:left="1247" w:hanging="887"/>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F"/>
    <w:multiLevelType w:val="multilevel"/>
    <w:tmpl w:val="0000000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IwY2YyZGU3MzQwOGQwY2E0ZWQ1ZWU1YjNjOTk0YmYifQ=="/>
  </w:docVars>
  <w:rsids>
    <w:rsidRoot w:val="4FE06133"/>
    <w:rsid w:val="000223F6"/>
    <w:rsid w:val="000251B3"/>
    <w:rsid w:val="0002575D"/>
    <w:rsid w:val="00110D7B"/>
    <w:rsid w:val="00163184"/>
    <w:rsid w:val="00192682"/>
    <w:rsid w:val="001A41A5"/>
    <w:rsid w:val="001F2FA6"/>
    <w:rsid w:val="003D14AA"/>
    <w:rsid w:val="00461C66"/>
    <w:rsid w:val="004F6AFC"/>
    <w:rsid w:val="005C7FEB"/>
    <w:rsid w:val="006612DA"/>
    <w:rsid w:val="007860ED"/>
    <w:rsid w:val="00806784"/>
    <w:rsid w:val="008A178A"/>
    <w:rsid w:val="009378FC"/>
    <w:rsid w:val="009D1B3F"/>
    <w:rsid w:val="009D52BB"/>
    <w:rsid w:val="00A27B9C"/>
    <w:rsid w:val="00A70121"/>
    <w:rsid w:val="00A96517"/>
    <w:rsid w:val="00AB6854"/>
    <w:rsid w:val="00AF1B56"/>
    <w:rsid w:val="00B64C44"/>
    <w:rsid w:val="00B95CE5"/>
    <w:rsid w:val="00C35E48"/>
    <w:rsid w:val="00D53B2E"/>
    <w:rsid w:val="00DB4F12"/>
    <w:rsid w:val="00E726A4"/>
    <w:rsid w:val="00EA7CB4"/>
    <w:rsid w:val="00F5481B"/>
    <w:rsid w:val="00F80026"/>
    <w:rsid w:val="00FF05EA"/>
    <w:rsid w:val="02D62984"/>
    <w:rsid w:val="036563F5"/>
    <w:rsid w:val="06A00F5C"/>
    <w:rsid w:val="09264AD4"/>
    <w:rsid w:val="0CCE1073"/>
    <w:rsid w:val="0E8B73B1"/>
    <w:rsid w:val="238665DB"/>
    <w:rsid w:val="252044E9"/>
    <w:rsid w:val="32C815D3"/>
    <w:rsid w:val="354A5970"/>
    <w:rsid w:val="39304108"/>
    <w:rsid w:val="3AB752D4"/>
    <w:rsid w:val="3F49440B"/>
    <w:rsid w:val="416F5AF6"/>
    <w:rsid w:val="47EB7FC5"/>
    <w:rsid w:val="4FE06133"/>
    <w:rsid w:val="52F45C6B"/>
    <w:rsid w:val="59E72D9E"/>
    <w:rsid w:val="60EF707D"/>
    <w:rsid w:val="63816231"/>
    <w:rsid w:val="6E4852AF"/>
    <w:rsid w:val="78FE1537"/>
    <w:rsid w:val="7A94368B"/>
    <w:rsid w:val="7EA42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alloon Text"/>
    <w:basedOn w:val="1"/>
    <w:link w:val="13"/>
    <w:qFormat/>
    <w:uiPriority w:val="0"/>
    <w:rPr>
      <w:sz w:val="18"/>
      <w:szCs w:val="18"/>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0"/>
    <w:rPr>
      <w:b/>
    </w:rPr>
  </w:style>
  <w:style w:type="character" w:styleId="9">
    <w:name w:val="page number"/>
    <w:basedOn w:val="7"/>
    <w:qFormat/>
    <w:uiPriority w:val="0"/>
  </w:style>
  <w:style w:type="paragraph" w:customStyle="1" w:styleId="10">
    <w:name w:val="_Style 3"/>
    <w:basedOn w:val="1"/>
    <w:qFormat/>
    <w:uiPriority w:val="0"/>
    <w:pPr>
      <w:ind w:firstLine="420" w:firstLineChars="200"/>
    </w:pPr>
    <w:rPr>
      <w:sz w:val="20"/>
    </w:rPr>
  </w:style>
  <w:style w:type="character" w:customStyle="1" w:styleId="11">
    <w:name w:val="页眉 Char"/>
    <w:basedOn w:val="7"/>
    <w:link w:val="5"/>
    <w:qFormat/>
    <w:uiPriority w:val="0"/>
    <w:rPr>
      <w:rFonts w:ascii="Times New Roman" w:hAnsi="Times New Roman" w:eastAsia="宋体" w:cs="Times New Roman"/>
      <w:kern w:val="2"/>
      <w:sz w:val="18"/>
      <w:szCs w:val="18"/>
    </w:rPr>
  </w:style>
  <w:style w:type="paragraph" w:styleId="12">
    <w:name w:val="List Paragraph"/>
    <w:basedOn w:val="1"/>
    <w:qFormat/>
    <w:uiPriority w:val="99"/>
    <w:pPr>
      <w:ind w:firstLine="420" w:firstLineChars="200"/>
    </w:pPr>
  </w:style>
  <w:style w:type="character" w:customStyle="1" w:styleId="13">
    <w:name w:val="批注框文本 Char"/>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16</Pages>
  <Words>7280</Words>
  <Characters>7749</Characters>
  <Lines>59</Lines>
  <Paragraphs>16</Paragraphs>
  <TotalTime>8</TotalTime>
  <ScaleCrop>false</ScaleCrop>
  <LinksUpToDate>false</LinksUpToDate>
  <CharactersWithSpaces>8163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2022-06-06T13:00:00Z</dcterms:created>
  <dc:creator>i知道1</dc:creator>
  <cp:lastModifiedBy>蔡小文</cp:lastModifiedBy>
  <cp:lastPrinted>2022-06-08T00:38:00Z</cp:lastPrinted>
  <dcterms:modified xsi:type="dcterms:W3CDTF">2022-07-05T01:40:14Z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2FA148D2482A41C18BF5AE85B517A6CA</vt:lpwstr>
  </property>
</Properties>
</file>