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firstLine="1084" w:firstLineChars="300"/>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w:t>
      </w:r>
      <w:r>
        <w:rPr>
          <w:rFonts w:hint="eastAsia"/>
          <w:b/>
          <w:sz w:val="36"/>
          <w:u w:val="single"/>
        </w:rPr>
        <w:t>思政教学辅助系统采购项目</w:t>
      </w:r>
      <w:r>
        <w:rPr>
          <w:rFonts w:hint="eastAsia" w:ascii="宋体" w:hAnsi="宋体"/>
          <w:b/>
          <w:sz w:val="36"/>
          <w:u w:val="single"/>
        </w:rPr>
        <w:t>　</w:t>
      </w:r>
    </w:p>
    <w:p>
      <w:pPr>
        <w:spacing w:line="760" w:lineRule="exact"/>
        <w:ind w:firstLine="1084" w:firstLineChars="300"/>
        <w:rPr>
          <w:rFonts w:ascii="宋体" w:hAnsi="宋体"/>
          <w:b/>
          <w:sz w:val="36"/>
          <w:szCs w:val="36"/>
          <w:u w:val="single"/>
        </w:rPr>
      </w:pPr>
      <w:r>
        <w:rPr>
          <w:rFonts w:hint="eastAsia"/>
          <w:b/>
          <w:sz w:val="36"/>
          <w:szCs w:val="36"/>
        </w:rPr>
        <w:t>采购单位：</w:t>
      </w:r>
      <w:r>
        <w:rPr>
          <w:rFonts w:hint="eastAsia" w:ascii="宋体" w:hAnsi="宋体"/>
          <w:b/>
          <w:sz w:val="36"/>
          <w:u w:val="single"/>
        </w:rPr>
        <w:t>广东财经大学马克思主义学院</w:t>
      </w:r>
    </w:p>
    <w:p>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2023年10月16日                   </w:t>
      </w:r>
    </w:p>
    <w:p>
      <w:pPr>
        <w:spacing w:line="760" w:lineRule="exact"/>
        <w:ind w:firstLine="1084" w:firstLineChars="300"/>
        <w:rPr>
          <w:rFonts w:ascii="宋体" w:hAnsi="宋体"/>
          <w:b/>
          <w:sz w:val="36"/>
          <w:szCs w:val="36"/>
          <w:u w:val="single"/>
        </w:rPr>
      </w:pPr>
    </w:p>
    <w:p>
      <w:pPr>
        <w:spacing w:line="1000" w:lineRule="exact"/>
        <w:jc w:val="center"/>
        <w:rPr>
          <w:rFonts w:ascii="黑体" w:eastAsia="黑体"/>
          <w:b/>
          <w:sz w:val="72"/>
          <w:szCs w:val="72"/>
        </w:rPr>
      </w:pPr>
    </w:p>
    <w:p>
      <w:pPr>
        <w:jc w:val="center"/>
        <w:rPr>
          <w:b/>
          <w:sz w:val="52"/>
          <w:szCs w:val="52"/>
        </w:rPr>
      </w:pPr>
      <w:r>
        <w:rPr>
          <w:rFonts w:ascii="宋体" w:hAnsi="宋体"/>
          <w:sz w:val="32"/>
          <w:szCs w:val="32"/>
        </w:rPr>
        <w:br w:type="column"/>
      </w:r>
      <w:r>
        <w:rPr>
          <w:rFonts w:hint="eastAsia"/>
          <w:sz w:val="52"/>
          <w:szCs w:val="52"/>
        </w:rPr>
        <w:t>目录</w:t>
      </w:r>
    </w:p>
    <w:p>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60236697"/>
      <w:bookmarkStart w:id="1" w:name="_Toc508103135"/>
      <w:bookmarkStart w:id="2" w:name="_Toc508103350"/>
      <w:r>
        <w:br w:type="page"/>
      </w:r>
    </w:p>
    <w:p>
      <w:pPr>
        <w:pStyle w:val="2"/>
      </w:pPr>
      <w:bookmarkStart w:id="3" w:name="_Toc1048"/>
      <w:r>
        <w:t xml:space="preserve">第一部分   </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pPr>
      <w:bookmarkStart w:id="4" w:name="_Toc508103351"/>
      <w:bookmarkStart w:id="5" w:name="_Toc60236698"/>
      <w:bookmarkStart w:id="6" w:name="_Toc16574"/>
      <w:r>
        <w:rPr>
          <w:rFonts w:hint="eastAsia"/>
        </w:rPr>
        <w:t>一、采购项目</w:t>
      </w:r>
      <w:bookmarkEnd w:id="4"/>
      <w:bookmarkEnd w:id="5"/>
      <w:r>
        <w:rPr>
          <w:rFonts w:hint="eastAsia"/>
        </w:rPr>
        <w:t>概况</w:t>
      </w:r>
      <w:bookmarkEnd w:id="6"/>
    </w:p>
    <w:p>
      <w:pPr>
        <w:widowControl/>
        <w:spacing w:line="360" w:lineRule="auto"/>
        <w:ind w:firstLine="480"/>
        <w:jc w:val="left"/>
        <w:rPr>
          <w:rFonts w:ascii="宋体" w:hAnsi="宋体" w:cs="微软雅黑"/>
          <w:sz w:val="28"/>
          <w:szCs w:val="28"/>
        </w:rPr>
      </w:pPr>
      <w:r>
        <w:rPr>
          <w:rFonts w:hint="eastAsia" w:ascii="宋体" w:hAnsi="宋体" w:cs="微软雅黑"/>
          <w:sz w:val="28"/>
          <w:szCs w:val="28"/>
        </w:rPr>
        <w:t>2018年4月，教育部印发了《新时代高校思想政治理论课教学工作基本要求》。《要求》指出，要明确指导思想……不断提升思想政治理论课的亲和力和针对性；要坚持基本原则……坚持全流程管理，贯穿思想政治理论课课前、课中、课后各环节；要创新集体备课形式……注重运用新媒体新技术开展集体备课，提升集体备课效果；要科学运用教学方法……坚持以学生为主体，以教师为主导，加强生师互动，注重调动学生积极性主动性。《要求》进一步对新时代下的高校思想政治理论课教学做出指导和规范。</w:t>
      </w:r>
    </w:p>
    <w:p>
      <w:pPr>
        <w:widowControl/>
        <w:spacing w:line="360" w:lineRule="auto"/>
        <w:ind w:firstLine="480"/>
        <w:jc w:val="left"/>
        <w:rPr>
          <w:rFonts w:ascii="宋体" w:hAnsi="宋体" w:cs="微软雅黑"/>
          <w:sz w:val="28"/>
          <w:szCs w:val="28"/>
        </w:rPr>
      </w:pPr>
      <w:r>
        <w:rPr>
          <w:rFonts w:hint="eastAsia" w:ascii="宋体" w:hAnsi="宋体" w:cs="微软雅黑"/>
          <w:sz w:val="28"/>
          <w:szCs w:val="28"/>
        </w:rPr>
        <w:t>在这样的政策和时代背景下，为响应党和国家号召，贯彻落实各项指导文件要求，进一步推动高校思政课程建设和大学生思想政治教育发展，辅助思想政治课程课堂教学，推进我校马克思主义学院信息化建设，我校计划引入思政教学辅助系统服务。</w:t>
      </w:r>
    </w:p>
    <w:p>
      <w:pPr>
        <w:widowControl/>
        <w:spacing w:line="360" w:lineRule="auto"/>
        <w:ind w:firstLine="480"/>
        <w:jc w:val="left"/>
        <w:rPr>
          <w:rFonts w:ascii="宋体" w:hAnsi="宋体" w:cs="微软雅黑"/>
          <w:sz w:val="28"/>
          <w:szCs w:val="28"/>
        </w:rPr>
      </w:pPr>
      <w:r>
        <w:rPr>
          <w:rFonts w:hint="eastAsia" w:ascii="宋体" w:hAnsi="宋体" w:cs="微软雅黑"/>
          <w:sz w:val="28"/>
          <w:szCs w:val="28"/>
        </w:rPr>
        <w:t>服务项目应包括优质的思政教学资源服务和课堂互动系统服务，贯穿思政课程课前、课中、课后各教学环节，可实现思政课程建设、线上线下混合教学、思政无纸化考试，为我校思政教学提供完善服务。</w:t>
      </w:r>
    </w:p>
    <w:p>
      <w:pPr>
        <w:spacing w:line="560" w:lineRule="exact"/>
        <w:ind w:firstLine="562" w:firstLineChars="200"/>
        <w:rPr>
          <w:rFonts w:ascii="宋体" w:hAnsi="宋体"/>
          <w:b/>
          <w:bCs/>
          <w:sz w:val="28"/>
          <w:szCs w:val="28"/>
        </w:rPr>
      </w:pPr>
      <w:r>
        <w:rPr>
          <w:rFonts w:hint="eastAsia" w:ascii="宋体" w:hAnsi="宋体"/>
          <w:b/>
          <w:bCs/>
          <w:sz w:val="28"/>
          <w:szCs w:val="28"/>
        </w:rPr>
        <w:t>本项目采购预算控制价</w:t>
      </w:r>
      <w:r>
        <w:rPr>
          <w:rFonts w:ascii="宋体" w:hAnsi="宋体"/>
          <w:b/>
          <w:bCs/>
          <w:sz w:val="28"/>
          <w:szCs w:val="28"/>
        </w:rPr>
        <w:t>9</w:t>
      </w:r>
      <w:r>
        <w:rPr>
          <w:rFonts w:hint="eastAsia" w:ascii="宋体" w:hAnsi="宋体"/>
          <w:b/>
          <w:bCs/>
          <w:sz w:val="28"/>
          <w:szCs w:val="28"/>
        </w:rPr>
        <w:t>万元，</w:t>
      </w:r>
      <w:r>
        <w:rPr>
          <w:rFonts w:ascii="宋体" w:hAnsi="宋体"/>
          <w:b/>
          <w:bCs/>
          <w:sz w:val="28"/>
          <w:szCs w:val="28"/>
        </w:rPr>
        <w:t>资金已到位。</w:t>
      </w:r>
    </w:p>
    <w:p>
      <w:pPr>
        <w:pStyle w:val="3"/>
        <w:spacing w:line="560" w:lineRule="exact"/>
      </w:pPr>
      <w:bookmarkStart w:id="7" w:name="_Toc28829"/>
      <w:bookmarkStart w:id="8" w:name="_Toc60236699"/>
      <w:bookmarkStart w:id="9" w:name="_Toc508103352"/>
      <w:r>
        <w:rPr>
          <w:rFonts w:hint="eastAsia"/>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60236700"/>
      <w:bookmarkStart w:id="11" w:name="_Toc508103353"/>
      <w:bookmarkStart w:id="12" w:name="_Toc11839"/>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pStyle w:val="3"/>
        <w:spacing w:line="560" w:lineRule="exact"/>
      </w:pPr>
      <w:bookmarkStart w:id="13" w:name="_Toc20873"/>
      <w:bookmarkStart w:id="14" w:name="_Toc508103354"/>
      <w:bookmarkStart w:id="15" w:name="_Toc60236701"/>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3"/>
        <w:spacing w:line="560" w:lineRule="exact"/>
      </w:pPr>
      <w:bookmarkStart w:id="16" w:name="_Toc18253"/>
      <w:bookmarkStart w:id="17" w:name="_Toc60236702"/>
      <w:bookmarkStart w:id="18" w:name="_Toc508103355"/>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60236703"/>
      <w:bookmarkStart w:id="20" w:name="_Toc10890"/>
      <w:bookmarkStart w:id="21" w:name="_Toc508103356"/>
      <w:r>
        <w:rPr>
          <w:rFonts w:hint="eastAsia"/>
        </w:rPr>
        <w:t>六、评审</w:t>
      </w:r>
      <w:r>
        <w:t>方法</w:t>
      </w:r>
      <w:r>
        <w:rPr>
          <w:rFonts w:hint="eastAsia"/>
        </w:rPr>
        <w:t>及原则</w:t>
      </w:r>
      <w:bookmarkEnd w:id="19"/>
      <w:bookmarkEnd w:id="20"/>
      <w:bookmarkEnd w:id="21"/>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w:t>
      </w:r>
      <w:r>
        <w:rPr>
          <w:rFonts w:hint="eastAsia" w:ascii="宋体" w:hAnsi="宋体"/>
          <w:b/>
          <w:bCs/>
          <w:sz w:val="28"/>
          <w:szCs w:val="28"/>
          <w:u w:val="single"/>
        </w:rPr>
        <w:t>（二）</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本项目采用方式 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pPr>
      <w:bookmarkStart w:id="22" w:name="_Toc18663"/>
      <w:r>
        <w:rPr>
          <w:rFonts w:hint="eastAsia"/>
        </w:rPr>
        <w:t>成交供应商确定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rPr>
          <w:rFonts w:ascii="宋体" w:hAnsi="宋体"/>
          <w:b/>
          <w:bCs/>
          <w:sz w:val="28"/>
          <w:szCs w:val="28"/>
        </w:rPr>
      </w:pPr>
      <w:r>
        <w:rPr>
          <w:rFonts w:hint="eastAsia" w:ascii="宋体" w:hAnsi="宋体"/>
          <w:b/>
          <w:bCs/>
          <w:sz w:val="28"/>
          <w:szCs w:val="28"/>
        </w:rPr>
        <w:br w:type="page"/>
      </w:r>
    </w:p>
    <w:p>
      <w:pPr>
        <w:spacing w:line="560" w:lineRule="exact"/>
        <w:ind w:firstLine="562" w:firstLineChars="200"/>
        <w:rPr>
          <w:rFonts w:ascii="宋体" w:hAnsi="宋体"/>
          <w:b/>
          <w:sz w:val="28"/>
          <w:szCs w:val="28"/>
        </w:rPr>
      </w:pPr>
      <w:r>
        <w:rPr>
          <w:rFonts w:hint="eastAsia" w:ascii="宋体" w:hAnsi="宋体"/>
          <w:b/>
          <w:sz w:val="28"/>
          <w:szCs w:val="28"/>
        </w:rPr>
        <w:t>附表2：</w:t>
      </w:r>
    </w:p>
    <w:p>
      <w:pPr>
        <w:spacing w:line="560" w:lineRule="exact"/>
        <w:ind w:firstLine="562" w:firstLineChars="200"/>
        <w:jc w:val="center"/>
        <w:rPr>
          <w:rFonts w:ascii="宋体" w:hAnsi="宋体"/>
          <w:b/>
          <w:bCs/>
          <w:sz w:val="28"/>
          <w:szCs w:val="28"/>
        </w:rPr>
      </w:pPr>
      <w:r>
        <w:rPr>
          <w:rFonts w:hint="eastAsia" w:ascii="宋体" w:hAnsi="宋体"/>
          <w:b/>
          <w:bCs/>
          <w:sz w:val="28"/>
          <w:szCs w:val="28"/>
        </w:rPr>
        <w:t>详细评审表</w:t>
      </w:r>
    </w:p>
    <w:tbl>
      <w:tblPr>
        <w:tblStyle w:val="27"/>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980"/>
        <w:gridCol w:w="108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pPr>
              <w:jc w:val="center"/>
              <w:rPr>
                <w:b/>
                <w:sz w:val="24"/>
              </w:rPr>
            </w:pPr>
            <w:r>
              <w:rPr>
                <w:b/>
                <w:sz w:val="24"/>
              </w:rPr>
              <w:t>评审因素</w:t>
            </w:r>
          </w:p>
        </w:tc>
        <w:tc>
          <w:tcPr>
            <w:tcW w:w="1080" w:type="dxa"/>
            <w:noWrap/>
            <w:vAlign w:val="center"/>
          </w:tcPr>
          <w:p>
            <w:pPr>
              <w:jc w:val="center"/>
              <w:rPr>
                <w:b/>
                <w:sz w:val="24"/>
              </w:rPr>
            </w:pPr>
            <w:r>
              <w:rPr>
                <w:rFonts w:hint="eastAsia"/>
                <w:b/>
                <w:sz w:val="24"/>
              </w:rPr>
              <w:t>权重</w:t>
            </w:r>
          </w:p>
        </w:tc>
        <w:tc>
          <w:tcPr>
            <w:tcW w:w="5400" w:type="dxa"/>
            <w:noWrap/>
            <w:vAlign w:val="center"/>
          </w:tcPr>
          <w:p>
            <w:pPr>
              <w:jc w:val="center"/>
              <w:rPr>
                <w:b/>
                <w:sz w:val="24"/>
              </w:rPr>
            </w:pPr>
            <w:r>
              <w:rPr>
                <w:b/>
                <w:sz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pPr>
              <w:jc w:val="center"/>
              <w:rPr>
                <w:sz w:val="24"/>
              </w:rPr>
            </w:pPr>
            <w:r>
              <w:rPr>
                <w:rFonts w:hint="eastAsia"/>
                <w:sz w:val="24"/>
              </w:rPr>
              <w:t>报价</w:t>
            </w:r>
          </w:p>
          <w:p>
            <w:pPr>
              <w:jc w:val="center"/>
              <w:rPr>
                <w:sz w:val="24"/>
              </w:rPr>
            </w:pPr>
            <w:r>
              <w:rPr>
                <w:rFonts w:hint="eastAsia"/>
                <w:sz w:val="24"/>
              </w:rPr>
              <w:t>（采用低价优先法）</w:t>
            </w:r>
          </w:p>
        </w:tc>
        <w:tc>
          <w:tcPr>
            <w:tcW w:w="1080" w:type="dxa"/>
            <w:noWrap/>
            <w:vAlign w:val="center"/>
          </w:tcPr>
          <w:p>
            <w:pPr>
              <w:jc w:val="center"/>
              <w:rPr>
                <w:sz w:val="24"/>
              </w:rPr>
            </w:pPr>
            <w:r>
              <w:rPr>
                <w:sz w:val="24"/>
              </w:rPr>
              <w:t>10</w:t>
            </w:r>
          </w:p>
        </w:tc>
        <w:tc>
          <w:tcPr>
            <w:tcW w:w="5400" w:type="dxa"/>
            <w:noWrap/>
            <w:vAlign w:val="center"/>
          </w:tcPr>
          <w:p>
            <w:pPr>
              <w:ind w:left="-2" w:leftChars="-1"/>
              <w:rPr>
                <w:sz w:val="24"/>
              </w:rPr>
            </w:pPr>
            <w:r>
              <w:rPr>
                <w:sz w:val="24"/>
              </w:rPr>
              <w:t>满足</w:t>
            </w:r>
            <w:r>
              <w:rPr>
                <w:rFonts w:hint="eastAsia"/>
                <w:sz w:val="24"/>
              </w:rPr>
              <w:t>采购书</w:t>
            </w:r>
            <w:r>
              <w:rPr>
                <w:sz w:val="24"/>
              </w:rPr>
              <w:t>要求且</w:t>
            </w:r>
            <w:r>
              <w:rPr>
                <w:rFonts w:hint="eastAsia"/>
                <w:sz w:val="24"/>
              </w:rPr>
              <w:t>最终报价</w:t>
            </w:r>
            <w:r>
              <w:rPr>
                <w:sz w:val="24"/>
              </w:rPr>
              <w:t>最低为评标基准价，其价格分为满分，其他</w:t>
            </w:r>
            <w:r>
              <w:rPr>
                <w:rFonts w:hint="eastAsia"/>
                <w:sz w:val="24"/>
              </w:rPr>
              <w:t>报价人</w:t>
            </w:r>
            <w:r>
              <w:rPr>
                <w:sz w:val="24"/>
              </w:rPr>
              <w:t>的价格分按</w:t>
            </w:r>
            <w:r>
              <w:rPr>
                <w:rFonts w:hint="eastAsia"/>
                <w:sz w:val="24"/>
              </w:rPr>
              <w:t>以</w:t>
            </w:r>
            <w:r>
              <w:rPr>
                <w:sz w:val="24"/>
              </w:rPr>
              <w:t>下公式计算：</w:t>
            </w:r>
            <w:r>
              <w:rPr>
                <w:rFonts w:hint="eastAsia"/>
                <w:sz w:val="24"/>
              </w:rPr>
              <w:t>报价</w:t>
            </w:r>
            <w:r>
              <w:rPr>
                <w:sz w:val="24"/>
              </w:rPr>
              <w:t>得分＝（评标基准价/</w:t>
            </w:r>
            <w:r>
              <w:rPr>
                <w:rFonts w:hint="eastAsia"/>
                <w:sz w:val="24"/>
              </w:rPr>
              <w:t>最终</w:t>
            </w:r>
            <w:r>
              <w:rPr>
                <w:sz w:val="24"/>
              </w:rPr>
              <w:t>报价）×10</w:t>
            </w:r>
            <w:r>
              <w:rPr>
                <w:rFonts w:hint="eastAsia"/>
                <w:sz w:val="24"/>
              </w:rPr>
              <w:t>（取小数点后二位）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vMerge w:val="restart"/>
            <w:noWrap/>
            <w:textDirection w:val="tbRlV"/>
            <w:vAlign w:val="center"/>
          </w:tcPr>
          <w:p>
            <w:pPr>
              <w:ind w:left="113" w:right="113"/>
              <w:jc w:val="center"/>
              <w:rPr>
                <w:sz w:val="24"/>
              </w:rPr>
            </w:pPr>
            <w:r>
              <w:rPr>
                <w:sz w:val="24"/>
              </w:rPr>
              <w:t>技术</w:t>
            </w:r>
            <w:r>
              <w:rPr>
                <w:rFonts w:hint="eastAsia"/>
                <w:sz w:val="24"/>
              </w:rPr>
              <w:t>因素</w:t>
            </w:r>
          </w:p>
        </w:tc>
        <w:tc>
          <w:tcPr>
            <w:tcW w:w="1980" w:type="dxa"/>
            <w:noWrap/>
            <w:vAlign w:val="center"/>
          </w:tcPr>
          <w:p>
            <w:pPr>
              <w:jc w:val="center"/>
              <w:rPr>
                <w:sz w:val="24"/>
              </w:rPr>
            </w:pPr>
            <w:r>
              <w:rPr>
                <w:rFonts w:hint="eastAsia" w:cs="宋体" w:asciiTheme="minorEastAsia" w:hAnsiTheme="minorEastAsia"/>
                <w:sz w:val="24"/>
              </w:rPr>
              <w:t>对技术参数响应情况</w:t>
            </w:r>
          </w:p>
        </w:tc>
        <w:tc>
          <w:tcPr>
            <w:tcW w:w="1080" w:type="dxa"/>
            <w:noWrap/>
            <w:vAlign w:val="center"/>
          </w:tcPr>
          <w:p>
            <w:pPr>
              <w:jc w:val="center"/>
              <w:rPr>
                <w:sz w:val="24"/>
              </w:rPr>
            </w:pPr>
            <w:r>
              <w:rPr>
                <w:sz w:val="24"/>
              </w:rPr>
              <w:t>15</w:t>
            </w:r>
          </w:p>
        </w:tc>
        <w:tc>
          <w:tcPr>
            <w:tcW w:w="5400" w:type="dxa"/>
            <w:noWrap/>
            <w:vAlign w:val="center"/>
          </w:tcPr>
          <w:p>
            <w:pPr>
              <w:spacing w:line="360" w:lineRule="exact"/>
              <w:rPr>
                <w:rFonts w:cs="宋体" w:asciiTheme="minorEastAsia" w:hAnsiTheme="minorEastAsia"/>
                <w:sz w:val="24"/>
              </w:rPr>
            </w:pPr>
            <w:r>
              <w:rPr>
                <w:rFonts w:hint="eastAsia" w:cs="宋体" w:asciiTheme="minorEastAsia" w:hAnsiTheme="minorEastAsia"/>
                <w:sz w:val="24"/>
              </w:rPr>
              <w:t>对比有效投标人所投产品带 “▲”条款的技术规格、参数指标，结合投标人产品材料的提供情况进行评比。全部满足得</w:t>
            </w:r>
            <w:r>
              <w:rPr>
                <w:rFonts w:cs="宋体" w:asciiTheme="minorEastAsia" w:hAnsiTheme="minorEastAsia"/>
                <w:sz w:val="24"/>
              </w:rPr>
              <w:t>1</w:t>
            </w:r>
            <w:r>
              <w:rPr>
                <w:rFonts w:hint="eastAsia" w:cs="宋体" w:asciiTheme="minorEastAsia" w:hAnsiTheme="minorEastAsia"/>
                <w:sz w:val="24"/>
              </w:rPr>
              <w:t>5分。</w:t>
            </w:r>
          </w:p>
          <w:p>
            <w:pPr>
              <w:spacing w:line="360" w:lineRule="exact"/>
              <w:rPr>
                <w:rFonts w:cs="宋体" w:asciiTheme="minorEastAsia" w:hAnsiTheme="minorEastAsia"/>
                <w:sz w:val="24"/>
              </w:rPr>
            </w:pPr>
            <w:r>
              <w:rPr>
                <w:rFonts w:hint="eastAsia" w:cs="宋体" w:asciiTheme="minorEastAsia" w:hAnsiTheme="minorEastAsia"/>
                <w:sz w:val="24"/>
              </w:rPr>
              <w:t>每负偏离“★”条款的，视为无效投标文件处理；</w:t>
            </w:r>
          </w:p>
          <w:p>
            <w:pPr>
              <w:spacing w:line="360" w:lineRule="exact"/>
              <w:rPr>
                <w:rFonts w:cs="宋体" w:asciiTheme="minorEastAsia" w:hAnsiTheme="minorEastAsia"/>
                <w:sz w:val="24"/>
              </w:rPr>
            </w:pPr>
            <w:r>
              <w:rPr>
                <w:rFonts w:hint="eastAsia" w:cs="宋体" w:asciiTheme="minorEastAsia" w:hAnsiTheme="minorEastAsia"/>
                <w:sz w:val="24"/>
              </w:rPr>
              <w:t>每负偏离“▲”条款的，每个扣</w:t>
            </w:r>
            <w:r>
              <w:rPr>
                <w:rFonts w:cs="宋体" w:asciiTheme="minorEastAsia" w:hAnsiTheme="minorEastAsia"/>
                <w:sz w:val="24"/>
              </w:rPr>
              <w:t>2</w:t>
            </w:r>
            <w:r>
              <w:rPr>
                <w:rFonts w:hint="eastAsia" w:cs="宋体" w:asciiTheme="minorEastAsia" w:hAnsiTheme="minorEastAsia"/>
                <w:sz w:val="24"/>
              </w:rPr>
              <w:t>分，扣完为止。</w:t>
            </w:r>
          </w:p>
          <w:p>
            <w:pPr>
              <w:spacing w:line="360" w:lineRule="exact"/>
              <w:rPr>
                <w:rFonts w:cs="宋体" w:asciiTheme="minorEastAsia" w:hAnsiTheme="minorEastAsia"/>
                <w:sz w:val="24"/>
              </w:rPr>
            </w:pPr>
            <w:r>
              <w:rPr>
                <w:rFonts w:hint="eastAsia" w:cs="宋体" w:asciiTheme="minorEastAsia" w:hAnsiTheme="minorEastAsia"/>
                <w:sz w:val="24"/>
              </w:rPr>
              <w:t>非“▲”条款每个不满足者扣1分，扣完为止。</w:t>
            </w:r>
          </w:p>
          <w:p>
            <w:pPr>
              <w:rPr>
                <w:sz w:val="24"/>
              </w:rPr>
            </w:pPr>
            <w:r>
              <w:rPr>
                <w:rFonts w:hint="eastAsia" w:cs="宋体" w:asciiTheme="minorEastAsia" w:hAnsiTheme="minorEastAsia"/>
                <w:b/>
                <w:sz w:val="24"/>
              </w:rPr>
              <w:t>提供虚假参数及证明文件者，中标后取消中标资格。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sz w:val="24"/>
              </w:rPr>
            </w:pPr>
          </w:p>
        </w:tc>
        <w:tc>
          <w:tcPr>
            <w:tcW w:w="1980" w:type="dxa"/>
            <w:noWrap/>
            <w:vAlign w:val="center"/>
          </w:tcPr>
          <w:p>
            <w:pPr>
              <w:jc w:val="center"/>
              <w:rPr>
                <w:sz w:val="24"/>
              </w:rPr>
            </w:pPr>
            <w:r>
              <w:rPr>
                <w:rFonts w:hint="eastAsia" w:cs="宋体" w:asciiTheme="minorEastAsia" w:hAnsiTheme="minorEastAsia"/>
                <w:sz w:val="24"/>
              </w:rPr>
              <w:t>服务方案</w:t>
            </w:r>
          </w:p>
        </w:tc>
        <w:tc>
          <w:tcPr>
            <w:tcW w:w="1080" w:type="dxa"/>
            <w:noWrap/>
            <w:vAlign w:val="center"/>
          </w:tcPr>
          <w:p>
            <w:pPr>
              <w:jc w:val="center"/>
              <w:rPr>
                <w:sz w:val="24"/>
              </w:rPr>
            </w:pPr>
            <w:r>
              <w:rPr>
                <w:sz w:val="24"/>
              </w:rPr>
              <w:t>15</w:t>
            </w:r>
          </w:p>
        </w:tc>
        <w:tc>
          <w:tcPr>
            <w:tcW w:w="5400" w:type="dxa"/>
            <w:noWrap/>
            <w:vAlign w:val="center"/>
          </w:tcPr>
          <w:p>
            <w:pPr>
              <w:pStyle w:val="102"/>
              <w:spacing w:before="0" w:after="0" w:line="360" w:lineRule="exact"/>
              <w:rPr>
                <w:rFonts w:cs="宋体" w:asciiTheme="minorEastAsia" w:hAnsiTheme="minorEastAsia" w:eastAsiaTheme="minorEastAsia"/>
                <w:szCs w:val="24"/>
                <w:lang w:val="zh-CN"/>
              </w:rPr>
            </w:pPr>
            <w:r>
              <w:rPr>
                <w:rFonts w:hint="eastAsia" w:cs="宋体" w:asciiTheme="minorEastAsia" w:hAnsiTheme="minorEastAsia" w:eastAsiaTheme="minorEastAsia"/>
                <w:szCs w:val="24"/>
                <w:lang w:val="zh-CN"/>
              </w:rPr>
              <w:t>优：投标人整体方案设计的先进性、合理性、完整性、可行性高，得</w:t>
            </w:r>
            <w:r>
              <w:rPr>
                <w:rFonts w:hint="eastAsia" w:cs="宋体" w:asciiTheme="minorEastAsia" w:hAnsiTheme="minorEastAsia" w:eastAsiaTheme="minorEastAsia"/>
                <w:szCs w:val="24"/>
              </w:rPr>
              <w:t>12</w:t>
            </w:r>
            <w:r>
              <w:rPr>
                <w:rFonts w:hint="eastAsia" w:cs="宋体" w:asciiTheme="minorEastAsia" w:hAnsiTheme="minorEastAsia" w:eastAsiaTheme="minorEastAsia"/>
                <w:szCs w:val="24"/>
                <w:lang w:val="zh-CN"/>
              </w:rPr>
              <w:t>-</w:t>
            </w:r>
            <w:r>
              <w:rPr>
                <w:rFonts w:cs="宋体" w:asciiTheme="minorEastAsia" w:hAnsiTheme="minorEastAsia" w:eastAsiaTheme="minorEastAsia"/>
                <w:szCs w:val="24"/>
                <w:lang w:val="zh-CN"/>
              </w:rPr>
              <w:t>1</w:t>
            </w:r>
            <w:r>
              <w:rPr>
                <w:rFonts w:hint="eastAsia" w:cs="宋体" w:asciiTheme="minorEastAsia" w:hAnsiTheme="minorEastAsia" w:eastAsiaTheme="minorEastAsia"/>
                <w:szCs w:val="24"/>
              </w:rPr>
              <w:t>5</w:t>
            </w:r>
            <w:r>
              <w:rPr>
                <w:rFonts w:hint="eastAsia" w:cs="宋体" w:asciiTheme="minorEastAsia" w:hAnsiTheme="minorEastAsia" w:eastAsiaTheme="minorEastAsia"/>
                <w:szCs w:val="24"/>
                <w:lang w:val="zh-CN"/>
              </w:rPr>
              <w:t>分；</w:t>
            </w:r>
          </w:p>
          <w:p>
            <w:pPr>
              <w:pStyle w:val="102"/>
              <w:spacing w:before="0" w:after="0" w:line="360" w:lineRule="exact"/>
              <w:rPr>
                <w:rFonts w:cs="宋体" w:asciiTheme="minorEastAsia" w:hAnsiTheme="minorEastAsia" w:eastAsiaTheme="minorEastAsia"/>
                <w:szCs w:val="24"/>
                <w:lang w:val="zh-CN"/>
              </w:rPr>
            </w:pPr>
            <w:r>
              <w:rPr>
                <w:rFonts w:hint="eastAsia" w:cs="宋体" w:asciiTheme="minorEastAsia" w:hAnsiTheme="minorEastAsia" w:eastAsiaTheme="minorEastAsia"/>
                <w:szCs w:val="24"/>
                <w:lang w:val="zh-CN"/>
              </w:rPr>
              <w:t>良：投标人整体方案设计的先进性、合理性、完整性、可行性较高，得</w:t>
            </w:r>
            <w:r>
              <w:rPr>
                <w:rFonts w:hint="eastAsia" w:cs="宋体" w:asciiTheme="minorEastAsia" w:hAnsiTheme="minorEastAsia" w:eastAsiaTheme="minorEastAsia"/>
                <w:szCs w:val="24"/>
              </w:rPr>
              <w:t>8</w:t>
            </w:r>
            <w:r>
              <w:rPr>
                <w:rFonts w:hint="eastAsia" w:cs="宋体" w:asciiTheme="minorEastAsia" w:hAnsiTheme="minorEastAsia" w:eastAsiaTheme="minorEastAsia"/>
                <w:szCs w:val="24"/>
                <w:lang w:val="zh-CN"/>
              </w:rPr>
              <w:t>-</w:t>
            </w:r>
            <w:r>
              <w:rPr>
                <w:rFonts w:hint="eastAsia" w:cs="宋体" w:asciiTheme="minorEastAsia" w:hAnsiTheme="minorEastAsia" w:eastAsiaTheme="minorEastAsia"/>
                <w:szCs w:val="24"/>
              </w:rPr>
              <w:t>11</w:t>
            </w:r>
            <w:r>
              <w:rPr>
                <w:rFonts w:hint="eastAsia" w:cs="宋体" w:asciiTheme="minorEastAsia" w:hAnsiTheme="minorEastAsia" w:eastAsiaTheme="minorEastAsia"/>
                <w:szCs w:val="24"/>
                <w:lang w:val="zh-CN"/>
              </w:rPr>
              <w:t>分；</w:t>
            </w:r>
          </w:p>
          <w:p>
            <w:pPr>
              <w:rPr>
                <w:sz w:val="24"/>
              </w:rPr>
            </w:pPr>
            <w:r>
              <w:rPr>
                <w:rFonts w:hint="eastAsia" w:cs="宋体" w:asciiTheme="minorEastAsia" w:hAnsiTheme="minorEastAsia" w:eastAsiaTheme="minorEastAsia"/>
                <w:sz w:val="24"/>
                <w:lang w:val="zh-CN"/>
              </w:rPr>
              <w:t>一般：投标人整体方案设计的先进性、合理性、完整性、可行性一般，得</w:t>
            </w:r>
            <w:r>
              <w:rPr>
                <w:rFonts w:cs="宋体" w:asciiTheme="minorEastAsia" w:hAnsiTheme="minorEastAsia" w:eastAsiaTheme="minorEastAsia"/>
                <w:sz w:val="24"/>
                <w:lang w:val="zh-CN"/>
              </w:rPr>
              <w:t>1</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7</w:t>
            </w:r>
            <w:r>
              <w:rPr>
                <w:rFonts w:hint="eastAsia" w:cs="宋体" w:asciiTheme="minorEastAsia" w:hAnsiTheme="minorEastAsia" w:eastAsiaTheme="minorEastAsia"/>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sz w:val="24"/>
              </w:rPr>
            </w:pPr>
          </w:p>
        </w:tc>
        <w:tc>
          <w:tcPr>
            <w:tcW w:w="1980" w:type="dxa"/>
            <w:noWrap/>
            <w:vAlign w:val="center"/>
          </w:tcPr>
          <w:p>
            <w:pPr>
              <w:jc w:val="center"/>
              <w:rPr>
                <w:rFonts w:cs="宋体" w:asciiTheme="minorEastAsia" w:hAnsiTheme="minorEastAsia"/>
                <w:sz w:val="24"/>
              </w:rPr>
            </w:pPr>
            <w:r>
              <w:rPr>
                <w:rFonts w:hint="eastAsia" w:cs="宋体" w:asciiTheme="minorEastAsia" w:hAnsiTheme="minorEastAsia"/>
                <w:sz w:val="24"/>
              </w:rPr>
              <w:t>服务内容演示</w:t>
            </w:r>
          </w:p>
        </w:tc>
        <w:tc>
          <w:tcPr>
            <w:tcW w:w="1080" w:type="dxa"/>
            <w:noWrap/>
            <w:vAlign w:val="center"/>
          </w:tcPr>
          <w:p>
            <w:pPr>
              <w:jc w:val="center"/>
              <w:rPr>
                <w:sz w:val="24"/>
              </w:rPr>
            </w:pPr>
            <w:r>
              <w:rPr>
                <w:rFonts w:hint="eastAsia"/>
                <w:sz w:val="24"/>
              </w:rPr>
              <w:t>1</w:t>
            </w:r>
            <w:r>
              <w:rPr>
                <w:sz w:val="24"/>
              </w:rPr>
              <w:t>5</w:t>
            </w:r>
          </w:p>
        </w:tc>
        <w:tc>
          <w:tcPr>
            <w:tcW w:w="5400" w:type="dxa"/>
            <w:noWrap/>
            <w:vAlign w:val="center"/>
          </w:tcPr>
          <w:p>
            <w:pPr>
              <w:pStyle w:val="103"/>
              <w:ind w:firstLine="0"/>
              <w:rPr>
                <w:rFonts w:asciiTheme="minorEastAsia" w:hAnsiTheme="minorEastAsia" w:eastAsiaTheme="minorEastAsia"/>
                <w:sz w:val="24"/>
                <w:szCs w:val="24"/>
              </w:rPr>
            </w:pPr>
            <w:r>
              <w:rPr>
                <w:rFonts w:hint="eastAsia" w:asciiTheme="minorEastAsia" w:hAnsiTheme="minorEastAsia" w:eastAsiaTheme="minorEastAsia"/>
                <w:sz w:val="24"/>
                <w:szCs w:val="24"/>
              </w:rPr>
              <w:t>必须使用真实服务内容进行演示，使用原型或PPT、视频等替代不得分。每成功演示一条得</w:t>
            </w:r>
            <w:r>
              <w:rPr>
                <w:rFonts w:asciiTheme="minorEastAsia" w:hAnsiTheme="minorEastAsia" w:eastAsiaTheme="minorEastAsia"/>
                <w:sz w:val="24"/>
                <w:szCs w:val="24"/>
              </w:rPr>
              <w:t>1</w:t>
            </w:r>
            <w:r>
              <w:rPr>
                <w:rFonts w:hint="eastAsia" w:asciiTheme="minorEastAsia" w:hAnsiTheme="minorEastAsia" w:eastAsiaTheme="minorEastAsia"/>
                <w:sz w:val="24"/>
                <w:szCs w:val="24"/>
              </w:rPr>
              <w:t>分，演示最多得</w:t>
            </w:r>
            <w:r>
              <w:rPr>
                <w:rFonts w:asciiTheme="minorEastAsia" w:hAnsiTheme="minorEastAsia" w:eastAsiaTheme="minorEastAsia"/>
                <w:sz w:val="24"/>
                <w:szCs w:val="24"/>
              </w:rPr>
              <w:t>1</w:t>
            </w:r>
            <w:r>
              <w:rPr>
                <w:rFonts w:hint="eastAsia" w:asciiTheme="minorEastAsia" w:hAnsiTheme="minorEastAsia" w:eastAsiaTheme="minorEastAsia"/>
                <w:sz w:val="24"/>
                <w:szCs w:val="24"/>
              </w:rPr>
              <w:t>5分。演示时间不得超过15分钟，电脑等演示设备投标人自带。</w:t>
            </w:r>
          </w:p>
          <w:p>
            <w:pPr>
              <w:pStyle w:val="103"/>
              <w:ind w:firstLine="0"/>
              <w:rPr>
                <w:rFonts w:asciiTheme="minorEastAsia" w:hAnsiTheme="minorEastAsia" w:eastAsiaTheme="minorEastAsia"/>
                <w:sz w:val="24"/>
                <w:szCs w:val="24"/>
              </w:rPr>
            </w:pPr>
            <w:r>
              <w:rPr>
                <w:rFonts w:hint="eastAsia" w:asciiTheme="minorEastAsia" w:hAnsiTheme="minorEastAsia" w:eastAsiaTheme="minorEastAsia"/>
                <w:sz w:val="24"/>
                <w:szCs w:val="24"/>
              </w:rPr>
              <w:t>演示内容如下：</w:t>
            </w:r>
          </w:p>
          <w:p>
            <w:pPr>
              <w:numPr>
                <w:ilvl w:val="0"/>
                <w:numId w:val="4"/>
              </w:numPr>
              <w:rPr>
                <w:rFonts w:cs="微软雅黑" w:asciiTheme="minorEastAsia" w:hAnsiTheme="minorEastAsia"/>
                <w:sz w:val="24"/>
              </w:rPr>
            </w:pPr>
            <w:r>
              <w:rPr>
                <w:rFonts w:hint="eastAsia"/>
                <w:sz w:val="24"/>
              </w:rPr>
              <w:t>需提供至少</w:t>
            </w:r>
            <w:r>
              <w:rPr>
                <w:sz w:val="24"/>
              </w:rPr>
              <w:t>4</w:t>
            </w:r>
            <w:r>
              <w:rPr>
                <w:rFonts w:hint="eastAsia"/>
                <w:sz w:val="24"/>
              </w:rPr>
              <w:t>门思政必修课程的相关课程章节案例。（评委任意选择1门课程，演示5个章节案例）</w:t>
            </w:r>
          </w:p>
          <w:p>
            <w:pPr>
              <w:numPr>
                <w:ilvl w:val="0"/>
                <w:numId w:val="4"/>
              </w:numPr>
              <w:rPr>
                <w:rFonts w:cs="微软雅黑" w:asciiTheme="minorEastAsia" w:hAnsiTheme="minorEastAsia"/>
                <w:sz w:val="24"/>
              </w:rPr>
            </w:pPr>
            <w:r>
              <w:rPr>
                <w:rFonts w:hint="eastAsia"/>
                <w:sz w:val="24"/>
              </w:rPr>
              <w:t>需提供教师个人云存储空间（云盘），每位教师至少50G以上；支持将文件上传至云盘中，随时随地进行下载，并可以在课程建设时引用云盘的资源。</w:t>
            </w:r>
          </w:p>
          <w:p>
            <w:pPr>
              <w:numPr>
                <w:ilvl w:val="0"/>
                <w:numId w:val="4"/>
              </w:numPr>
              <w:rPr>
                <w:rFonts w:cs="微软雅黑" w:asciiTheme="minorEastAsia" w:hAnsiTheme="minorEastAsia"/>
                <w:sz w:val="24"/>
              </w:rPr>
            </w:pPr>
            <w:r>
              <w:rPr>
                <w:rFonts w:hint="eastAsia"/>
                <w:sz w:val="24"/>
              </w:rPr>
              <w:t>需提供20门以上思政拓展课程，课程与思政核心知识内容高度关联，可以供学生选修扩展视野，也可以作为教学资源灵活拆分辅助教师备课和教学。</w:t>
            </w:r>
          </w:p>
          <w:p>
            <w:pPr>
              <w:numPr>
                <w:ilvl w:val="0"/>
                <w:numId w:val="4"/>
              </w:numPr>
              <w:rPr>
                <w:rFonts w:cs="微软雅黑" w:asciiTheme="minorEastAsia" w:hAnsiTheme="minorEastAsia"/>
                <w:sz w:val="24"/>
              </w:rPr>
            </w:pPr>
            <w:r>
              <w:rPr>
                <w:rFonts w:hint="eastAsia"/>
                <w:sz w:val="24"/>
              </w:rPr>
              <w:t>需提供电子图书、期刊、报纸杂志和学术视频等教学资源服务，教师在平台上建课时可以轻松调取这些资源，插入到课程中，或分享给学生。</w:t>
            </w:r>
          </w:p>
          <w:p>
            <w:pPr>
              <w:numPr>
                <w:ilvl w:val="0"/>
                <w:numId w:val="4"/>
              </w:numPr>
              <w:rPr>
                <w:rFonts w:cs="微软雅黑" w:asciiTheme="minorEastAsia" w:hAnsiTheme="minorEastAsia"/>
                <w:sz w:val="24"/>
              </w:rPr>
            </w:pPr>
            <w:r>
              <w:rPr>
                <w:rFonts w:hint="eastAsia"/>
                <w:sz w:val="24"/>
              </w:rPr>
              <w:t>需</w:t>
            </w:r>
            <w:r>
              <w:rPr>
                <w:rFonts w:hint="eastAsia" w:cs="微软雅黑" w:asciiTheme="minorEastAsia" w:hAnsiTheme="minorEastAsia"/>
                <w:sz w:val="24"/>
              </w:rPr>
              <w:t>支持在选用的资源视频中，任意时间点插入测验：上传视频后，可以在任意时间点插入测试题，包含单选题、多选题和对错题。</w:t>
            </w:r>
          </w:p>
          <w:p>
            <w:pPr>
              <w:numPr>
                <w:ilvl w:val="0"/>
                <w:numId w:val="4"/>
              </w:numPr>
              <w:rPr>
                <w:sz w:val="24"/>
              </w:rPr>
            </w:pPr>
            <w:r>
              <w:rPr>
                <w:rFonts w:hint="eastAsia" w:cs="微软雅黑" w:asciiTheme="minorEastAsia" w:hAnsiTheme="minorEastAsia"/>
                <w:sz w:val="24"/>
              </w:rPr>
              <w:t>需支持在选用的资源视频中，任意时间点插入图片或PPT，同时支持对插入的内容在时间轴上随意拖动。插入的PPT可以任意拖动位置，并可以跟视频窗口进行切换。</w:t>
            </w:r>
          </w:p>
          <w:p>
            <w:pPr>
              <w:numPr>
                <w:ilvl w:val="0"/>
                <w:numId w:val="4"/>
              </w:numPr>
              <w:rPr>
                <w:sz w:val="24"/>
              </w:rPr>
            </w:pPr>
            <w:r>
              <w:rPr>
                <w:rFonts w:hint="eastAsia" w:cs="微软雅黑" w:asciiTheme="minorEastAsia" w:hAnsiTheme="minorEastAsia"/>
                <w:sz w:val="24"/>
              </w:rPr>
              <w:t>需支持选用的资源视频中进行虚拟剪辑，可以将视频文件按照课程的要求剪辑成适当长度。</w:t>
            </w:r>
          </w:p>
          <w:p>
            <w:pPr>
              <w:numPr>
                <w:ilvl w:val="0"/>
                <w:numId w:val="4"/>
              </w:numPr>
              <w:rPr>
                <w:sz w:val="24"/>
              </w:rPr>
            </w:pPr>
            <w:r>
              <w:rPr>
                <w:rFonts w:hint="eastAsia" w:cs="微软雅黑" w:asciiTheme="minorEastAsia" w:hAnsiTheme="minorEastAsia"/>
                <w:sz w:val="24"/>
              </w:rPr>
              <w:t>需支持学院进行课程通知的即时消息，实时发送，实时接收，并可查看通知阅读状态，已读和未读名单。</w:t>
            </w:r>
          </w:p>
          <w:p>
            <w:pPr>
              <w:numPr>
                <w:ilvl w:val="0"/>
                <w:numId w:val="4"/>
              </w:numPr>
              <w:rPr>
                <w:rFonts w:cs="微软雅黑" w:asciiTheme="minorEastAsia" w:hAnsiTheme="minorEastAsia"/>
                <w:sz w:val="24"/>
              </w:rPr>
            </w:pPr>
            <w:r>
              <w:rPr>
                <w:rFonts w:hint="eastAsia" w:cs="微软雅黑" w:asciiTheme="minorEastAsia" w:hAnsiTheme="minorEastAsia"/>
                <w:sz w:val="24"/>
              </w:rPr>
              <w:t>需提供4门以上必修思政课程的最新题库，每门课不少于800题；</w:t>
            </w:r>
          </w:p>
          <w:p>
            <w:pPr>
              <w:numPr>
                <w:ilvl w:val="0"/>
                <w:numId w:val="4"/>
              </w:numPr>
              <w:rPr>
                <w:sz w:val="24"/>
              </w:rPr>
            </w:pPr>
            <w:r>
              <w:rPr>
                <w:rFonts w:hint="eastAsia" w:cs="微软雅黑" w:asciiTheme="minorEastAsia" w:hAnsiTheme="minorEastAsia"/>
                <w:sz w:val="24"/>
              </w:rPr>
              <w:t>需支持PC端、移动端、客户端考试服务，其中专门的考试客户端，能安装到马克思主义学院指定的考场，实现无纸化考试。</w:t>
            </w:r>
          </w:p>
          <w:p>
            <w:pPr>
              <w:numPr>
                <w:ilvl w:val="0"/>
                <w:numId w:val="4"/>
              </w:numPr>
              <w:rPr>
                <w:sz w:val="24"/>
              </w:rPr>
            </w:pPr>
            <w:r>
              <w:rPr>
                <w:rFonts w:hint="eastAsia" w:cs="微软雅黑" w:asciiTheme="minorEastAsia" w:hAnsiTheme="minorEastAsia"/>
                <w:sz w:val="24"/>
              </w:rPr>
              <w:t>智能组卷：设置好组卷逻辑之后，可以从指定的题库中按照设置的组卷逻辑进行随机抽题组卷，每次组卷数量上限不得低于15套。</w:t>
            </w:r>
          </w:p>
          <w:p>
            <w:pPr>
              <w:numPr>
                <w:ilvl w:val="0"/>
                <w:numId w:val="4"/>
              </w:numPr>
              <w:rPr>
                <w:rFonts w:cs="微软雅黑" w:asciiTheme="minorEastAsia" w:hAnsiTheme="minorEastAsia"/>
                <w:sz w:val="24"/>
              </w:rPr>
            </w:pPr>
            <w:r>
              <w:rPr>
                <w:rFonts w:hint="eastAsia" w:cs="微软雅黑" w:asciiTheme="minorEastAsia" w:hAnsiTheme="minorEastAsia"/>
                <w:sz w:val="24"/>
              </w:rPr>
              <w:t>人脸识别：考生在考试前需进行人脸核对，核对通过后才能参加考试。考生的整个答题过程进行人脸抓拍，抓拍间隔管理员可自行设定，抓拍所得照片将与数据库人脸照片进行比对，比对失败次数达到设置数量时将强制交卷。</w:t>
            </w:r>
          </w:p>
          <w:p>
            <w:pPr>
              <w:numPr>
                <w:ilvl w:val="0"/>
                <w:numId w:val="4"/>
              </w:numPr>
              <w:rPr>
                <w:rFonts w:cs="微软雅黑" w:asciiTheme="minorEastAsia" w:hAnsiTheme="minorEastAsia"/>
                <w:sz w:val="24"/>
              </w:rPr>
            </w:pPr>
            <w:r>
              <w:rPr>
                <w:rFonts w:hint="eastAsia" w:cs="微软雅黑" w:asciiTheme="minorEastAsia" w:hAnsiTheme="minorEastAsia"/>
                <w:sz w:val="24"/>
              </w:rPr>
              <w:t>切屏监控：在考生考试过程中将全程监控考生的答题界面，对考生切出页面的次数与时长进行记录，达到设定值时将强制收卷。</w:t>
            </w:r>
          </w:p>
          <w:p>
            <w:pPr>
              <w:numPr>
                <w:ilvl w:val="0"/>
                <w:numId w:val="4"/>
              </w:numPr>
              <w:rPr>
                <w:rFonts w:cs="微软雅黑" w:asciiTheme="minorEastAsia" w:hAnsiTheme="minorEastAsia"/>
                <w:sz w:val="24"/>
              </w:rPr>
            </w:pPr>
            <w:r>
              <w:rPr>
                <w:rFonts w:hint="eastAsia" w:cs="微软雅黑" w:asciiTheme="minorEastAsia" w:hAnsiTheme="minorEastAsia"/>
                <w:sz w:val="24"/>
              </w:rPr>
              <w:t>监考教师：考试发布时可以指定监考教师，监考教师会收到监考任务，进行线上监考。监考教师需实时查看每位考生是否进入考试、进入时间、当前状态、IP地址、所在地区、人脸识别情况、违规次数、切屏次数等。</w:t>
            </w:r>
          </w:p>
          <w:p>
            <w:pPr>
              <w:pStyle w:val="102"/>
              <w:spacing w:before="0" w:after="0" w:line="360" w:lineRule="exact"/>
              <w:rPr>
                <w:rFonts w:cs="宋体" w:asciiTheme="minorEastAsia" w:hAnsiTheme="minorEastAsia" w:eastAsiaTheme="minorEastAsia"/>
                <w:szCs w:val="24"/>
                <w:lang w:val="zh-CN"/>
              </w:rPr>
            </w:pPr>
            <w:r>
              <w:rPr>
                <w:rFonts w:hint="eastAsia" w:cs="微软雅黑" w:asciiTheme="minorEastAsia" w:hAnsiTheme="minorEastAsia"/>
                <w:szCs w:val="24"/>
              </w:rPr>
              <w:t>查看考生详情：监考老师可随时查看每位考生的考试行为记录，详情以时间轴形式呈现，也可查看考试试卷。查看抓拍监控：将所有考生的抓拍监控画面以及人脸比对情况展示在一个页面上，便于监考老师更加直观了解每位考生当前的作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sz w:val="24"/>
              </w:rPr>
            </w:pPr>
          </w:p>
        </w:tc>
        <w:tc>
          <w:tcPr>
            <w:tcW w:w="1980" w:type="dxa"/>
            <w:noWrap/>
            <w:vAlign w:val="center"/>
          </w:tcPr>
          <w:p>
            <w:pPr>
              <w:jc w:val="center"/>
              <w:rPr>
                <w:rFonts w:cs="宋体" w:asciiTheme="minorEastAsia" w:hAnsiTheme="minorEastAsia"/>
                <w:sz w:val="24"/>
              </w:rPr>
            </w:pPr>
            <w:r>
              <w:rPr>
                <w:rFonts w:hint="eastAsia" w:cs="宋体" w:asciiTheme="minorEastAsia" w:hAnsiTheme="minorEastAsia"/>
                <w:sz w:val="24"/>
              </w:rPr>
              <w:t>售后方案</w:t>
            </w:r>
          </w:p>
        </w:tc>
        <w:tc>
          <w:tcPr>
            <w:tcW w:w="1080" w:type="dxa"/>
            <w:noWrap/>
            <w:vAlign w:val="center"/>
          </w:tcPr>
          <w:p>
            <w:pPr>
              <w:jc w:val="center"/>
              <w:rPr>
                <w:sz w:val="24"/>
              </w:rPr>
            </w:pPr>
            <w:r>
              <w:rPr>
                <w:rFonts w:hint="eastAsia" w:cs="宋体" w:asciiTheme="minorEastAsia" w:hAnsiTheme="minorEastAsia"/>
                <w:sz w:val="24"/>
              </w:rPr>
              <w:t>15</w:t>
            </w:r>
          </w:p>
        </w:tc>
        <w:tc>
          <w:tcPr>
            <w:tcW w:w="5400" w:type="dxa"/>
            <w:noWrap/>
            <w:vAlign w:val="center"/>
          </w:tcPr>
          <w:p>
            <w:pPr>
              <w:spacing w:line="360" w:lineRule="exact"/>
              <w:ind w:firstLine="480" w:firstLineChars="200"/>
              <w:rPr>
                <w:rFonts w:cs="宋体" w:asciiTheme="minorEastAsia" w:hAnsiTheme="minorEastAsia"/>
                <w:sz w:val="24"/>
              </w:rPr>
            </w:pPr>
            <w:r>
              <w:rPr>
                <w:rFonts w:hint="eastAsia" w:cs="宋体" w:asciiTheme="minorEastAsia" w:hAnsiTheme="minorEastAsia"/>
                <w:sz w:val="24"/>
              </w:rPr>
              <w:t>项目售后维保、服务实施方案的针对性、计划性、可操作性（包括但不限于技术与操作培训方案、质量保证措施、质保期限、维护方案及计划、故障维修响应的服务承诺）：</w:t>
            </w:r>
          </w:p>
          <w:p>
            <w:pPr>
              <w:spacing w:line="360" w:lineRule="exact"/>
              <w:rPr>
                <w:rFonts w:cs="宋体" w:asciiTheme="minorEastAsia" w:hAnsiTheme="minorEastAsia"/>
                <w:sz w:val="24"/>
              </w:rPr>
            </w:pPr>
            <w:r>
              <w:rPr>
                <w:rFonts w:hint="eastAsia" w:cs="宋体" w:asciiTheme="minorEastAsia" w:hAnsiTheme="minorEastAsia"/>
                <w:sz w:val="24"/>
              </w:rPr>
              <w:t>优：针对性强、具有计划性、可操作性高，得12-15分；</w:t>
            </w:r>
          </w:p>
          <w:p>
            <w:pPr>
              <w:spacing w:line="360" w:lineRule="exact"/>
              <w:rPr>
                <w:rFonts w:cs="宋体" w:asciiTheme="minorEastAsia" w:hAnsiTheme="minorEastAsia"/>
                <w:sz w:val="24"/>
              </w:rPr>
            </w:pPr>
            <w:r>
              <w:rPr>
                <w:rFonts w:hint="eastAsia" w:cs="宋体" w:asciiTheme="minorEastAsia" w:hAnsiTheme="minorEastAsia"/>
                <w:sz w:val="24"/>
              </w:rPr>
              <w:t>良：针对性较强、具有计划性、可操作性较高，得8-11分；</w:t>
            </w:r>
          </w:p>
          <w:p>
            <w:pPr>
              <w:spacing w:line="360" w:lineRule="exact"/>
              <w:rPr>
                <w:rFonts w:cs="宋体" w:asciiTheme="minorEastAsia" w:hAnsiTheme="minorEastAsia"/>
                <w:sz w:val="24"/>
              </w:rPr>
            </w:pPr>
            <w:r>
              <w:rPr>
                <w:rFonts w:hint="eastAsia" w:cs="宋体" w:asciiTheme="minorEastAsia" w:hAnsiTheme="minorEastAsia"/>
                <w:sz w:val="24"/>
              </w:rPr>
              <w:t>中：针对性一般、计划性一般、可操作性一般，得1-7分；</w:t>
            </w:r>
          </w:p>
          <w:p>
            <w:pPr>
              <w:pStyle w:val="102"/>
              <w:spacing w:before="0" w:after="0" w:line="360" w:lineRule="exact"/>
              <w:rPr>
                <w:rFonts w:cs="宋体" w:asciiTheme="minorEastAsia" w:hAnsiTheme="minorEastAsia" w:eastAsiaTheme="minorEastAsia"/>
                <w:szCs w:val="24"/>
                <w:lang w:val="zh-CN"/>
              </w:rPr>
            </w:pPr>
            <w:r>
              <w:rPr>
                <w:rFonts w:hint="eastAsia" w:cs="宋体" w:asciiTheme="minorEastAsia" w:hAnsiTheme="minorEastAsia"/>
                <w:szCs w:val="24"/>
              </w:rPr>
              <w:t>差：针对性差、没有计划性、可操作性低，不得分。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vMerge w:val="restart"/>
            <w:noWrap/>
            <w:textDirection w:val="tbRlV"/>
            <w:vAlign w:val="center"/>
          </w:tcPr>
          <w:p>
            <w:pPr>
              <w:ind w:left="113" w:leftChars="54" w:right="113" w:firstLine="600" w:firstLineChars="250"/>
              <w:jc w:val="center"/>
              <w:rPr>
                <w:sz w:val="24"/>
              </w:rPr>
            </w:pPr>
            <w:r>
              <w:rPr>
                <w:rFonts w:hint="eastAsia"/>
                <w:sz w:val="24"/>
              </w:rPr>
              <w:t>商务因素</w:t>
            </w:r>
          </w:p>
        </w:tc>
        <w:tc>
          <w:tcPr>
            <w:tcW w:w="1980" w:type="dxa"/>
            <w:noWrap/>
            <w:vAlign w:val="center"/>
          </w:tcPr>
          <w:p>
            <w:pPr>
              <w:jc w:val="center"/>
              <w:rPr>
                <w:sz w:val="24"/>
              </w:rPr>
            </w:pPr>
            <w:r>
              <w:rPr>
                <w:rFonts w:hint="eastAsia" w:asciiTheme="minorEastAsia" w:hAnsiTheme="minorEastAsia"/>
                <w:sz w:val="24"/>
              </w:rPr>
              <w:t>企业资质及信誉</w:t>
            </w:r>
          </w:p>
        </w:tc>
        <w:tc>
          <w:tcPr>
            <w:tcW w:w="1080" w:type="dxa"/>
            <w:noWrap/>
            <w:vAlign w:val="center"/>
          </w:tcPr>
          <w:p>
            <w:pPr>
              <w:jc w:val="center"/>
              <w:rPr>
                <w:sz w:val="24"/>
              </w:rPr>
            </w:pPr>
            <w:r>
              <w:rPr>
                <w:sz w:val="24"/>
              </w:rPr>
              <w:t>6</w:t>
            </w:r>
          </w:p>
        </w:tc>
        <w:tc>
          <w:tcPr>
            <w:tcW w:w="5400" w:type="dxa"/>
            <w:noWrap/>
            <w:vAlign w:val="center"/>
          </w:tcPr>
          <w:p>
            <w:pPr>
              <w:rPr>
                <w:rFonts w:cs="宋体" w:asciiTheme="minorEastAsia" w:hAnsiTheme="minorEastAsia"/>
                <w:sz w:val="24"/>
                <w:lang w:val="zh-CN"/>
              </w:rPr>
            </w:pPr>
            <w:r>
              <w:rPr>
                <w:rFonts w:hint="eastAsia" w:cs="宋体" w:asciiTheme="minorEastAsia" w:hAnsiTheme="minorEastAsia"/>
                <w:sz w:val="24"/>
                <w:lang w:val="zh-CN"/>
              </w:rPr>
              <w:t>1、</w:t>
            </w:r>
            <w:r>
              <w:rPr>
                <w:sz w:val="24"/>
              </w:rPr>
              <w:t>投标人具</w:t>
            </w:r>
            <w:r>
              <w:rPr>
                <w:rFonts w:hint="eastAsia"/>
                <w:sz w:val="24"/>
              </w:rPr>
              <w:t>有</w:t>
            </w:r>
            <w:r>
              <w:rPr>
                <w:sz w:val="24"/>
              </w:rPr>
              <w:t>有效期内的质量管理体系认证证书、</w:t>
            </w:r>
            <w:r>
              <w:rPr>
                <w:rFonts w:hint="eastAsia"/>
                <w:sz w:val="24"/>
              </w:rPr>
              <w:t>环境管理体系认证证书、职业健康安全管理体系认证证书</w:t>
            </w:r>
            <w:r>
              <w:rPr>
                <w:sz w:val="24"/>
              </w:rPr>
              <w:t>。每提供一个得</w:t>
            </w:r>
            <w:r>
              <w:rPr>
                <w:rFonts w:hint="eastAsia"/>
                <w:sz w:val="24"/>
              </w:rPr>
              <w:t>1</w:t>
            </w:r>
            <w:r>
              <w:rPr>
                <w:sz w:val="24"/>
              </w:rPr>
              <w:t>分,最多得</w:t>
            </w:r>
            <w:r>
              <w:rPr>
                <w:rFonts w:hint="eastAsia"/>
                <w:sz w:val="24"/>
              </w:rPr>
              <w:t>3</w:t>
            </w:r>
            <w:r>
              <w:rPr>
                <w:sz w:val="24"/>
              </w:rPr>
              <w:t>分。</w:t>
            </w:r>
          </w:p>
          <w:p>
            <w:pPr>
              <w:rPr>
                <w:rFonts w:asciiTheme="minorEastAsia" w:hAnsiTheme="minorEastAsia"/>
                <w:sz w:val="24"/>
              </w:rPr>
            </w:pPr>
            <w:r>
              <w:rPr>
                <w:rFonts w:asciiTheme="minorEastAsia" w:hAnsiTheme="minorEastAsia"/>
                <w:sz w:val="24"/>
              </w:rPr>
              <w:t>2</w:t>
            </w:r>
            <w:r>
              <w:rPr>
                <w:rFonts w:hint="eastAsia" w:asciiTheme="minorEastAsia" w:hAnsiTheme="minorEastAsia"/>
                <w:sz w:val="24"/>
              </w:rPr>
              <w:t>、</w:t>
            </w:r>
            <w:r>
              <w:rPr>
                <w:rFonts w:hint="eastAsia" w:cs="宋体" w:asciiTheme="minorEastAsia" w:hAnsiTheme="minorEastAsia"/>
                <w:sz w:val="24"/>
                <w:lang w:val="zh-CN"/>
              </w:rPr>
              <w:t>投标具有有效期内的AAA质量服务诚信等级证书、AAA重合同守信用等级证书、广播电视节目制作经营许可证，每提供一个得1分，最多</w:t>
            </w:r>
            <w:r>
              <w:rPr>
                <w:rFonts w:hint="eastAsia" w:asciiTheme="minorEastAsia" w:hAnsiTheme="minorEastAsia"/>
                <w:sz w:val="24"/>
              </w:rPr>
              <w:t>得3分；</w:t>
            </w:r>
          </w:p>
          <w:p>
            <w:pPr>
              <w:rPr>
                <w:sz w:val="24"/>
              </w:rPr>
            </w:pPr>
            <w:r>
              <w:rPr>
                <w:rFonts w:hint="eastAsia" w:asciiTheme="minorEastAsia" w:hAnsiTheme="minorEastAsia"/>
                <w:b/>
                <w:bCs/>
                <w:sz w:val="24"/>
              </w:rPr>
              <w:t>注：以上提供有效证明原件扫描件，加盖公章。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8" w:type="dxa"/>
            <w:vMerge w:val="continue"/>
            <w:noWrap/>
            <w:textDirection w:val="tbRlV"/>
            <w:vAlign w:val="center"/>
          </w:tcPr>
          <w:p>
            <w:pPr>
              <w:ind w:left="113" w:right="113"/>
              <w:jc w:val="center"/>
              <w:rPr>
                <w:sz w:val="24"/>
              </w:rPr>
            </w:pPr>
          </w:p>
        </w:tc>
        <w:tc>
          <w:tcPr>
            <w:tcW w:w="1980" w:type="dxa"/>
            <w:noWrap/>
            <w:vAlign w:val="center"/>
          </w:tcPr>
          <w:p>
            <w:pPr>
              <w:jc w:val="center"/>
              <w:rPr>
                <w:sz w:val="24"/>
              </w:rPr>
            </w:pPr>
            <w:r>
              <w:rPr>
                <w:rFonts w:hint="eastAsia" w:asciiTheme="minorEastAsia" w:hAnsiTheme="minorEastAsia"/>
                <w:sz w:val="24"/>
              </w:rPr>
              <w:t>知识产权</w:t>
            </w:r>
          </w:p>
        </w:tc>
        <w:tc>
          <w:tcPr>
            <w:tcW w:w="1080" w:type="dxa"/>
            <w:noWrap/>
            <w:vAlign w:val="center"/>
          </w:tcPr>
          <w:p>
            <w:pPr>
              <w:jc w:val="center"/>
              <w:rPr>
                <w:sz w:val="24"/>
              </w:rPr>
            </w:pPr>
            <w:r>
              <w:rPr>
                <w:sz w:val="24"/>
              </w:rPr>
              <w:t>15</w:t>
            </w:r>
          </w:p>
        </w:tc>
        <w:tc>
          <w:tcPr>
            <w:tcW w:w="5400" w:type="dxa"/>
            <w:noWrap/>
            <w:vAlign w:val="center"/>
          </w:tcPr>
          <w:p>
            <w:pPr>
              <w:rPr>
                <w:rFonts w:cs="宋体" w:asciiTheme="minorEastAsia" w:hAnsiTheme="minorEastAsia"/>
                <w:sz w:val="24"/>
                <w:lang w:val="zh-CN"/>
              </w:rPr>
            </w:pPr>
            <w:r>
              <w:rPr>
                <w:sz w:val="24"/>
              </w:rPr>
              <w:t>投标人所投产品</w:t>
            </w:r>
            <w:r>
              <w:rPr>
                <w:rFonts w:hint="eastAsia"/>
                <w:sz w:val="24"/>
              </w:rPr>
              <w:t>在有效期内</w:t>
            </w:r>
            <w:r>
              <w:rPr>
                <w:rFonts w:hint="eastAsia" w:cs="宋体" w:asciiTheme="minorEastAsia" w:hAnsiTheme="minorEastAsia"/>
                <w:sz w:val="24"/>
              </w:rPr>
              <w:t>，由</w:t>
            </w:r>
            <w:r>
              <w:rPr>
                <w:sz w:val="24"/>
              </w:rPr>
              <w:t>国家版权局颁发的</w:t>
            </w:r>
            <w:r>
              <w:rPr>
                <w:rFonts w:hint="eastAsia" w:cs="宋体" w:asciiTheme="minorEastAsia" w:hAnsiTheme="minorEastAsia"/>
                <w:sz w:val="24"/>
              </w:rPr>
              <w:t>网络教学管理平台、全媒体期刊数据库系统、学术资源数据库管理系统、慕课编辑制作系统、专业资源库系统</w:t>
            </w:r>
            <w:r>
              <w:rPr>
                <w:sz w:val="24"/>
              </w:rPr>
              <w:t>等计算机软件著作权登记证书</w:t>
            </w:r>
            <w:r>
              <w:rPr>
                <w:rFonts w:hint="eastAsia" w:cs="宋体" w:asciiTheme="minorEastAsia" w:hAnsiTheme="minorEastAsia"/>
                <w:sz w:val="24"/>
                <w:lang w:val="zh-CN"/>
              </w:rPr>
              <w:t>。每提供一</w:t>
            </w:r>
            <w:r>
              <w:rPr>
                <w:rFonts w:hint="eastAsia" w:cs="宋体" w:asciiTheme="minorEastAsia" w:hAnsiTheme="minorEastAsia"/>
                <w:sz w:val="24"/>
              </w:rPr>
              <w:t>项</w:t>
            </w:r>
            <w:r>
              <w:rPr>
                <w:rFonts w:hint="eastAsia" w:cs="宋体" w:asciiTheme="minorEastAsia" w:hAnsiTheme="minorEastAsia"/>
                <w:sz w:val="24"/>
                <w:lang w:val="zh-CN"/>
              </w:rPr>
              <w:t>得</w:t>
            </w:r>
            <w:r>
              <w:rPr>
                <w:rFonts w:hint="eastAsia" w:cs="宋体" w:asciiTheme="minorEastAsia" w:hAnsiTheme="minorEastAsia"/>
                <w:sz w:val="24"/>
              </w:rPr>
              <w:t>3</w:t>
            </w:r>
            <w:r>
              <w:rPr>
                <w:rFonts w:hint="eastAsia" w:cs="宋体" w:asciiTheme="minorEastAsia" w:hAnsiTheme="minorEastAsia"/>
                <w:sz w:val="24"/>
                <w:lang w:val="zh-CN"/>
              </w:rPr>
              <w:t>分，最高得</w:t>
            </w:r>
            <w:r>
              <w:rPr>
                <w:rFonts w:hint="eastAsia" w:cs="宋体" w:asciiTheme="minorEastAsia" w:hAnsiTheme="minorEastAsia"/>
                <w:sz w:val="24"/>
              </w:rPr>
              <w:t>1</w:t>
            </w:r>
            <w:r>
              <w:rPr>
                <w:rFonts w:cs="宋体" w:asciiTheme="minorEastAsia" w:hAnsiTheme="minorEastAsia"/>
                <w:sz w:val="24"/>
              </w:rPr>
              <w:t>5</w:t>
            </w:r>
            <w:r>
              <w:rPr>
                <w:rFonts w:hint="eastAsia" w:cs="宋体" w:asciiTheme="minorEastAsia" w:hAnsiTheme="minorEastAsia"/>
                <w:sz w:val="24"/>
                <w:lang w:val="zh-CN"/>
              </w:rPr>
              <w:t>分。</w:t>
            </w:r>
          </w:p>
          <w:p>
            <w:pPr>
              <w:rPr>
                <w:sz w:val="24"/>
              </w:rPr>
            </w:pPr>
            <w:r>
              <w:rPr>
                <w:rFonts w:hint="eastAsia" w:cs="宋体" w:asciiTheme="minorEastAsia" w:hAnsiTheme="minorEastAsia"/>
                <w:b/>
                <w:bCs/>
                <w:sz w:val="24"/>
              </w:rPr>
              <w:t>注：</w:t>
            </w:r>
            <w:r>
              <w:rPr>
                <w:rFonts w:hint="eastAsia" w:asciiTheme="minorEastAsia" w:hAnsiTheme="minorEastAsia"/>
                <w:b/>
                <w:bCs/>
                <w:sz w:val="24"/>
              </w:rPr>
              <w:t>以上提供有效证明原件扫描件，加盖公章。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rPr>
                <w:sz w:val="24"/>
              </w:rPr>
            </w:pPr>
          </w:p>
        </w:tc>
        <w:tc>
          <w:tcPr>
            <w:tcW w:w="1980" w:type="dxa"/>
            <w:noWrap/>
            <w:vAlign w:val="center"/>
          </w:tcPr>
          <w:p>
            <w:pPr>
              <w:jc w:val="center"/>
              <w:rPr>
                <w:sz w:val="24"/>
              </w:rPr>
            </w:pPr>
            <w:r>
              <w:rPr>
                <w:rFonts w:hint="eastAsia" w:asciiTheme="minorEastAsia" w:hAnsiTheme="minorEastAsia"/>
                <w:sz w:val="24"/>
              </w:rPr>
              <w:t>项目经验</w:t>
            </w:r>
          </w:p>
        </w:tc>
        <w:tc>
          <w:tcPr>
            <w:tcW w:w="1080" w:type="dxa"/>
            <w:noWrap/>
            <w:vAlign w:val="center"/>
          </w:tcPr>
          <w:p>
            <w:pPr>
              <w:jc w:val="center"/>
              <w:rPr>
                <w:sz w:val="24"/>
              </w:rPr>
            </w:pPr>
            <w:r>
              <w:rPr>
                <w:sz w:val="24"/>
              </w:rPr>
              <w:t>4</w:t>
            </w:r>
          </w:p>
        </w:tc>
        <w:tc>
          <w:tcPr>
            <w:tcW w:w="5400" w:type="dxa"/>
            <w:noWrap/>
            <w:vAlign w:val="center"/>
          </w:tcPr>
          <w:p>
            <w:pPr>
              <w:rPr>
                <w:sz w:val="24"/>
              </w:rPr>
            </w:pPr>
            <w:r>
              <w:rPr>
                <w:rFonts w:hint="eastAsia" w:asciiTheme="minorEastAsia" w:hAnsiTheme="minorEastAsia"/>
                <w:sz w:val="24"/>
              </w:rPr>
              <w:t>标人或所投产品原厂商能够提供：</w:t>
            </w:r>
            <w:r>
              <w:rPr>
                <w:sz w:val="24"/>
              </w:rPr>
              <w:t>20</w:t>
            </w:r>
            <w:r>
              <w:rPr>
                <w:rFonts w:hint="eastAsia"/>
                <w:sz w:val="24"/>
              </w:rPr>
              <w:t>19</w:t>
            </w:r>
            <w:r>
              <w:rPr>
                <w:sz w:val="24"/>
              </w:rPr>
              <w:t>年以后</w:t>
            </w:r>
            <w:r>
              <w:rPr>
                <w:rFonts w:hint="eastAsia"/>
                <w:sz w:val="24"/>
              </w:rPr>
              <w:t>，</w:t>
            </w:r>
            <w:r>
              <w:rPr>
                <w:sz w:val="24"/>
              </w:rPr>
              <w:t>已实施完成的相关成功案例，每提供1个得1分,最多得4分（提供合同关键页及相关验收佐证材料复印件加盖公章），否则得0分</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rPr>
                <w:sz w:val="24"/>
              </w:rPr>
            </w:pPr>
          </w:p>
        </w:tc>
        <w:tc>
          <w:tcPr>
            <w:tcW w:w="1980" w:type="dxa"/>
            <w:noWrap/>
            <w:vAlign w:val="center"/>
          </w:tcPr>
          <w:p>
            <w:pPr>
              <w:jc w:val="center"/>
              <w:rPr>
                <w:sz w:val="24"/>
              </w:rPr>
            </w:pPr>
            <w:r>
              <w:rPr>
                <w:rFonts w:hint="eastAsia" w:cs="宋体" w:asciiTheme="minorEastAsia" w:hAnsiTheme="minorEastAsia"/>
                <w:sz w:val="24"/>
              </w:rPr>
              <w:t>售后服务能力</w:t>
            </w:r>
          </w:p>
        </w:tc>
        <w:tc>
          <w:tcPr>
            <w:tcW w:w="1080" w:type="dxa"/>
            <w:noWrap/>
            <w:vAlign w:val="center"/>
          </w:tcPr>
          <w:p>
            <w:pPr>
              <w:jc w:val="center"/>
              <w:rPr>
                <w:sz w:val="24"/>
              </w:rPr>
            </w:pPr>
            <w:r>
              <w:rPr>
                <w:rFonts w:hint="eastAsia"/>
                <w:sz w:val="24"/>
              </w:rPr>
              <w:t>5</w:t>
            </w:r>
          </w:p>
        </w:tc>
        <w:tc>
          <w:tcPr>
            <w:tcW w:w="5400" w:type="dxa"/>
            <w:noWrap/>
            <w:vAlign w:val="center"/>
          </w:tcPr>
          <w:p>
            <w:pPr>
              <w:rPr>
                <w:rFonts w:asciiTheme="minorEastAsia" w:hAnsiTheme="minorEastAsia"/>
                <w:sz w:val="24"/>
              </w:rPr>
            </w:pPr>
            <w:r>
              <w:rPr>
                <w:rFonts w:hint="eastAsia" w:asciiTheme="minorEastAsia" w:hAnsiTheme="minorEastAsia"/>
                <w:sz w:val="24"/>
              </w:rPr>
              <w:t>1.在本省有固定售后服务机构，需提供租期至少一年的房屋租赁合同或售后服务机构工商营业执照复印件加盖公章，原件备查。有提供得2分，否则0分；</w:t>
            </w:r>
          </w:p>
          <w:p>
            <w:pPr>
              <w:rPr>
                <w:sz w:val="24"/>
              </w:rPr>
            </w:pPr>
            <w:r>
              <w:rPr>
                <w:rFonts w:asciiTheme="minorEastAsia" w:hAnsiTheme="minorEastAsia"/>
                <w:sz w:val="24"/>
              </w:rPr>
              <w:t>2.</w:t>
            </w:r>
            <w:r>
              <w:rPr>
                <w:rFonts w:hint="eastAsia" w:asciiTheme="minorEastAsia" w:hAnsiTheme="minorEastAsia"/>
                <w:sz w:val="24"/>
              </w:rPr>
              <w:t>投标人在本省拥有稳定的技术服务人员情况，提供以上人员在本公司任职的外部证明材料（如加盖有关部门印章的打印日期在本项目投标截止日之前六个月以内的《投保单》或《社会保险参保人员证明》，或单位代缴个人所得税税单等。非本地公司在外地购买社保的必须提供技术服务人员在本地的居住证（或暂住证）等在本地工作的证明文件）复印件。没有人得0分，</w:t>
            </w:r>
            <w:r>
              <w:rPr>
                <w:rFonts w:cs="宋体" w:asciiTheme="minorEastAsia" w:hAnsiTheme="minorEastAsia"/>
                <w:sz w:val="24"/>
              </w:rPr>
              <w:t>20人以下得1分，20-40</w:t>
            </w:r>
            <w:r>
              <w:rPr>
                <w:rFonts w:hint="eastAsia" w:cs="宋体" w:asciiTheme="minorEastAsia" w:hAnsiTheme="minorEastAsia"/>
                <w:sz w:val="24"/>
              </w:rPr>
              <w:t>人</w:t>
            </w:r>
            <w:r>
              <w:rPr>
                <w:rFonts w:cs="宋体" w:asciiTheme="minorEastAsia" w:hAnsiTheme="minorEastAsia"/>
                <w:sz w:val="24"/>
              </w:rPr>
              <w:t>得</w:t>
            </w:r>
            <w:r>
              <w:rPr>
                <w:rFonts w:hint="eastAsia" w:cs="宋体" w:asciiTheme="minorEastAsia" w:hAnsiTheme="minorEastAsia"/>
                <w:sz w:val="24"/>
              </w:rPr>
              <w:t>2</w:t>
            </w:r>
            <w:r>
              <w:rPr>
                <w:rFonts w:cs="宋体" w:asciiTheme="minorEastAsia" w:hAnsiTheme="minorEastAsia"/>
                <w:sz w:val="24"/>
              </w:rPr>
              <w:t>分，40</w:t>
            </w:r>
            <w:r>
              <w:rPr>
                <w:rFonts w:hint="eastAsia" w:cs="宋体" w:asciiTheme="minorEastAsia" w:hAnsiTheme="minorEastAsia"/>
                <w:sz w:val="24"/>
              </w:rPr>
              <w:t>人</w:t>
            </w:r>
            <w:r>
              <w:rPr>
                <w:rFonts w:cs="宋体" w:asciiTheme="minorEastAsia" w:hAnsiTheme="minorEastAsia"/>
                <w:sz w:val="24"/>
              </w:rPr>
              <w:t>以上得3分</w:t>
            </w:r>
            <w:r>
              <w:rPr>
                <w:rFonts w:hint="eastAsia" w:asciiTheme="minorEastAsia" w:hAnsi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pPr>
              <w:rPr>
                <w:sz w:val="24"/>
              </w:rPr>
            </w:pPr>
            <w:r>
              <w:rPr>
                <w:rFonts w:hint="eastAsia"/>
                <w:sz w:val="24"/>
              </w:rPr>
              <w:t>备注：评分细则中如需要报价人提供证明材料的，供应商应在报价文件中提交证明材料。</w:t>
            </w:r>
          </w:p>
        </w:tc>
      </w:tr>
    </w:tbl>
    <w:p>
      <w:pPr>
        <w:spacing w:line="400" w:lineRule="exact"/>
        <w:ind w:firstLine="480" w:firstLineChars="200"/>
        <w:rPr>
          <w:rFonts w:ascii="宋体" w:hAnsi="宋体"/>
          <w:sz w:val="28"/>
          <w:szCs w:val="28"/>
        </w:rPr>
      </w:pPr>
      <w:r>
        <w:rPr>
          <w:rFonts w:hint="eastAsia" w:asciiTheme="minorEastAsia" w:hAnsiTheme="minorEastAsia" w:eastAsiaTheme="minorEastAsia"/>
          <w:color w:val="000000"/>
          <w:sz w:val="24"/>
        </w:rPr>
        <w:t>注：各评委按规定的范围内进行量化打分，并统计总分。</w:t>
      </w:r>
    </w:p>
    <w:p>
      <w:pPr>
        <w:pStyle w:val="2"/>
      </w:pPr>
      <w:bookmarkStart w:id="23" w:name="_Toc60236707"/>
      <w:r>
        <w:rPr>
          <w:rFonts w:hint="eastAsia"/>
        </w:rPr>
        <w:br w:type="page"/>
      </w:r>
      <w:bookmarkStart w:id="24" w:name="_Toc5254"/>
      <w:r>
        <w:rPr>
          <w:rFonts w:hint="eastAsia"/>
        </w:rPr>
        <w:t>第二部分</w:t>
      </w:r>
      <w:bookmarkEnd w:id="23"/>
      <w:r>
        <w:rPr>
          <w:rFonts w:hint="eastAsia"/>
        </w:rPr>
        <w:t xml:space="preserve">  采购需求书</w:t>
      </w:r>
      <w:bookmarkEnd w:id="24"/>
    </w:p>
    <w:p>
      <w:pPr>
        <w:pStyle w:val="3"/>
        <w:spacing w:line="560" w:lineRule="exact"/>
      </w:pPr>
      <w:bookmarkStart w:id="25" w:name="_Toc179"/>
      <w:r>
        <w:rPr>
          <w:rFonts w:hint="eastAsia"/>
        </w:rPr>
        <w:t>一、技术（服务）要求</w:t>
      </w:r>
      <w:bookmarkEnd w:id="25"/>
    </w:p>
    <w:p>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7"/>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8"/>
        <w:gridCol w:w="4945"/>
        <w:gridCol w:w="2379"/>
        <w:gridCol w:w="10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序号</w:t>
            </w:r>
          </w:p>
        </w:tc>
        <w:tc>
          <w:tcPr>
            <w:tcW w:w="270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物资名称</w:t>
            </w:r>
          </w:p>
        </w:tc>
        <w:tc>
          <w:tcPr>
            <w:tcW w:w="1299"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单位</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6"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4"/>
              </w:rPr>
            </w:pPr>
            <w:r>
              <w:rPr>
                <w:rFonts w:hint="eastAsia" w:ascii="宋体" w:hAnsi="宋体" w:cs="宋体"/>
                <w:color w:val="333333"/>
                <w:kern w:val="0"/>
                <w:sz w:val="24"/>
              </w:rPr>
              <w:t>1</w:t>
            </w:r>
          </w:p>
        </w:tc>
        <w:tc>
          <w:tcPr>
            <w:tcW w:w="2700"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Fonts w:hint="eastAsia" w:cs="微软雅黑" w:asciiTheme="minorEastAsia" w:hAnsiTheme="minorEastAsia" w:eastAsiaTheme="minorEastAsia"/>
                <w:sz w:val="24"/>
              </w:rPr>
              <w:t>思政教学辅助系统</w:t>
            </w:r>
          </w:p>
        </w:tc>
        <w:tc>
          <w:tcPr>
            <w:tcW w:w="1299"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Fonts w:hint="eastAsia" w:ascii="宋体" w:hAnsi="宋体" w:cs="宋体"/>
                <w:sz w:val="24"/>
              </w:rPr>
              <w:t>套</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Fonts w:hint="eastAsia" w:ascii="宋体" w:hAnsi="宋体" w:cs="宋体"/>
                <w:sz w:val="24"/>
              </w:rPr>
              <w:t>1</w:t>
            </w:r>
          </w:p>
        </w:tc>
      </w:tr>
    </w:tbl>
    <w:p>
      <w:pPr>
        <w:spacing w:line="560" w:lineRule="exact"/>
        <w:ind w:firstLine="562" w:firstLineChars="200"/>
        <w:rPr>
          <w:rFonts w:ascii="宋体" w:hAnsi="宋体"/>
          <w:b/>
          <w:bCs/>
          <w:sz w:val="32"/>
          <w:szCs w:val="32"/>
        </w:rPr>
      </w:pPr>
      <w:bookmarkStart w:id="31" w:name="_GoBack"/>
      <w:bookmarkEnd w:id="31"/>
      <w:r>
        <w:rPr>
          <w:rFonts w:hint="eastAsia" w:ascii="宋体" w:hAnsi="宋体"/>
          <w:b/>
          <w:bCs/>
          <w:kern w:val="0"/>
          <w:sz w:val="28"/>
          <w:szCs w:val="28"/>
        </w:rPr>
        <w:t>（二）具体技术指标及性能要求：</w:t>
      </w:r>
    </w:p>
    <w:tbl>
      <w:tblPr>
        <w:tblStyle w:val="27"/>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359"/>
        <w:gridCol w:w="4698"/>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shd w:val="clear" w:color="auto" w:fill="B8CCE4"/>
            <w:vAlign w:val="center"/>
          </w:tcPr>
          <w:p>
            <w:pPr>
              <w:pStyle w:val="101"/>
              <w:kinsoku w:val="0"/>
              <w:overflowPunct w:val="0"/>
              <w:autoSpaceDE w:val="0"/>
              <w:autoSpaceDN w:val="0"/>
              <w:adjustRightInd w:val="0"/>
              <w:snapToGrid w:val="0"/>
              <w:jc w:val="center"/>
              <w:rPr>
                <w:rFonts w:ascii="宋体" w:hAnsi="宋体" w:eastAsia="宋体" w:cs="微软雅黑"/>
                <w:b/>
                <w:color w:val="auto"/>
                <w:sz w:val="24"/>
                <w:szCs w:val="24"/>
                <w:lang w:val="zh-TW" w:eastAsia="zh-TW"/>
              </w:rPr>
            </w:pPr>
            <w:r>
              <w:rPr>
                <w:rFonts w:hint="eastAsia" w:ascii="宋体" w:hAnsi="宋体" w:eastAsia="宋体" w:cs="微软雅黑"/>
                <w:b/>
                <w:color w:val="auto"/>
                <w:sz w:val="24"/>
                <w:szCs w:val="24"/>
                <w:lang w:val="zh-TW" w:eastAsia="zh-TW"/>
              </w:rPr>
              <w:t>服务名称</w:t>
            </w:r>
          </w:p>
        </w:tc>
        <w:tc>
          <w:tcPr>
            <w:tcW w:w="1359" w:type="dxa"/>
            <w:shd w:val="clear" w:color="auto" w:fill="B8CCE4"/>
            <w:vAlign w:val="center"/>
          </w:tcPr>
          <w:p>
            <w:pPr>
              <w:pStyle w:val="101"/>
              <w:kinsoku w:val="0"/>
              <w:overflowPunct w:val="0"/>
              <w:autoSpaceDE w:val="0"/>
              <w:autoSpaceDN w:val="0"/>
              <w:adjustRightInd w:val="0"/>
              <w:snapToGrid w:val="0"/>
              <w:jc w:val="center"/>
              <w:rPr>
                <w:rFonts w:ascii="宋体" w:hAnsi="宋体" w:eastAsia="宋体" w:cs="微软雅黑"/>
                <w:b/>
                <w:color w:val="auto"/>
                <w:sz w:val="24"/>
                <w:szCs w:val="24"/>
                <w:lang w:val="zh-TW" w:eastAsia="zh-TW"/>
              </w:rPr>
            </w:pPr>
            <w:r>
              <w:rPr>
                <w:rFonts w:hint="eastAsia" w:ascii="宋体" w:hAnsi="宋体" w:eastAsia="宋体" w:cs="微软雅黑"/>
                <w:b/>
                <w:color w:val="auto"/>
                <w:sz w:val="24"/>
                <w:szCs w:val="24"/>
                <w:lang w:val="zh-TW" w:eastAsia="zh-TW"/>
              </w:rPr>
              <w:t>功能模块</w:t>
            </w:r>
          </w:p>
        </w:tc>
        <w:tc>
          <w:tcPr>
            <w:tcW w:w="4698" w:type="dxa"/>
            <w:shd w:val="clear" w:color="auto" w:fill="B8CCE4"/>
            <w:vAlign w:val="center"/>
          </w:tcPr>
          <w:p>
            <w:pPr>
              <w:pStyle w:val="101"/>
              <w:kinsoku w:val="0"/>
              <w:overflowPunct w:val="0"/>
              <w:autoSpaceDE w:val="0"/>
              <w:autoSpaceDN w:val="0"/>
              <w:adjustRightInd w:val="0"/>
              <w:snapToGrid w:val="0"/>
              <w:jc w:val="center"/>
              <w:rPr>
                <w:rFonts w:ascii="宋体" w:hAnsi="宋体" w:eastAsia="宋体" w:cs="微软雅黑"/>
                <w:b/>
                <w:color w:val="auto"/>
                <w:sz w:val="24"/>
                <w:szCs w:val="24"/>
                <w:lang w:val="zh-TW" w:eastAsia="zh-TW"/>
              </w:rPr>
            </w:pPr>
            <w:r>
              <w:rPr>
                <w:rFonts w:hint="eastAsia" w:ascii="宋体" w:hAnsi="宋体" w:eastAsia="宋体" w:cs="微软雅黑"/>
                <w:b/>
                <w:color w:val="auto"/>
                <w:sz w:val="24"/>
                <w:szCs w:val="24"/>
                <w:lang w:val="zh-TW" w:eastAsia="zh-TW"/>
              </w:rPr>
              <w:t>内容及配置</w:t>
            </w:r>
          </w:p>
        </w:tc>
        <w:tc>
          <w:tcPr>
            <w:tcW w:w="1030" w:type="dxa"/>
            <w:shd w:val="clear" w:color="auto" w:fill="B8CCE4"/>
            <w:vAlign w:val="center"/>
          </w:tcPr>
          <w:p>
            <w:pPr>
              <w:pStyle w:val="101"/>
              <w:kinsoku w:val="0"/>
              <w:overflowPunct w:val="0"/>
              <w:autoSpaceDE w:val="0"/>
              <w:autoSpaceDN w:val="0"/>
              <w:adjustRightInd w:val="0"/>
              <w:snapToGrid w:val="0"/>
              <w:jc w:val="center"/>
              <w:rPr>
                <w:rFonts w:ascii="宋体" w:hAnsi="宋体" w:eastAsia="宋体" w:cs="微软雅黑"/>
                <w:b/>
                <w:color w:val="auto"/>
                <w:sz w:val="24"/>
                <w:szCs w:val="24"/>
                <w:lang w:val="zh-TW" w:eastAsia="zh-TW"/>
              </w:rPr>
            </w:pPr>
            <w:r>
              <w:rPr>
                <w:rFonts w:hint="eastAsia" w:ascii="宋体" w:hAnsi="宋体" w:eastAsia="宋体" w:cs="微软雅黑"/>
                <w:b/>
                <w:color w:val="auto"/>
                <w:sz w:val="24"/>
                <w:szCs w:val="24"/>
                <w:lang w:val="zh-TW" w:eastAsia="zh-TW"/>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2122" w:type="dxa"/>
            <w:vMerge w:val="restart"/>
            <w:shd w:val="clear" w:color="auto" w:fill="auto"/>
            <w:vAlign w:val="center"/>
          </w:tcPr>
          <w:p>
            <w:pPr>
              <w:pStyle w:val="101"/>
              <w:kinsoku w:val="0"/>
              <w:overflowPunct w:val="0"/>
              <w:autoSpaceDE w:val="0"/>
              <w:autoSpaceDN w:val="0"/>
              <w:adjustRightInd w:val="0"/>
              <w:snapToGrid w:val="0"/>
              <w:jc w:val="center"/>
              <w:rPr>
                <w:rFonts w:ascii="宋体" w:hAnsi="宋体" w:eastAsia="宋体" w:cs="微软雅黑"/>
                <w:color w:val="auto"/>
                <w:sz w:val="24"/>
                <w:szCs w:val="24"/>
              </w:rPr>
            </w:pPr>
            <w:r>
              <w:rPr>
                <w:rFonts w:hint="eastAsia" w:ascii="宋体" w:hAnsi="宋体" w:eastAsia="宋体" w:cs="微软雅黑"/>
                <w:color w:val="auto"/>
                <w:sz w:val="24"/>
                <w:szCs w:val="24"/>
              </w:rPr>
              <w:t>思政教学辅助系统</w:t>
            </w:r>
          </w:p>
        </w:tc>
        <w:tc>
          <w:tcPr>
            <w:tcW w:w="1359" w:type="dxa"/>
            <w:shd w:val="clear" w:color="auto" w:fill="auto"/>
            <w:vAlign w:val="center"/>
          </w:tcPr>
          <w:p>
            <w:pPr>
              <w:pStyle w:val="101"/>
              <w:kinsoku w:val="0"/>
              <w:overflowPunct w:val="0"/>
              <w:autoSpaceDE w:val="0"/>
              <w:autoSpaceDN w:val="0"/>
              <w:adjustRightInd w:val="0"/>
              <w:snapToGrid w:val="0"/>
              <w:jc w:val="center"/>
              <w:rPr>
                <w:rFonts w:ascii="宋体" w:hAnsi="宋体" w:eastAsia="宋体" w:cs="微软雅黑"/>
                <w:color w:val="auto"/>
                <w:sz w:val="24"/>
                <w:szCs w:val="24"/>
              </w:rPr>
            </w:pPr>
            <w:r>
              <w:rPr>
                <w:rFonts w:hint="eastAsia" w:ascii="宋体" w:hAnsi="宋体" w:eastAsia="宋体" w:cs="微软雅黑"/>
                <w:color w:val="auto"/>
                <w:sz w:val="24"/>
                <w:szCs w:val="24"/>
              </w:rPr>
              <w:t>思政课教学资源服务</w:t>
            </w:r>
          </w:p>
        </w:tc>
        <w:tc>
          <w:tcPr>
            <w:tcW w:w="4698" w:type="dxa"/>
            <w:shd w:val="clear" w:color="auto" w:fill="auto"/>
            <w:vAlign w:val="center"/>
          </w:tcPr>
          <w:p>
            <w:pPr>
              <w:pStyle w:val="101"/>
              <w:kinsoku w:val="0"/>
              <w:overflowPunct w:val="0"/>
              <w:autoSpaceDE w:val="0"/>
              <w:autoSpaceDN w:val="0"/>
              <w:adjustRightInd w:val="0"/>
              <w:snapToGrid w:val="0"/>
              <w:rPr>
                <w:rFonts w:ascii="宋体" w:hAnsi="宋体" w:eastAsia="宋体"/>
                <w:color w:val="auto"/>
                <w:sz w:val="24"/>
                <w:szCs w:val="24"/>
              </w:rPr>
            </w:pPr>
            <w:r>
              <w:rPr>
                <w:rFonts w:hint="eastAsia" w:ascii="宋体" w:hAnsi="宋体" w:eastAsia="宋体"/>
                <w:color w:val="auto"/>
                <w:sz w:val="24"/>
                <w:szCs w:val="24"/>
              </w:rPr>
              <w:t>提供的教学资源服务，需包括以下具体内容：</w:t>
            </w:r>
          </w:p>
          <w:p>
            <w:pPr>
              <w:pStyle w:val="101"/>
              <w:kinsoku w:val="0"/>
              <w:overflowPunct w:val="0"/>
              <w:autoSpaceDE w:val="0"/>
              <w:autoSpaceDN w:val="0"/>
              <w:adjustRightInd w:val="0"/>
              <w:snapToGrid w:val="0"/>
              <w:rPr>
                <w:rFonts w:ascii="宋体" w:hAnsi="宋体" w:eastAsia="宋体"/>
                <w:color w:val="auto"/>
                <w:sz w:val="24"/>
                <w:szCs w:val="24"/>
              </w:rPr>
            </w:pPr>
            <w:r>
              <w:rPr>
                <w:rFonts w:hint="eastAsia" w:ascii="宋体" w:hAnsi="宋体" w:eastAsia="宋体"/>
                <w:color w:val="auto"/>
                <w:sz w:val="24"/>
                <w:szCs w:val="24"/>
              </w:rPr>
              <w:t>一、思政案例库</w:t>
            </w:r>
          </w:p>
          <w:p>
            <w:pPr>
              <w:numPr>
                <w:ilvl w:val="0"/>
                <w:numId w:val="5"/>
              </w:numPr>
              <w:rPr>
                <w:rFonts w:ascii="宋体" w:hAnsi="宋体"/>
                <w:sz w:val="24"/>
              </w:rPr>
            </w:pPr>
            <w:r>
              <w:rPr>
                <w:rFonts w:hint="eastAsia" w:ascii="宋体" w:hAnsi="宋体"/>
                <w:sz w:val="24"/>
              </w:rPr>
              <w:t>需提供至少5门思政必修课程的相关章节案例，案例总体数量需500个以上。</w:t>
            </w:r>
          </w:p>
          <w:p>
            <w:pPr>
              <w:numPr>
                <w:ilvl w:val="0"/>
                <w:numId w:val="5"/>
              </w:numPr>
              <w:rPr>
                <w:rFonts w:ascii="宋体" w:hAnsi="宋体"/>
                <w:sz w:val="24"/>
              </w:rPr>
            </w:pPr>
            <w:r>
              <w:rPr>
                <w:rFonts w:hint="eastAsia" w:ascii="宋体" w:hAnsi="宋体"/>
                <w:sz w:val="24"/>
              </w:rPr>
              <w:t>思政案例视频以高标准完成制作，案例需要覆盖到思政必修课的每一节的知识点。</w:t>
            </w:r>
          </w:p>
          <w:p>
            <w:pPr>
              <w:numPr>
                <w:ilvl w:val="0"/>
                <w:numId w:val="5"/>
              </w:numPr>
              <w:rPr>
                <w:rFonts w:ascii="宋体" w:hAnsi="宋体"/>
                <w:sz w:val="24"/>
              </w:rPr>
            </w:pPr>
            <w:r>
              <w:rPr>
                <w:rFonts w:hint="eastAsia" w:ascii="宋体" w:hAnsi="宋体"/>
                <w:sz w:val="24"/>
              </w:rPr>
              <w:t>案例库保持一定的更新频率，确保案例与时俱进。</w:t>
            </w:r>
          </w:p>
          <w:p>
            <w:pPr>
              <w:pStyle w:val="101"/>
              <w:kinsoku w:val="0"/>
              <w:overflowPunct w:val="0"/>
              <w:autoSpaceDE w:val="0"/>
              <w:autoSpaceDN w:val="0"/>
              <w:adjustRightInd w:val="0"/>
              <w:snapToGrid w:val="0"/>
              <w:rPr>
                <w:rFonts w:ascii="宋体" w:hAnsi="宋体" w:eastAsia="宋体"/>
                <w:color w:val="auto"/>
                <w:sz w:val="24"/>
                <w:szCs w:val="24"/>
              </w:rPr>
            </w:pPr>
            <w:r>
              <w:rPr>
                <w:rFonts w:hint="eastAsia" w:ascii="宋体" w:hAnsi="宋体" w:eastAsia="宋体"/>
                <w:color w:val="auto"/>
                <w:sz w:val="24"/>
                <w:szCs w:val="24"/>
              </w:rPr>
              <w:t>二、思政备课资源库</w:t>
            </w:r>
          </w:p>
          <w:p>
            <w:pPr>
              <w:snapToGrid w:val="0"/>
              <w:rPr>
                <w:rFonts w:ascii="宋体" w:hAnsi="宋体"/>
                <w:sz w:val="24"/>
                <w:lang w:val="en-IE"/>
              </w:rPr>
            </w:pPr>
            <w:r>
              <w:rPr>
                <w:rFonts w:hint="eastAsia" w:ascii="宋体" w:hAnsi="宋体"/>
                <w:sz w:val="24"/>
              </w:rPr>
              <w:t>1、</w:t>
            </w:r>
            <w:r>
              <w:rPr>
                <w:rFonts w:hint="eastAsia" w:ascii="宋体" w:hAnsi="宋体"/>
                <w:sz w:val="24"/>
                <w:lang w:val="en-IE"/>
              </w:rPr>
              <w:t>系统需大学生心理健康与教育、毛泽东思想和中国特色社会主义理论体系概论、中国近现代史纲要、马克思主义基本原理、思想道德与法治、</w:t>
            </w:r>
            <w:r>
              <w:rPr>
                <w:rFonts w:ascii="宋体" w:hAnsi="宋体"/>
                <w:sz w:val="24"/>
                <w:lang w:val="en-IE"/>
              </w:rPr>
              <w:t>“新青年·习党史”</w:t>
            </w:r>
            <w:r>
              <w:rPr>
                <w:rFonts w:hint="eastAsia" w:ascii="宋体" w:hAnsi="宋体"/>
                <w:sz w:val="24"/>
                <w:lang w:val="en-IE"/>
              </w:rPr>
              <w:t xml:space="preserve"> 、</w:t>
            </w:r>
            <w:r>
              <w:rPr>
                <w:rFonts w:ascii="宋体" w:hAnsi="宋体"/>
                <w:sz w:val="24"/>
                <w:lang w:val="en-IE"/>
              </w:rPr>
              <w:t xml:space="preserve"> “新中国史” </w:t>
            </w:r>
            <w:r>
              <w:rPr>
                <w:rFonts w:hint="eastAsia" w:ascii="宋体" w:hAnsi="宋体"/>
                <w:sz w:val="24"/>
                <w:lang w:val="en-IE"/>
              </w:rPr>
              <w:t>、</w:t>
            </w:r>
            <w:r>
              <w:rPr>
                <w:rFonts w:ascii="宋体" w:hAnsi="宋体"/>
                <w:sz w:val="24"/>
                <w:lang w:val="en-IE"/>
              </w:rPr>
              <w:t xml:space="preserve">“改革开放史” </w:t>
            </w:r>
            <w:r>
              <w:rPr>
                <w:rFonts w:hint="eastAsia" w:ascii="宋体" w:hAnsi="宋体"/>
                <w:sz w:val="24"/>
                <w:lang w:val="en-IE"/>
              </w:rPr>
              <w:t>、</w:t>
            </w:r>
            <w:r>
              <w:rPr>
                <w:rFonts w:ascii="宋体" w:hAnsi="宋体"/>
                <w:sz w:val="24"/>
                <w:lang w:val="en-IE"/>
              </w:rPr>
              <w:t>“社会主义发展史”</w:t>
            </w:r>
            <w:r>
              <w:rPr>
                <w:rFonts w:hint="eastAsia" w:ascii="宋体" w:hAnsi="宋体"/>
                <w:sz w:val="24"/>
                <w:lang w:val="en-IE"/>
              </w:rPr>
              <w:t>九门思想政治理论课教学示范课</w:t>
            </w:r>
          </w:p>
          <w:p>
            <w:pPr>
              <w:rPr>
                <w:rFonts w:ascii="宋体" w:hAnsi="宋体"/>
                <w:sz w:val="24"/>
              </w:rPr>
            </w:pPr>
            <w:r>
              <w:rPr>
                <w:rFonts w:ascii="宋体" w:hAnsi="宋体"/>
                <w:sz w:val="24"/>
              </w:rPr>
              <w:t>2</w:t>
            </w:r>
            <w:r>
              <w:rPr>
                <w:rFonts w:hint="eastAsia" w:ascii="宋体" w:hAnsi="宋体"/>
                <w:sz w:val="24"/>
              </w:rPr>
              <w:t>、需提供5门以上思政必修示范课程，紧扣大纲，内容时，支持自由拆分整合。课程可以引入作为资源，辅助课堂教学，也可以用作教师培训材料，学习教学方法，还可以作为在线课程进行翻转课堂教学。</w:t>
            </w:r>
          </w:p>
          <w:p>
            <w:pPr>
              <w:rPr>
                <w:rFonts w:ascii="宋体" w:hAnsi="宋体"/>
                <w:sz w:val="24"/>
              </w:rPr>
            </w:pPr>
            <w:r>
              <w:rPr>
                <w:rFonts w:ascii="宋体" w:hAnsi="宋体"/>
                <w:sz w:val="24"/>
              </w:rPr>
              <w:t>3</w:t>
            </w:r>
            <w:r>
              <w:rPr>
                <w:rFonts w:hint="eastAsia" w:ascii="宋体" w:hAnsi="宋体"/>
                <w:sz w:val="24"/>
              </w:rPr>
              <w:t>、需提供20门以上思政拓展课程，课程与思政核心知识内容高度关联，可以供学生选修扩展视野，也可以作为教学资源灵活拆分辅助教师备课和教学。</w:t>
            </w:r>
          </w:p>
          <w:p>
            <w:pPr>
              <w:pStyle w:val="101"/>
              <w:kinsoku w:val="0"/>
              <w:overflowPunct w:val="0"/>
              <w:autoSpaceDE w:val="0"/>
              <w:autoSpaceDN w:val="0"/>
              <w:adjustRightInd w:val="0"/>
              <w:snapToGrid w:val="0"/>
              <w:rPr>
                <w:rFonts w:ascii="宋体" w:hAnsi="宋体" w:eastAsia="宋体"/>
                <w:color w:val="auto"/>
                <w:sz w:val="24"/>
                <w:szCs w:val="24"/>
              </w:rPr>
            </w:pPr>
            <w:r>
              <w:rPr>
                <w:rFonts w:hint="eastAsia" w:ascii="宋体" w:hAnsi="宋体" w:eastAsia="宋体"/>
                <w:color w:val="auto"/>
                <w:sz w:val="24"/>
                <w:szCs w:val="24"/>
              </w:rPr>
              <w:t>三、思政资源库</w:t>
            </w:r>
          </w:p>
          <w:p>
            <w:pPr>
              <w:rPr>
                <w:rFonts w:ascii="宋体" w:hAnsi="宋体"/>
                <w:sz w:val="24"/>
              </w:rPr>
            </w:pPr>
            <w:r>
              <w:rPr>
                <w:rFonts w:hint="eastAsia" w:ascii="宋体" w:hAnsi="宋体"/>
                <w:sz w:val="24"/>
              </w:rPr>
              <w:t>1、提供新媒体思政教学资源库，需集合国内著名高校具有各校特色的思政课程，包括课件、图片、阅读等教学资源，可以灵活运用于高校课程教学中。</w:t>
            </w:r>
          </w:p>
          <w:p>
            <w:pPr>
              <w:rPr>
                <w:rFonts w:ascii="宋体" w:hAnsi="宋体"/>
                <w:sz w:val="24"/>
              </w:rPr>
            </w:pPr>
            <w:r>
              <w:rPr>
                <w:rFonts w:hint="eastAsia" w:ascii="宋体" w:hAnsi="宋体"/>
                <w:sz w:val="24"/>
              </w:rPr>
              <w:t>2、需提供电子图书、期刊、报纸杂志和学术视频等教学资源服务，其中不少于300种与思想政治理论课相关的正版授权的epub格式电子图书，不少于20种与思想政治理论课相关的期刊，不少于200个与思政相关的讲座视频，供教师在平台上建课时进行调用，插入到课程中，或分享给学生。</w:t>
            </w:r>
          </w:p>
          <w:p>
            <w:pPr>
              <w:rPr>
                <w:rFonts w:ascii="宋体" w:hAnsi="宋体"/>
                <w:sz w:val="24"/>
              </w:rPr>
            </w:pPr>
            <w:r>
              <w:rPr>
                <w:rFonts w:hint="eastAsia" w:ascii="宋体" w:hAnsi="宋体"/>
                <w:sz w:val="24"/>
              </w:rPr>
              <w:t>3、需提供教师个人云存储空间（云盘），每位教师至少50G以上；支持将文件上传至云盘中，随时随地进行下载，并可以在课程建设时引用云盘的资源。</w:t>
            </w:r>
          </w:p>
          <w:p>
            <w:pPr>
              <w:rPr>
                <w:rFonts w:ascii="宋体" w:hAnsi="宋体" w:cs="微软雅黑"/>
                <w:sz w:val="24"/>
              </w:rPr>
            </w:pPr>
            <w:r>
              <w:rPr>
                <w:rFonts w:hint="eastAsia" w:ascii="宋体" w:hAnsi="宋体"/>
                <w:sz w:val="24"/>
              </w:rPr>
              <w:t>4、需</w:t>
            </w:r>
            <w:r>
              <w:rPr>
                <w:rFonts w:hint="eastAsia" w:ascii="宋体" w:hAnsi="宋体" w:cs="微软雅黑"/>
                <w:sz w:val="24"/>
              </w:rPr>
              <w:t>支持在选用的资源视频中，任意时间点插入测验：上传视频后，可以在任意时间点插入测试题，包含单选题、多选题和对错题。</w:t>
            </w:r>
          </w:p>
          <w:p>
            <w:pPr>
              <w:pStyle w:val="101"/>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cs="微软雅黑"/>
                <w:color w:val="auto"/>
                <w:sz w:val="24"/>
                <w:szCs w:val="24"/>
              </w:rPr>
              <w:t>5、需支持在选用的资源视频中，任意时间点插入图片或PPT，同时支持对插入的内容在时间轴上随意拖动。插入的PPT可以任意拖动位置，并可以跟视频窗口进行切换。</w:t>
            </w:r>
          </w:p>
          <w:p>
            <w:pPr>
              <w:pStyle w:val="101"/>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cs="微软雅黑"/>
                <w:color w:val="auto"/>
                <w:sz w:val="24"/>
                <w:szCs w:val="24"/>
              </w:rPr>
              <w:t>6、需支持选用的资源视频中进行虚拟剪辑，可以将视频文件按照课程的要求剪辑成适当长度。</w:t>
            </w:r>
          </w:p>
          <w:p>
            <w:pPr>
              <w:pStyle w:val="101"/>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cs="微软雅黑"/>
                <w:color w:val="auto"/>
                <w:sz w:val="24"/>
                <w:szCs w:val="24"/>
              </w:rPr>
              <w:t>四、思政示范教学包</w:t>
            </w:r>
          </w:p>
          <w:p>
            <w:pPr>
              <w:snapToGrid w:val="0"/>
              <w:rPr>
                <w:rFonts w:ascii="宋体" w:hAnsi="宋体"/>
                <w:sz w:val="24"/>
              </w:rPr>
            </w:pPr>
            <w:r>
              <w:rPr>
                <w:rFonts w:ascii="宋体" w:hAnsi="宋体"/>
                <w:sz w:val="24"/>
              </w:rPr>
              <w:t>1</w:t>
            </w:r>
            <w:r>
              <w:rPr>
                <w:rFonts w:hint="eastAsia" w:ascii="宋体" w:hAnsi="宋体"/>
                <w:sz w:val="24"/>
              </w:rPr>
              <w:t>、</w:t>
            </w:r>
            <w:r>
              <w:rPr>
                <w:rFonts w:hint="eastAsia" w:ascii="宋体" w:hAnsi="宋体"/>
                <w:sz w:val="24"/>
                <w:lang w:val="en-IE"/>
              </w:rPr>
              <w:t>系统资源库中需包含</w:t>
            </w:r>
            <w:r>
              <w:rPr>
                <w:rFonts w:hint="eastAsia" w:ascii="宋体" w:hAnsi="宋体"/>
                <w:sz w:val="24"/>
              </w:rPr>
              <w:t>4门思想政治理论课的示范教学包作为立体化教材使用。</w:t>
            </w:r>
          </w:p>
          <w:p>
            <w:pPr>
              <w:snapToGrid w:val="0"/>
              <w:rPr>
                <w:rFonts w:ascii="宋体" w:hAnsi="宋体"/>
                <w:sz w:val="24"/>
              </w:rPr>
            </w:pPr>
            <w:r>
              <w:rPr>
                <w:rFonts w:hint="eastAsia" w:ascii="宋体" w:hAnsi="宋体"/>
                <w:sz w:val="24"/>
              </w:rPr>
              <w:t>2、教师在系统建设课程的过程中可选择调取相应的示范教学包进行建课，过程需简单清晰，一键完成建课。</w:t>
            </w:r>
          </w:p>
          <w:p>
            <w:pPr>
              <w:snapToGrid w:val="0"/>
              <w:rPr>
                <w:rFonts w:ascii="宋体" w:hAnsi="宋体"/>
                <w:sz w:val="24"/>
              </w:rPr>
            </w:pPr>
            <w:r>
              <w:rPr>
                <w:rFonts w:hint="eastAsia" w:ascii="宋体" w:hAnsi="宋体"/>
                <w:sz w:val="24"/>
              </w:rPr>
              <w:t>3、示范教学包中需包含能与教材章节匹配的PPT资源，且需覆盖全部章节。系统需支持教师直接点击PPT即可开展课堂教学。</w:t>
            </w:r>
          </w:p>
          <w:p>
            <w:pPr>
              <w:snapToGrid w:val="0"/>
              <w:rPr>
                <w:rFonts w:ascii="宋体" w:hAnsi="宋体"/>
                <w:sz w:val="24"/>
              </w:rPr>
            </w:pPr>
            <w:r>
              <w:rPr>
                <w:rFonts w:hint="eastAsia" w:ascii="宋体" w:hAnsi="宋体"/>
                <w:sz w:val="24"/>
              </w:rPr>
              <w:t>4、示范教学包中需包含课程完整的章节目录，每一章节内需包含课程文字内容和视频内容。章节内容支持教师自行修改，可进行增加、删除、修改操作。</w:t>
            </w:r>
          </w:p>
          <w:p>
            <w:pPr>
              <w:snapToGrid w:val="0"/>
              <w:rPr>
                <w:rFonts w:ascii="宋体" w:hAnsi="宋体"/>
                <w:sz w:val="24"/>
              </w:rPr>
            </w:pPr>
            <w:r>
              <w:rPr>
                <w:rFonts w:hint="eastAsia" w:ascii="宋体" w:hAnsi="宋体"/>
                <w:sz w:val="24"/>
              </w:rPr>
              <w:t>5、示范教学包备课资料中需包含视频、文档、教案等教学资源。</w:t>
            </w:r>
          </w:p>
          <w:p>
            <w:pPr>
              <w:snapToGrid w:val="0"/>
              <w:rPr>
                <w:rFonts w:ascii="宋体" w:hAnsi="宋体"/>
                <w:sz w:val="24"/>
              </w:rPr>
            </w:pPr>
            <w:r>
              <w:rPr>
                <w:rFonts w:hint="eastAsia" w:ascii="宋体" w:hAnsi="宋体"/>
                <w:sz w:val="24"/>
              </w:rPr>
              <w:t>6、示范教学包需包含作业库，覆盖到教材中的每一章节，并支持针对不同教学班级随时发布的功能。</w:t>
            </w:r>
          </w:p>
          <w:p>
            <w:pPr>
              <w:pStyle w:val="101"/>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color w:val="auto"/>
                <w:sz w:val="24"/>
                <w:szCs w:val="24"/>
              </w:rPr>
              <w:t>7、示范教学包需包含试卷库，试卷库中应有已组建完成的试卷，供教师直接调取。</w:t>
            </w:r>
          </w:p>
          <w:p>
            <w:pPr>
              <w:pStyle w:val="101"/>
              <w:kinsoku w:val="0"/>
              <w:overflowPunct w:val="0"/>
              <w:autoSpaceDE w:val="0"/>
              <w:autoSpaceDN w:val="0"/>
              <w:adjustRightInd w:val="0"/>
              <w:snapToGrid w:val="0"/>
              <w:rPr>
                <w:rFonts w:ascii="宋体" w:hAnsi="宋体" w:eastAsia="宋体"/>
                <w:color w:val="auto"/>
                <w:sz w:val="24"/>
                <w:szCs w:val="24"/>
              </w:rPr>
            </w:pPr>
            <w:r>
              <w:rPr>
                <w:rFonts w:hint="eastAsia" w:ascii="宋体" w:hAnsi="宋体" w:eastAsia="宋体"/>
                <w:color w:val="auto"/>
                <w:sz w:val="24"/>
                <w:szCs w:val="24"/>
              </w:rPr>
              <w:t>五、资源应用</w:t>
            </w:r>
          </w:p>
          <w:p>
            <w:pPr>
              <w:pStyle w:val="101"/>
              <w:kinsoku w:val="0"/>
              <w:overflowPunct w:val="0"/>
              <w:autoSpaceDE w:val="0"/>
              <w:autoSpaceDN w:val="0"/>
              <w:adjustRightInd w:val="0"/>
              <w:snapToGrid w:val="0"/>
              <w:rPr>
                <w:rFonts w:ascii="宋体" w:hAnsi="宋体" w:eastAsia="宋体"/>
                <w:bCs/>
                <w:color w:val="auto"/>
                <w:sz w:val="24"/>
                <w:szCs w:val="24"/>
              </w:rPr>
            </w:pPr>
            <w:r>
              <w:rPr>
                <w:rFonts w:hint="eastAsia" w:ascii="宋体" w:hAnsi="宋体" w:eastAsia="宋体"/>
                <w:bCs/>
                <w:color w:val="auto"/>
                <w:sz w:val="24"/>
                <w:szCs w:val="24"/>
              </w:rPr>
              <w:t>需满足线上、线下教学资源使用，需支持电脑端和移动端的教学应用。</w:t>
            </w:r>
          </w:p>
          <w:p>
            <w:pPr>
              <w:pStyle w:val="101"/>
              <w:numPr>
                <w:ilvl w:val="0"/>
                <w:numId w:val="6"/>
              </w:numPr>
              <w:kinsoku w:val="0"/>
              <w:overflowPunct w:val="0"/>
              <w:autoSpaceDE w:val="0"/>
              <w:autoSpaceDN w:val="0"/>
              <w:adjustRightInd w:val="0"/>
              <w:snapToGrid w:val="0"/>
              <w:rPr>
                <w:rFonts w:ascii="宋体" w:hAnsi="宋体" w:eastAsia="宋体"/>
                <w:bCs/>
                <w:color w:val="auto"/>
                <w:sz w:val="24"/>
                <w:szCs w:val="24"/>
              </w:rPr>
            </w:pPr>
            <w:r>
              <w:rPr>
                <w:rFonts w:hint="eastAsia" w:ascii="宋体" w:hAnsi="宋体" w:eastAsia="宋体"/>
                <w:bCs/>
                <w:color w:val="auto"/>
                <w:sz w:val="24"/>
                <w:szCs w:val="24"/>
              </w:rPr>
              <w:t>课前，教师可以发布课程视频、作业、参考资料提供给学生预习；教师可进行备课工作；</w:t>
            </w:r>
          </w:p>
          <w:p>
            <w:pPr>
              <w:pStyle w:val="101"/>
              <w:numPr>
                <w:ilvl w:val="0"/>
                <w:numId w:val="6"/>
              </w:numPr>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bCs/>
                <w:color w:val="auto"/>
                <w:sz w:val="24"/>
                <w:szCs w:val="24"/>
              </w:rPr>
              <w:t>课中，可实现信息化课堂教学互动，包括签到、讨论、测验、抢答等教学活动的开展，并记录和留存教学数据，形成课堂报告；</w:t>
            </w:r>
          </w:p>
          <w:p>
            <w:pPr>
              <w:pStyle w:val="101"/>
              <w:numPr>
                <w:ilvl w:val="0"/>
                <w:numId w:val="6"/>
              </w:numPr>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bCs/>
                <w:color w:val="auto"/>
                <w:sz w:val="24"/>
                <w:szCs w:val="24"/>
              </w:rPr>
              <w:t>课后，可实现课程复习，课程内容回顾，完成教师布置的测验和作业，实现全学习过程的记录。</w:t>
            </w:r>
          </w:p>
          <w:p>
            <w:pPr>
              <w:pStyle w:val="101"/>
              <w:kinsoku w:val="0"/>
              <w:overflowPunct w:val="0"/>
              <w:autoSpaceDE w:val="0"/>
              <w:autoSpaceDN w:val="0"/>
              <w:adjustRightInd w:val="0"/>
              <w:snapToGrid w:val="0"/>
              <w:rPr>
                <w:rFonts w:ascii="宋体" w:hAnsi="宋体" w:eastAsia="宋体"/>
                <w:color w:val="auto"/>
                <w:sz w:val="24"/>
                <w:szCs w:val="24"/>
                <w:lang w:eastAsia="zh-TW"/>
              </w:rPr>
            </w:pPr>
            <w:r>
              <w:rPr>
                <w:rFonts w:hint="eastAsia" w:ascii="宋体" w:hAnsi="宋体" w:eastAsia="宋体"/>
                <w:color w:val="auto"/>
                <w:sz w:val="24"/>
                <w:szCs w:val="24"/>
              </w:rPr>
              <w:t>六、教学资源数据统计</w:t>
            </w:r>
          </w:p>
          <w:p>
            <w:pPr>
              <w:pStyle w:val="101"/>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cs="微软雅黑"/>
                <w:color w:val="auto"/>
                <w:sz w:val="24"/>
                <w:szCs w:val="24"/>
              </w:rPr>
              <w:t>通过数据统计，为马克思主义学院的教学管理者提供决策依据。</w:t>
            </w:r>
          </w:p>
          <w:p>
            <w:pPr>
              <w:pStyle w:val="101"/>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cs="微软雅黑"/>
                <w:color w:val="auto"/>
                <w:sz w:val="24"/>
                <w:szCs w:val="24"/>
              </w:rPr>
              <w:t>1、能采集课前、课中、课后产生的所有教学运行过程数据，包括签到、作业，测验、考试成绩等各项数据；</w:t>
            </w:r>
          </w:p>
          <w:p>
            <w:pPr>
              <w:pStyle w:val="101"/>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cs="微软雅黑"/>
                <w:color w:val="auto"/>
                <w:sz w:val="24"/>
                <w:szCs w:val="24"/>
              </w:rPr>
              <w:t>2、需支持统计基于每个学生的学习进度、课程登录次数、学习材料浏览和下载次数、作业和测试完成情况、在线时长、视频观看的遍数、参加答疑讨论的情况等多项学习考核指标。</w:t>
            </w:r>
          </w:p>
          <w:p>
            <w:pPr>
              <w:pStyle w:val="101"/>
              <w:kinsoku w:val="0"/>
              <w:overflowPunct w:val="0"/>
              <w:autoSpaceDE w:val="0"/>
              <w:autoSpaceDN w:val="0"/>
              <w:adjustRightInd w:val="0"/>
              <w:snapToGrid w:val="0"/>
              <w:rPr>
                <w:rFonts w:ascii="宋体" w:hAnsi="宋体" w:eastAsia="宋体" w:cs="微软雅黑"/>
                <w:color w:val="auto"/>
                <w:sz w:val="24"/>
                <w:szCs w:val="24"/>
                <w:lang w:eastAsia="zh-TW"/>
              </w:rPr>
            </w:pPr>
            <w:r>
              <w:rPr>
                <w:rFonts w:hint="eastAsia" w:ascii="宋体" w:hAnsi="宋体" w:eastAsia="宋体" w:cs="微软雅黑"/>
                <w:color w:val="auto"/>
                <w:sz w:val="24"/>
                <w:szCs w:val="24"/>
              </w:rPr>
              <w:t>3、需支持学院进行课程通知的即时消息，实时发送，实时接收，并可查看通知阅读状态，已读和未读名单。</w:t>
            </w:r>
          </w:p>
        </w:tc>
        <w:tc>
          <w:tcPr>
            <w:tcW w:w="1030" w:type="dxa"/>
            <w:vMerge w:val="restart"/>
            <w:shd w:val="clear" w:color="auto" w:fill="auto"/>
            <w:vAlign w:val="center"/>
          </w:tcPr>
          <w:p>
            <w:pPr>
              <w:pStyle w:val="101"/>
              <w:kinsoku w:val="0"/>
              <w:overflowPunct w:val="0"/>
              <w:autoSpaceDE w:val="0"/>
              <w:autoSpaceDN w:val="0"/>
              <w:adjustRightInd w:val="0"/>
              <w:snapToGrid w:val="0"/>
              <w:jc w:val="left"/>
              <w:rPr>
                <w:rFonts w:ascii="宋体" w:hAnsi="宋体" w:eastAsia="宋体" w:cs="微软雅黑"/>
                <w:color w:val="auto"/>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22" w:type="dxa"/>
            <w:vMerge w:val="continue"/>
            <w:shd w:val="clear" w:color="auto" w:fill="auto"/>
            <w:vAlign w:val="center"/>
          </w:tcPr>
          <w:p>
            <w:pPr>
              <w:pStyle w:val="101"/>
              <w:kinsoku w:val="0"/>
              <w:overflowPunct w:val="0"/>
              <w:autoSpaceDE w:val="0"/>
              <w:autoSpaceDN w:val="0"/>
              <w:adjustRightInd w:val="0"/>
              <w:snapToGrid w:val="0"/>
              <w:jc w:val="center"/>
              <w:rPr>
                <w:rFonts w:ascii="宋体" w:hAnsi="宋体" w:eastAsia="宋体" w:cs="微软雅黑"/>
                <w:color w:val="auto"/>
                <w:sz w:val="24"/>
                <w:szCs w:val="24"/>
                <w:lang w:val="zh-TW" w:eastAsia="zh-TW"/>
              </w:rPr>
            </w:pPr>
          </w:p>
        </w:tc>
        <w:tc>
          <w:tcPr>
            <w:tcW w:w="1359" w:type="dxa"/>
            <w:shd w:val="clear" w:color="auto" w:fill="auto"/>
            <w:vAlign w:val="center"/>
          </w:tcPr>
          <w:p>
            <w:pPr>
              <w:pStyle w:val="101"/>
              <w:kinsoku w:val="0"/>
              <w:overflowPunct w:val="0"/>
              <w:autoSpaceDE w:val="0"/>
              <w:autoSpaceDN w:val="0"/>
              <w:adjustRightInd w:val="0"/>
              <w:snapToGrid w:val="0"/>
              <w:jc w:val="center"/>
              <w:rPr>
                <w:rFonts w:ascii="宋体" w:hAnsi="宋体" w:eastAsia="宋体" w:cs="微软雅黑"/>
                <w:color w:val="auto"/>
                <w:sz w:val="24"/>
                <w:szCs w:val="24"/>
              </w:rPr>
            </w:pPr>
            <w:r>
              <w:rPr>
                <w:rFonts w:hint="eastAsia" w:ascii="宋体" w:hAnsi="宋体" w:eastAsia="宋体" w:cs="微软雅黑"/>
                <w:color w:val="auto"/>
                <w:sz w:val="24"/>
                <w:szCs w:val="24"/>
              </w:rPr>
              <w:t>思政课无纸化</w:t>
            </w:r>
            <w:r>
              <w:rPr>
                <w:rFonts w:hint="eastAsia" w:ascii="宋体" w:hAnsi="宋体" w:eastAsia="宋体" w:cs="微软雅黑"/>
                <w:color w:val="auto"/>
                <w:sz w:val="24"/>
                <w:szCs w:val="24"/>
                <w:lang w:val="zh-TW" w:eastAsia="zh-TW"/>
              </w:rPr>
              <w:t>考试</w:t>
            </w:r>
            <w:r>
              <w:rPr>
                <w:rFonts w:hint="eastAsia" w:ascii="宋体" w:hAnsi="宋体" w:eastAsia="宋体" w:cs="微软雅黑"/>
                <w:color w:val="auto"/>
                <w:sz w:val="24"/>
                <w:szCs w:val="24"/>
              </w:rPr>
              <w:t>服务</w:t>
            </w:r>
          </w:p>
        </w:tc>
        <w:tc>
          <w:tcPr>
            <w:tcW w:w="4698" w:type="dxa"/>
            <w:shd w:val="clear" w:color="auto" w:fill="auto"/>
            <w:vAlign w:val="center"/>
          </w:tcPr>
          <w:p>
            <w:pPr>
              <w:pStyle w:val="101"/>
              <w:kinsoku w:val="0"/>
              <w:overflowPunct w:val="0"/>
              <w:autoSpaceDE w:val="0"/>
              <w:autoSpaceDN w:val="0"/>
              <w:adjustRightInd w:val="0"/>
              <w:snapToGrid w:val="0"/>
              <w:ind w:firstLine="480" w:firstLineChars="200"/>
              <w:rPr>
                <w:rFonts w:ascii="宋体" w:hAnsi="宋体" w:eastAsia="宋体" w:cs="微软雅黑"/>
                <w:color w:val="auto"/>
                <w:sz w:val="24"/>
                <w:szCs w:val="24"/>
              </w:rPr>
            </w:pPr>
            <w:r>
              <w:rPr>
                <w:rFonts w:hint="eastAsia" w:ascii="宋体" w:hAnsi="宋体" w:eastAsia="宋体" w:cs="微软雅黑"/>
                <w:color w:val="auto"/>
                <w:sz w:val="24"/>
                <w:szCs w:val="24"/>
              </w:rPr>
              <w:t>提供思政无纸化考试服务，需要包括提供无纸化考试系统的思政题库导入、系统使用、培训、考务支持等服务内容。</w:t>
            </w:r>
          </w:p>
          <w:p>
            <w:pPr>
              <w:pStyle w:val="101"/>
              <w:numPr>
                <w:ilvl w:val="0"/>
                <w:numId w:val="7"/>
              </w:numPr>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cs="微软雅黑"/>
                <w:color w:val="auto"/>
                <w:sz w:val="24"/>
                <w:szCs w:val="24"/>
              </w:rPr>
              <w:t>考试系统需包括系</w:t>
            </w:r>
            <w:r>
              <w:rPr>
                <w:rFonts w:hint="eastAsia" w:ascii="宋体" w:hAnsi="宋体" w:eastAsia="宋体" w:cs="微软雅黑"/>
                <w:color w:val="auto"/>
                <w:sz w:val="24"/>
                <w:szCs w:val="24"/>
                <w:lang w:val="zh-TW" w:eastAsia="zh-TW"/>
              </w:rPr>
              <w:t>统管理、用户管理、考务管理、</w:t>
            </w:r>
            <w:r>
              <w:rPr>
                <w:rFonts w:hint="eastAsia" w:ascii="宋体" w:hAnsi="宋体" w:eastAsia="宋体" w:cs="微软雅黑"/>
                <w:color w:val="auto"/>
                <w:sz w:val="24"/>
                <w:szCs w:val="24"/>
              </w:rPr>
              <w:t>思政</w:t>
            </w:r>
            <w:r>
              <w:rPr>
                <w:rFonts w:hint="eastAsia" w:ascii="宋体" w:hAnsi="宋体" w:eastAsia="宋体" w:cs="微软雅黑"/>
                <w:color w:val="auto"/>
                <w:sz w:val="24"/>
                <w:szCs w:val="24"/>
                <w:lang w:val="zh-TW" w:eastAsia="zh-TW"/>
              </w:rPr>
              <w:t>题库管理、试卷管理、考试管理、阅卷管理、成绩管理、统计分析</w:t>
            </w:r>
            <w:r>
              <w:rPr>
                <w:rFonts w:hint="eastAsia" w:ascii="宋体" w:hAnsi="宋体" w:eastAsia="宋体" w:cs="微软雅黑"/>
                <w:color w:val="auto"/>
                <w:sz w:val="24"/>
                <w:szCs w:val="24"/>
              </w:rPr>
              <w:t>等考务功能。</w:t>
            </w:r>
          </w:p>
          <w:p>
            <w:pPr>
              <w:pStyle w:val="101"/>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cs="微软雅黑"/>
                <w:color w:val="auto"/>
                <w:sz w:val="24"/>
                <w:szCs w:val="24"/>
              </w:rPr>
              <w:t>2、需提供5门以上必修思政课程的最新题库，每门课不少于</w:t>
            </w:r>
            <w:r>
              <w:rPr>
                <w:rFonts w:ascii="宋体" w:hAnsi="宋体" w:eastAsia="宋体" w:cs="微软雅黑"/>
                <w:color w:val="auto"/>
                <w:sz w:val="24"/>
                <w:szCs w:val="24"/>
              </w:rPr>
              <w:t>8</w:t>
            </w:r>
            <w:r>
              <w:rPr>
                <w:rFonts w:hint="eastAsia" w:ascii="宋体" w:hAnsi="宋体" w:eastAsia="宋体" w:cs="微软雅黑"/>
                <w:color w:val="auto"/>
                <w:sz w:val="24"/>
                <w:szCs w:val="24"/>
              </w:rPr>
              <w:t>00题，每年根据具体课程内容需进行题库更新；</w:t>
            </w:r>
          </w:p>
          <w:p>
            <w:pPr>
              <w:pStyle w:val="101"/>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cs="微软雅黑"/>
                <w:color w:val="auto"/>
                <w:sz w:val="24"/>
                <w:szCs w:val="24"/>
              </w:rPr>
              <w:t>3、需支持PC端、移动端、客户端考试服务，其中专门的考试客户端，能安装到马克思主义学院指定的考场，实现无纸化考试；</w:t>
            </w:r>
          </w:p>
          <w:p>
            <w:pPr>
              <w:pStyle w:val="101"/>
              <w:kinsoku w:val="0"/>
              <w:overflowPunct w:val="0"/>
              <w:autoSpaceDE w:val="0"/>
              <w:autoSpaceDN w:val="0"/>
              <w:adjustRightInd w:val="0"/>
              <w:snapToGrid w:val="0"/>
              <w:rPr>
                <w:rFonts w:ascii="宋体" w:hAnsi="宋体" w:eastAsia="宋体" w:cs="宋体"/>
                <w:color w:val="auto"/>
                <w:sz w:val="24"/>
                <w:szCs w:val="24"/>
              </w:rPr>
            </w:pPr>
            <w:r>
              <w:rPr>
                <w:rFonts w:hint="eastAsia" w:ascii="宋体" w:hAnsi="宋体" w:eastAsia="宋体" w:cs="宋体"/>
                <w:color w:val="auto"/>
                <w:sz w:val="24"/>
                <w:szCs w:val="24"/>
              </w:rPr>
              <w:t>4、系统应支持多种题型</w:t>
            </w:r>
            <w:r>
              <w:rPr>
                <w:rFonts w:hint="eastAsia" w:ascii="宋体" w:hAnsi="宋体" w:eastAsia="宋体"/>
                <w:color w:val="auto"/>
                <w:sz w:val="24"/>
                <w:szCs w:val="24"/>
              </w:rPr>
              <w:t>：支持至少应支持单选、多选、填空、判断、简答、名词解析、论述、计算、分录、连线、排序、完形填空、阅读理解、口语、听力等常见题型，并支持题型自定义。</w:t>
            </w:r>
          </w:p>
          <w:p>
            <w:pPr>
              <w:pStyle w:val="101"/>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cs="微软雅黑"/>
                <w:color w:val="auto"/>
                <w:sz w:val="24"/>
                <w:szCs w:val="24"/>
              </w:rPr>
              <w:t>5、系统需提供考试过程监管及防作弊机制，包含活体人脸识别，切屏监控，IP记录，乱序设置等。</w:t>
            </w:r>
          </w:p>
          <w:p>
            <w:pPr>
              <w:pStyle w:val="101"/>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cs="微软雅黑"/>
                <w:color w:val="auto"/>
                <w:sz w:val="24"/>
                <w:szCs w:val="24"/>
              </w:rPr>
              <w:t>6、试题导入：教师建设题库时除可以手动录入外应支持模板导入功能，模板至少提供常用的word和excel两种格式</w:t>
            </w:r>
          </w:p>
          <w:p>
            <w:pPr>
              <w:pStyle w:val="101"/>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cs="微软雅黑"/>
                <w:color w:val="auto"/>
                <w:sz w:val="24"/>
                <w:szCs w:val="24"/>
              </w:rPr>
              <w:t>7、智能组卷：设置好组卷逻辑之后，可以从指定的题库中按照设置的组卷逻辑进行随机抽题组卷，每次组卷数量上限不得低于15套。</w:t>
            </w:r>
          </w:p>
          <w:p>
            <w:pPr>
              <w:pStyle w:val="101"/>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cs="微软雅黑"/>
                <w:color w:val="auto"/>
                <w:sz w:val="24"/>
                <w:szCs w:val="24"/>
              </w:rPr>
              <w:t>8、试卷导出：支持试卷按标准版和模板导出，按模板导出时，可以自定义模板内容，导出后按照标准的线下考试试卷进行排版，可直接打印用于线下考试。</w:t>
            </w:r>
          </w:p>
          <w:p>
            <w:pPr>
              <w:pStyle w:val="101"/>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cs="微软雅黑"/>
                <w:color w:val="auto"/>
                <w:sz w:val="24"/>
                <w:szCs w:val="24"/>
              </w:rPr>
              <w:t>9、试卷封存：为防止试卷泄漏，组卷完成后可将试卷进行封存，封存的试卷只有输入密码才能开启，有效防止泄题事故的发生。</w:t>
            </w:r>
          </w:p>
          <w:p>
            <w:pPr>
              <w:pStyle w:val="101"/>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cs="微软雅黑"/>
                <w:color w:val="auto"/>
                <w:sz w:val="24"/>
                <w:szCs w:val="24"/>
              </w:rPr>
              <w:t>10、人脸识别：考生在考试前需进行人脸核对，核对通过后才能参加考试。考生的整个答题过程进行人脸抓拍，抓拍间隔管理员可自行设定，抓拍所得照片将与数据库人脸照片进行比对，比对失败次数达到设置数量时将强制交卷。</w:t>
            </w:r>
          </w:p>
          <w:p>
            <w:pPr>
              <w:pStyle w:val="101"/>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cs="微软雅黑"/>
                <w:color w:val="auto"/>
                <w:sz w:val="24"/>
                <w:szCs w:val="24"/>
              </w:rPr>
              <w:t>11、切屏监控：在考生考试过程中将全程监控考生的答题界面，对考生切出页面的次数与时长进行记录，达到设定值时将强制收卷。</w:t>
            </w:r>
          </w:p>
          <w:p>
            <w:pPr>
              <w:pStyle w:val="101"/>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cs="微软雅黑"/>
                <w:color w:val="auto"/>
                <w:sz w:val="24"/>
                <w:szCs w:val="24"/>
              </w:rPr>
              <w:t>12、题目乱序：每位考生所收到试卷的题目顺序进动打乱排列；选项乱序：对于选择题的每个选项进行打乱排列；</w:t>
            </w:r>
          </w:p>
          <w:p>
            <w:pPr>
              <w:pStyle w:val="101"/>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cs="微软雅黑"/>
                <w:color w:val="auto"/>
                <w:sz w:val="24"/>
                <w:szCs w:val="24"/>
              </w:rPr>
              <w:t>13、考试码：考试码在教师端显示，学生需输入考试码后才能参加考试；指定ip考试：需要集中考试时可以限定考生ip；</w:t>
            </w:r>
          </w:p>
          <w:p>
            <w:pPr>
              <w:pStyle w:val="101"/>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cs="微软雅黑"/>
                <w:color w:val="auto"/>
                <w:sz w:val="24"/>
                <w:szCs w:val="24"/>
              </w:rPr>
              <w:t>14、监考教师：考试发布时可以指定监考教师，监考教师会收到监考任务，进行线上监考。监考教师需实时查看每位考生是否进入考试、进入时间、当前状态、IP地址、所在地区、人脸识别情况、违规次数、切屏次数等。</w:t>
            </w:r>
          </w:p>
          <w:p>
            <w:pPr>
              <w:pStyle w:val="101"/>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cs="微软雅黑"/>
                <w:color w:val="auto"/>
                <w:sz w:val="24"/>
                <w:szCs w:val="24"/>
              </w:rPr>
              <w:t>15、查看考生详情：监考老师可随时查看每位考生的考试行为记录，详情以时间轴形式呈现，也可查看考试试卷。查看抓拍监控：将所有考生的抓拍监控画面以及人脸比对情况展示在一个页面上，便于监考老师更加直观了解每位考生当前的作答情况。</w:t>
            </w:r>
          </w:p>
          <w:p>
            <w:pPr>
              <w:pStyle w:val="101"/>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cs="微软雅黑"/>
                <w:color w:val="auto"/>
                <w:sz w:val="24"/>
                <w:szCs w:val="24"/>
              </w:rPr>
              <w:t>16、成绩管理：成绩管理应包括考生姓名、学号、院系、专业、班级、试卷名称、考生批次、考试场次、考试成绩、成绩状态等信息，成绩支持多维度的查询和筛选，支持勘误和删除操作，需支持成绩一键导出。</w:t>
            </w:r>
          </w:p>
          <w:p>
            <w:pPr>
              <w:pStyle w:val="101"/>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cs="微软雅黑"/>
                <w:color w:val="auto"/>
                <w:sz w:val="24"/>
                <w:szCs w:val="24"/>
              </w:rPr>
              <w:t>17、综合统计：提供对考试系统运行整体情况进行综合分析，包括但不限于发放考试次数、发放人数、参与人数、合格率、优秀率、每一批次下多次考试的成绩分布趋势、各院系各专业数据对比等维度的统计分析，所有数据分析以图形形式展示。</w:t>
            </w:r>
          </w:p>
          <w:p>
            <w:pPr>
              <w:pStyle w:val="101"/>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cs="微软雅黑"/>
                <w:color w:val="auto"/>
                <w:sz w:val="24"/>
                <w:szCs w:val="24"/>
              </w:rPr>
              <w:t>18、▲考试分析：针对每一次考试生成详细的考试分析图，包括参考率统计、分数段对比、考试优秀率、考试及格率、客观题正确率、考试完成时间等数据，所有分析必须以直观的图形呈现，并支持一键导出。考试报告：针对每一次考试生成考试报告，报告内容可根据实际需求选择考试报告呈现的内容。</w:t>
            </w:r>
          </w:p>
          <w:p>
            <w:pPr>
              <w:pStyle w:val="101"/>
              <w:kinsoku w:val="0"/>
              <w:overflowPunct w:val="0"/>
              <w:autoSpaceDE w:val="0"/>
              <w:autoSpaceDN w:val="0"/>
              <w:adjustRightInd w:val="0"/>
              <w:snapToGrid w:val="0"/>
              <w:rPr>
                <w:rFonts w:ascii="宋体" w:hAnsi="宋体" w:eastAsia="宋体" w:cs="微软雅黑"/>
                <w:color w:val="auto"/>
                <w:sz w:val="24"/>
                <w:szCs w:val="24"/>
              </w:rPr>
            </w:pPr>
            <w:r>
              <w:rPr>
                <w:rFonts w:hint="eastAsia" w:ascii="宋体" w:hAnsi="宋体" w:eastAsia="宋体" w:cs="微软雅黑"/>
                <w:color w:val="auto"/>
                <w:sz w:val="24"/>
                <w:szCs w:val="24"/>
              </w:rPr>
              <w:t>19、人脸照片管理：平台可上传每位考生的人脸照片，对于没有人脸照片的考生可发送采集通知，考生收到通知后完成人脸采集即可，如果有考试需要人脸识别且考试没有人脸照片时，系统也会自动发送人脸采集通知。</w:t>
            </w:r>
          </w:p>
        </w:tc>
        <w:tc>
          <w:tcPr>
            <w:tcW w:w="1030" w:type="dxa"/>
            <w:vMerge w:val="continue"/>
            <w:shd w:val="clear" w:color="auto" w:fill="auto"/>
            <w:vAlign w:val="center"/>
          </w:tcPr>
          <w:p>
            <w:pPr>
              <w:pStyle w:val="101"/>
              <w:kinsoku w:val="0"/>
              <w:overflowPunct w:val="0"/>
              <w:autoSpaceDE w:val="0"/>
              <w:autoSpaceDN w:val="0"/>
              <w:adjustRightInd w:val="0"/>
              <w:snapToGrid w:val="0"/>
              <w:jc w:val="right"/>
              <w:rPr>
                <w:rFonts w:ascii="宋体" w:hAnsi="宋体" w:eastAsia="宋体" w:cs="微软雅黑"/>
                <w:color w:val="auto"/>
                <w:sz w:val="24"/>
                <w:szCs w:val="24"/>
                <w:lang w:val="zh-TW"/>
              </w:rPr>
            </w:pPr>
          </w:p>
        </w:tc>
      </w:tr>
    </w:tbl>
    <w:p>
      <w:pPr>
        <w:spacing w:line="560" w:lineRule="exact"/>
        <w:ind w:firstLine="280" w:firstLineChars="100"/>
        <w:rPr>
          <w:rFonts w:ascii="宋体" w:hAnsi="宋体"/>
          <w:kern w:val="0"/>
          <w:sz w:val="28"/>
          <w:szCs w:val="28"/>
        </w:rPr>
      </w:pPr>
      <w:r>
        <w:rPr>
          <w:rFonts w:hint="eastAsia" w:ascii="宋体" w:hAnsi="宋体"/>
          <w:kern w:val="0"/>
          <w:sz w:val="28"/>
          <w:szCs w:val="28"/>
        </w:rPr>
        <w:t>注：</w:t>
      </w:r>
    </w:p>
    <w:p>
      <w:pPr>
        <w:pStyle w:val="83"/>
        <w:numPr>
          <w:ilvl w:val="0"/>
          <w:numId w:val="8"/>
        </w:numPr>
        <w:spacing w:line="560" w:lineRule="exact"/>
        <w:ind w:firstLineChars="0"/>
        <w:rPr>
          <w:rFonts w:ascii="宋体" w:hAnsi="宋体" w:eastAsia="宋体"/>
          <w:kern w:val="0"/>
          <w:sz w:val="24"/>
        </w:rPr>
      </w:pPr>
      <w:bookmarkStart w:id="26" w:name="_Toc17787"/>
      <w:bookmarkStart w:id="27" w:name="_Toc60236709"/>
      <w:r>
        <w:rPr>
          <w:rFonts w:hint="eastAsia" w:ascii="宋体" w:hAnsi="宋体" w:eastAsia="宋体"/>
          <w:kern w:val="0"/>
          <w:sz w:val="24"/>
        </w:rPr>
        <w:t>产品技术指标/规格型号中带“</w:t>
      </w:r>
      <w:r>
        <w:rPr>
          <w:rFonts w:hint="eastAsia" w:ascii="宋体" w:hAnsi="宋体" w:eastAsia="宋体"/>
          <w:sz w:val="24"/>
        </w:rPr>
        <w:t>★</w:t>
      </w:r>
      <w:r>
        <w:rPr>
          <w:rFonts w:hint="eastAsia" w:ascii="宋体" w:hAnsi="宋体" w:eastAsia="宋体"/>
          <w:kern w:val="0"/>
          <w:sz w:val="24"/>
        </w:rPr>
        <w:t>”的为“实质性响应指标”。“实质性响应指标”不允许“负偏离”，否则报价无效；“非实质性响应指标”允许“负偏离”，但不能超出偏离范围，否则报价无效。</w:t>
      </w:r>
    </w:p>
    <w:p>
      <w:pPr>
        <w:pStyle w:val="83"/>
        <w:numPr>
          <w:ilvl w:val="0"/>
          <w:numId w:val="8"/>
        </w:numPr>
        <w:spacing w:line="560" w:lineRule="exact"/>
        <w:ind w:firstLineChars="0"/>
        <w:rPr>
          <w:rFonts w:ascii="宋体" w:hAnsi="宋体" w:eastAsia="宋体"/>
          <w:sz w:val="24"/>
        </w:rPr>
      </w:pPr>
      <w:r>
        <w:rPr>
          <w:rFonts w:hint="eastAsia" w:ascii="宋体" w:hAnsi="宋体" w:eastAsia="宋体"/>
          <w:sz w:val="24"/>
        </w:rPr>
        <w:t>供应商需按照评分要求提供现场演示。</w:t>
      </w:r>
    </w:p>
    <w:p>
      <w:pPr>
        <w:pStyle w:val="3"/>
        <w:spacing w:line="560" w:lineRule="exact"/>
        <w:rPr>
          <w:rFonts w:ascii="宋体" w:hAnsi="宋体" w:cs="宋体"/>
          <w:sz w:val="24"/>
        </w:rPr>
      </w:pPr>
      <w:r>
        <w:rPr>
          <w:rFonts w:hint="eastAsia"/>
        </w:rPr>
        <w:t>二、商务要求</w:t>
      </w:r>
      <w:bookmarkEnd w:id="26"/>
      <w:bookmarkEnd w:id="27"/>
    </w:p>
    <w:p>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自合同签订之日起内</w:t>
      </w:r>
      <w:r>
        <w:rPr>
          <w:rFonts w:hint="eastAsia" w:ascii="宋体" w:hAnsi="宋体"/>
          <w:bCs/>
          <w:sz w:val="28"/>
          <w:szCs w:val="28"/>
          <w:u w:val="single"/>
        </w:rPr>
        <w:t>7天</w:t>
      </w:r>
      <w:r>
        <w:rPr>
          <w:rFonts w:hint="eastAsia" w:ascii="宋体" w:hAnsi="宋体"/>
          <w:bCs/>
          <w:sz w:val="28"/>
          <w:szCs w:val="28"/>
        </w:rPr>
        <w:t>完成交货，确保正常运行使用。</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交付地点：广东省广州市海珠区仑头路2</w:t>
      </w:r>
      <w:r>
        <w:rPr>
          <w:rFonts w:ascii="宋体" w:hAnsi="宋体"/>
          <w:bCs/>
          <w:sz w:val="28"/>
          <w:szCs w:val="28"/>
        </w:rPr>
        <w:t>1</w:t>
      </w:r>
      <w:r>
        <w:rPr>
          <w:rFonts w:hint="eastAsia" w:ascii="宋体" w:hAnsi="宋体"/>
          <w:bCs/>
          <w:sz w:val="28"/>
          <w:szCs w:val="28"/>
        </w:rPr>
        <w:t>号广东财经大学立德楼107。</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(二)安装、调试与</w:t>
      </w:r>
      <w:r>
        <w:rPr>
          <w:rFonts w:hint="eastAsia" w:ascii="宋体" w:hAnsi="宋体" w:cs="宋体"/>
          <w:b/>
          <w:sz w:val="28"/>
          <w:szCs w:val="28"/>
        </w:rPr>
        <w:t>培训</w:t>
      </w:r>
      <w:r>
        <w:rPr>
          <w:rFonts w:hint="eastAsia" w:ascii="宋体" w:hAnsi="宋体"/>
          <w:b/>
          <w:sz w:val="28"/>
          <w:szCs w:val="28"/>
        </w:rPr>
        <w:t>要求</w:t>
      </w:r>
    </w:p>
    <w:p>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本项目采购内容包括安装、调试和培训，于广东财经大学（广州校区）完成</w:t>
      </w:r>
      <w:r>
        <w:rPr>
          <w:rFonts w:hint="eastAsia" w:ascii="宋体" w:hAnsi="宋体" w:cs="宋体"/>
          <w:sz w:val="28"/>
          <w:szCs w:val="28"/>
        </w:rPr>
        <w:t>。</w:t>
      </w:r>
    </w:p>
    <w:p>
      <w:pPr>
        <w:adjustRightInd w:val="0"/>
        <w:snapToGrid w:val="0"/>
        <w:spacing w:line="560" w:lineRule="exact"/>
        <w:ind w:firstLine="641" w:firstLineChars="228"/>
        <w:rPr>
          <w:rFonts w:ascii="宋体" w:hAnsi="宋体"/>
          <w:b/>
          <w:sz w:val="28"/>
          <w:szCs w:val="28"/>
        </w:rPr>
      </w:pPr>
      <w:r>
        <w:rPr>
          <w:rFonts w:hint="eastAsia" w:ascii="宋体" w:hAnsi="宋体"/>
          <w:b/>
          <w:sz w:val="28"/>
          <w:szCs w:val="28"/>
        </w:rPr>
        <w:t>项目质量与验收标准</w:t>
      </w:r>
    </w:p>
    <w:p>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（四）质保期</w:t>
      </w:r>
    </w:p>
    <w:p>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质保期自安装验收合格之日起生效，时间为</w:t>
      </w:r>
      <w:r>
        <w:rPr>
          <w:rFonts w:ascii="宋体" w:hAnsi="宋体"/>
          <w:sz w:val="28"/>
          <w:szCs w:val="28"/>
        </w:rPr>
        <w:t>1</w:t>
      </w:r>
      <w:r>
        <w:rPr>
          <w:rFonts w:hint="eastAsia" w:ascii="宋体" w:hAnsi="宋体"/>
          <w:sz w:val="28"/>
          <w:szCs w:val="28"/>
        </w:rPr>
        <w:t>年</w:t>
      </w:r>
      <w:r>
        <w:rPr>
          <w:rFonts w:hint="eastAsia" w:ascii="宋体" w:hAnsi="宋体" w:cs="宋体"/>
          <w:sz w:val="28"/>
          <w:szCs w:val="28"/>
        </w:rPr>
        <w:t>。</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（五）售后服务要求</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服务响应速度为工作时间2小时内；上门服务响应时间为48小时,并在</w:t>
      </w:r>
      <w:r>
        <w:rPr>
          <w:rFonts w:ascii="宋体" w:hAnsi="宋体"/>
          <w:sz w:val="28"/>
          <w:szCs w:val="28"/>
        </w:rPr>
        <w:t>24</w:t>
      </w:r>
      <w:r>
        <w:rPr>
          <w:rFonts w:hint="eastAsia" w:ascii="宋体" w:hAnsi="宋体"/>
          <w:sz w:val="28"/>
          <w:szCs w:val="28"/>
        </w:rPr>
        <w:t>小时内解决故障。</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（六）结算与付款方式</w:t>
      </w:r>
    </w:p>
    <w:p>
      <w:pPr>
        <w:spacing w:line="560" w:lineRule="exact"/>
        <w:ind w:firstLine="638" w:firstLineChars="228"/>
        <w:rPr>
          <w:rFonts w:ascii="宋体" w:hAnsi="宋体"/>
          <w:sz w:val="28"/>
          <w:szCs w:val="28"/>
        </w:rPr>
      </w:pPr>
      <w:r>
        <w:rPr>
          <w:rFonts w:hint="eastAsia" w:ascii="宋体" w:hAnsi="宋体"/>
          <w:sz w:val="28"/>
          <w:szCs w:val="28"/>
        </w:rPr>
        <w:t>该项目验收合格后，且采购单位收到成交人发票后</w:t>
      </w:r>
      <w:r>
        <w:rPr>
          <w:rFonts w:ascii="宋体" w:hAnsi="宋体"/>
          <w:sz w:val="28"/>
          <w:szCs w:val="28"/>
        </w:rPr>
        <w:t>10</w:t>
      </w:r>
      <w:r>
        <w:rPr>
          <w:rFonts w:hint="eastAsia" w:ascii="宋体" w:hAnsi="宋体"/>
          <w:sz w:val="28"/>
          <w:szCs w:val="28"/>
        </w:rPr>
        <w:t>个工作日内向乙方支付（对公转账）100%合同款项。</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（七）违约处罚</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(1)采购单位逾期付款的，应按照每日合同总价的3‰的比例向成交人偿付逾期付款的违约金；</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(2)采购单位违反合同规定拒绝接受服务的，应当承担由此对成交人造成的损失。</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pPr>
        <w:numPr>
          <w:ilvl w:val="0"/>
          <w:numId w:val="9"/>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pPr>
        <w:numPr>
          <w:ilvl w:val="0"/>
          <w:numId w:val="9"/>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numPr>
          <w:ilvl w:val="0"/>
          <w:numId w:val="9"/>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pPr>
        <w:spacing w:line="560" w:lineRule="exact"/>
        <w:ind w:firstLine="641" w:firstLineChars="228"/>
        <w:rPr>
          <w:rFonts w:ascii="宋体" w:hAnsi="宋体"/>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：双方因合同发生争议，应在采购方的主持下进行调解，协商不成，可按合同约定向人民法院起诉。</w:t>
      </w:r>
    </w:p>
    <w:p>
      <w:pPr>
        <w:spacing w:line="400" w:lineRule="exact"/>
        <w:ind w:firstLine="640" w:firstLineChars="200"/>
        <w:rPr>
          <w:rFonts w:ascii="宋体" w:hAnsi="宋体"/>
          <w:sz w:val="32"/>
          <w:szCs w:val="32"/>
        </w:rPr>
      </w:pPr>
    </w:p>
    <w:p>
      <w:pPr>
        <w:spacing w:line="400" w:lineRule="exact"/>
        <w:ind w:firstLine="420" w:firstLineChars="200"/>
        <w:rPr>
          <w:rFonts w:ascii="宋体" w:hAnsi="宋体"/>
          <w:sz w:val="28"/>
          <w:szCs w:val="28"/>
        </w:rPr>
      </w:pPr>
      <w:bookmarkStart w:id="28" w:name="_Toc60236710"/>
      <w:bookmarkStart w:id="29" w:name="_Toc13543213"/>
      <w:r>
        <w:rPr>
          <w:rFonts w:hint="eastAsia"/>
        </w:rPr>
        <w:br w:type="page"/>
      </w:r>
      <w:bookmarkEnd w:id="28"/>
      <w:bookmarkEnd w:id="29"/>
    </w:p>
    <w:p>
      <w:pPr>
        <w:pStyle w:val="2"/>
      </w:pPr>
      <w:bookmarkStart w:id="30" w:name="_Toc14310"/>
      <w:r>
        <w:rPr>
          <w:rFonts w:hint="eastAsia"/>
        </w:rPr>
        <w:t>第三部分  报价文件格式</w:t>
      </w:r>
      <w:bookmarkEnd w:id="30"/>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3"/>
        <w:rPr>
          <w:rFonts w:ascii="Calibri" w:hAnsi="Calibri"/>
          <w:b/>
          <w:sz w:val="32"/>
          <w:szCs w:val="32"/>
        </w:rPr>
      </w:pPr>
    </w:p>
    <w:p>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rPr>
          <w:rFonts w:ascii="宋体" w:hAnsi="宋体" w:cs="宋体"/>
          <w:b/>
          <w:bCs/>
          <w:spacing w:val="30"/>
          <w:sz w:val="44"/>
          <w:szCs w:val="44"/>
        </w:rPr>
      </w:pP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10"/>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10"/>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10"/>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10"/>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10"/>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10"/>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10"/>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10"/>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10"/>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11"/>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11"/>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11"/>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11"/>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3"/>
        <w:spacing w:line="480" w:lineRule="exact"/>
        <w:rPr>
          <w:rFonts w:hAnsi="宋体"/>
          <w:sz w:val="28"/>
          <w:szCs w:val="28"/>
        </w:rPr>
      </w:pPr>
      <w:r>
        <w:rPr>
          <w:rFonts w:hint="eastAsia" w:hAnsi="宋体"/>
          <w:sz w:val="28"/>
          <w:szCs w:val="28"/>
        </w:rPr>
        <w:t>注：</w:t>
      </w:r>
    </w:p>
    <w:p>
      <w:pPr>
        <w:pStyle w:val="13"/>
        <w:numPr>
          <w:ilvl w:val="0"/>
          <w:numId w:val="12"/>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3"/>
        <w:numPr>
          <w:ilvl w:val="0"/>
          <w:numId w:val="12"/>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3"/>
        <w:numPr>
          <w:ilvl w:val="0"/>
          <w:numId w:val="12"/>
        </w:numPr>
        <w:spacing w:line="0" w:lineRule="atLeast"/>
        <w:rPr>
          <w:rFonts w:hAnsi="宋体"/>
          <w:sz w:val="28"/>
          <w:szCs w:val="28"/>
        </w:rPr>
      </w:pPr>
      <w:r>
        <w:rPr>
          <w:rFonts w:hint="eastAsia"/>
          <w:sz w:val="28"/>
          <w:szCs w:val="28"/>
        </w:rPr>
        <w:t>填写此表时不得改变表格的形式。</w:t>
      </w:r>
    </w:p>
    <w:p>
      <w:pPr>
        <w:pStyle w:val="13"/>
        <w:numPr>
          <w:ilvl w:val="0"/>
          <w:numId w:val="12"/>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11"/>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ind w:firstLine="241" w:firstLineChars="100"/>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 xml:space="preserve"> 人民币：</w:t>
            </w:r>
          </w:p>
        </w:tc>
      </w:tr>
    </w:tbl>
    <w:p>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pPr>
        <w:pStyle w:val="13"/>
        <w:spacing w:line="0" w:lineRule="atLeast"/>
        <w:ind w:left="336"/>
        <w:rPr>
          <w:rFonts w:hAnsi="宋体"/>
          <w:sz w:val="28"/>
          <w:szCs w:val="28"/>
        </w:rPr>
      </w:pPr>
      <w:r>
        <w:rPr>
          <w:rFonts w:hint="eastAsia" w:hAnsi="宋体"/>
          <w:sz w:val="28"/>
          <w:szCs w:val="28"/>
        </w:rPr>
        <w:t>3、对于报价免费的项目必须标明“免费”。</w:t>
      </w:r>
    </w:p>
    <w:p>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3"/>
        <w:jc w:val="left"/>
        <w:rPr>
          <w:rFonts w:ascii="Times New Roman" w:hAnsi="Times New Roman"/>
          <w:szCs w:val="21"/>
        </w:rPr>
      </w:pPr>
    </w:p>
    <w:p>
      <w:pPr>
        <w:pStyle w:val="13"/>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hint="eastAsia" w:ascii="宋体" w:hAnsi="宋体" w:cs="宋体"/>
          <w:bCs/>
          <w:color w:val="000000"/>
          <w:szCs w:val="21"/>
        </w:rPr>
      </w:pPr>
      <w:r>
        <w:rPr>
          <w:rFonts w:hint="eastAsia" w:ascii="宋体" w:hAnsi="宋体"/>
          <w:sz w:val="32"/>
          <w:szCs w:val="32"/>
        </w:rPr>
        <w:t>报价人单位（盖章）：</w:t>
      </w:r>
    </w:p>
    <w:p>
      <w:pPr>
        <w:numPr>
          <w:ilvl w:val="0"/>
          <w:numId w:val="11"/>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7"/>
        <w:gridCol w:w="1471"/>
        <w:gridCol w:w="602"/>
        <w:gridCol w:w="602"/>
        <w:gridCol w:w="1471"/>
        <w:gridCol w:w="1758"/>
        <w:gridCol w:w="15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hint="eastAsia" w:ascii="宋体" w:hAnsi="宋体"/>
          <w:sz w:val="32"/>
          <w:szCs w:val="32"/>
        </w:rPr>
      </w:pPr>
      <w:r>
        <w:rPr>
          <w:rFonts w:hint="eastAsia" w:ascii="宋体" w:hAnsi="宋体"/>
          <w:sz w:val="32"/>
          <w:szCs w:val="32"/>
        </w:rPr>
        <w:t>报价人单位（盖章）：</w:t>
      </w:r>
    </w:p>
    <w:p>
      <w:pPr>
        <w:numPr>
          <w:ilvl w:val="0"/>
          <w:numId w:val="11"/>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11"/>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13"/>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13"/>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13"/>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13"/>
        </w:numPr>
        <w:spacing w:line="400" w:lineRule="exact"/>
        <w:rPr>
          <w:rFonts w:ascii="宋体" w:hAnsi="宋体"/>
          <w:sz w:val="24"/>
        </w:rPr>
      </w:pPr>
      <w:r>
        <w:rPr>
          <w:rFonts w:hint="eastAsia" w:ascii="宋体" w:hAnsi="宋体"/>
          <w:sz w:val="24"/>
        </w:rPr>
        <w:t>我方理解贵方不一定接受最低报价。</w:t>
      </w:r>
    </w:p>
    <w:p>
      <w:pPr>
        <w:numPr>
          <w:ilvl w:val="0"/>
          <w:numId w:val="13"/>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13"/>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13"/>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14"/>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13"/>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13"/>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11"/>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516C91-53FB-4DE9-8512-6E16751FFE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29EC3BC-287D-4D47-8A5D-6ED3DA90ADF9}"/>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昆仑楷体">
    <w:altName w:val="宋体"/>
    <w:panose1 w:val="020B0604020202020204"/>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0"/>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embedRegular r:id="rId3" w:fontKey="{39B2BEDB-F7A1-4FA0-8EC9-569620A5C20F}"/>
  </w:font>
  <w:font w:name="仿宋">
    <w:panose1 w:val="02010609060101010101"/>
    <w:charset w:val="86"/>
    <w:family w:val="modern"/>
    <w:pitch w:val="default"/>
    <w:sig w:usb0="800002BF" w:usb1="38CF7CFA" w:usb2="00000016" w:usb3="00000000" w:csb0="00040001" w:csb1="00000000"/>
  </w:font>
  <w:font w:name="Hiragino Sans GB W3">
    <w:altName w:val="Arial Unicode MS"/>
    <w:panose1 w:val="020B0300000000000000"/>
    <w:charset w:val="80"/>
    <w:family w:val="swiss"/>
    <w:pitch w:val="default"/>
    <w:sig w:usb0="00000000" w:usb1="00000000" w:usb2="00000016" w:usb3="00000000" w:csb0="00060007" w:csb1="00000000"/>
  </w:font>
  <w:font w:name="方正小标宋_GBK">
    <w:panose1 w:val="02000000000000000000"/>
    <w:charset w:val="86"/>
    <w:family w:val="auto"/>
    <w:pitch w:val="default"/>
    <w:sig w:usb0="A00002BF" w:usb1="38CF7CFA" w:usb2="00082016" w:usb3="00000000" w:csb0="00040001" w:csb1="00000000"/>
    <w:embedRegular r:id="rId4" w:fontKey="{70A24805-DB7A-4CAB-95EF-92192D21375C}"/>
  </w:font>
  <w:font w:name="楷体_GB2312">
    <w:altName w:val="楷体"/>
    <w:panose1 w:val="020B0604020202020204"/>
    <w:charset w:val="86"/>
    <w:family w:val="modern"/>
    <w:pitch w:val="default"/>
    <w:sig w:usb0="00000000" w:usb1="00000000" w:usb2="00000000" w:usb3="00000000" w:csb0="00040000" w:csb1="00000000"/>
    <w:embedRegular r:id="rId5" w:fontKey="{2A78B64F-9774-4F6E-8174-4C085AFCEDB4}"/>
  </w:font>
  <w:font w:name="楷体">
    <w:panose1 w:val="02010609060101010101"/>
    <w:charset w:val="86"/>
    <w:family w:val="modern"/>
    <w:pitch w:val="default"/>
    <w:sig w:usb0="800002BF" w:usb1="38CF7CFA" w:usb2="00000016" w:usb3="00000000" w:csb0="00040001" w:csb1="00000000"/>
    <w:embedRegular r:id="rId6" w:fontKey="{18C4C5CE-1613-47DB-91AD-29D4D7DF1E05}"/>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txbxContent>
                    </wps:txbx>
                    <wps:bodyPr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wrap="none" lIns="0" tIns="0" rIns="0" bIns="0" anchor="t" anchorCtr="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7"/>
                          </w:pPr>
                          <w:r>
                            <w:fldChar w:fldCharType="begin"/>
                          </w:r>
                          <w:r>
                            <w:instrText xml:space="preserve"> PAGE  \* MERGEFORMAT </w:instrText>
                          </w:r>
                          <w:r>
                            <w:fldChar w:fldCharType="separate"/>
                          </w:r>
                          <w:r>
                            <w:t>0</w:t>
                          </w:r>
                          <w:r>
                            <w:fldChar w:fldCharType="end"/>
                          </w:r>
                        </w:p>
                      </w:txbxContent>
                    </wps:txbx>
                    <wps:bodyPr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E91F1F3E"/>
    <w:multiLevelType w:val="singleLevel"/>
    <w:tmpl w:val="E91F1F3E"/>
    <w:lvl w:ilvl="0" w:tentative="0">
      <w:start w:val="7"/>
      <w:numFmt w:val="chineseCounting"/>
      <w:suff w:val="nothing"/>
      <w:lvlText w:val="%1、"/>
      <w:lvlJc w:val="left"/>
      <w:rPr>
        <w:rFonts w:hint="eastAsia"/>
      </w:rPr>
    </w:lvl>
  </w:abstractNum>
  <w:abstractNum w:abstractNumId="3">
    <w:nsid w:val="EB38B49D"/>
    <w:multiLevelType w:val="singleLevel"/>
    <w:tmpl w:val="EB38B49D"/>
    <w:lvl w:ilvl="0" w:tentative="0">
      <w:start w:val="1"/>
      <w:numFmt w:val="decimal"/>
      <w:suff w:val="nothing"/>
      <w:lvlText w:val="%1、"/>
      <w:lvlJc w:val="left"/>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6C47409"/>
    <w:multiLevelType w:val="singleLevel"/>
    <w:tmpl w:val="46C47409"/>
    <w:lvl w:ilvl="0" w:tentative="0">
      <w:start w:val="1"/>
      <w:numFmt w:val="decimal"/>
      <w:suff w:val="nothing"/>
      <w:lvlText w:val="%1、"/>
      <w:lvlJc w:val="left"/>
    </w:lvl>
  </w:abstractNum>
  <w:abstractNum w:abstractNumId="7">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C3C74AC"/>
    <w:multiLevelType w:val="singleLevel"/>
    <w:tmpl w:val="5C3C74AC"/>
    <w:lvl w:ilvl="0" w:tentative="0">
      <w:start w:val="1"/>
      <w:numFmt w:val="chineseCounting"/>
      <w:suff w:val="nothing"/>
      <w:lvlText w:val="%1、"/>
      <w:lvlJc w:val="left"/>
      <w:rPr>
        <w:rFonts w:hint="eastAsia"/>
      </w:rPr>
    </w:lvl>
  </w:abstractNum>
  <w:abstractNum w:abstractNumId="9">
    <w:nsid w:val="5D1ACA94"/>
    <w:multiLevelType w:val="singleLevel"/>
    <w:tmpl w:val="5D1ACA94"/>
    <w:lvl w:ilvl="0" w:tentative="0">
      <w:start w:val="3"/>
      <w:numFmt w:val="decimal"/>
      <w:suff w:val="nothing"/>
      <w:lvlText w:val="%1、"/>
      <w:lvlJc w:val="left"/>
    </w:lvl>
  </w:abstractNum>
  <w:abstractNum w:abstractNumId="10">
    <w:nsid w:val="6516F8B6"/>
    <w:multiLevelType w:val="singleLevel"/>
    <w:tmpl w:val="6516F8B6"/>
    <w:lvl w:ilvl="0" w:tentative="0">
      <w:start w:val="1"/>
      <w:numFmt w:val="decimal"/>
      <w:suff w:val="nothing"/>
      <w:lvlText w:val="%1、"/>
      <w:lvlJc w:val="left"/>
    </w:lvl>
  </w:abstractNum>
  <w:abstractNum w:abstractNumId="11">
    <w:nsid w:val="659D17DB"/>
    <w:multiLevelType w:val="multilevel"/>
    <w:tmpl w:val="659D17DB"/>
    <w:lvl w:ilvl="0" w:tentative="0">
      <w:start w:val="1"/>
      <w:numFmt w:val="decimal"/>
      <w:lvlText w:val="%1、"/>
      <w:lvlJc w:val="left"/>
      <w:pPr>
        <w:ind w:left="1000" w:hanging="720"/>
      </w:pPr>
      <w:rPr>
        <w:rFonts w:hint="default"/>
      </w:rPr>
    </w:lvl>
    <w:lvl w:ilvl="1" w:tentative="0">
      <w:start w:val="1"/>
      <w:numFmt w:val="lowerLetter"/>
      <w:lvlText w:val="%2)"/>
      <w:lvlJc w:val="left"/>
      <w:pPr>
        <w:ind w:left="1160" w:hanging="440"/>
      </w:pPr>
    </w:lvl>
    <w:lvl w:ilvl="2" w:tentative="0">
      <w:start w:val="1"/>
      <w:numFmt w:val="lowerRoman"/>
      <w:lvlText w:val="%3."/>
      <w:lvlJc w:val="right"/>
      <w:pPr>
        <w:ind w:left="1600" w:hanging="440"/>
      </w:pPr>
    </w:lvl>
    <w:lvl w:ilvl="3" w:tentative="0">
      <w:start w:val="1"/>
      <w:numFmt w:val="decimal"/>
      <w:lvlText w:val="%4."/>
      <w:lvlJc w:val="left"/>
      <w:pPr>
        <w:ind w:left="2040" w:hanging="440"/>
      </w:pPr>
    </w:lvl>
    <w:lvl w:ilvl="4" w:tentative="0">
      <w:start w:val="1"/>
      <w:numFmt w:val="lowerLetter"/>
      <w:lvlText w:val="%5)"/>
      <w:lvlJc w:val="left"/>
      <w:pPr>
        <w:ind w:left="2480" w:hanging="440"/>
      </w:pPr>
    </w:lvl>
    <w:lvl w:ilvl="5" w:tentative="0">
      <w:start w:val="1"/>
      <w:numFmt w:val="lowerRoman"/>
      <w:lvlText w:val="%6."/>
      <w:lvlJc w:val="right"/>
      <w:pPr>
        <w:ind w:left="2920" w:hanging="440"/>
      </w:pPr>
    </w:lvl>
    <w:lvl w:ilvl="6" w:tentative="0">
      <w:start w:val="1"/>
      <w:numFmt w:val="decimal"/>
      <w:lvlText w:val="%7."/>
      <w:lvlJc w:val="left"/>
      <w:pPr>
        <w:ind w:left="3360" w:hanging="440"/>
      </w:pPr>
    </w:lvl>
    <w:lvl w:ilvl="7" w:tentative="0">
      <w:start w:val="1"/>
      <w:numFmt w:val="lowerLetter"/>
      <w:lvlText w:val="%8)"/>
      <w:lvlJc w:val="left"/>
      <w:pPr>
        <w:ind w:left="3800" w:hanging="440"/>
      </w:pPr>
    </w:lvl>
    <w:lvl w:ilvl="8" w:tentative="0">
      <w:start w:val="1"/>
      <w:numFmt w:val="lowerRoman"/>
      <w:lvlText w:val="%9."/>
      <w:lvlJc w:val="right"/>
      <w:pPr>
        <w:ind w:left="4240" w:hanging="440"/>
      </w:pPr>
    </w:lvl>
  </w:abstractNum>
  <w:abstractNum w:abstractNumId="12">
    <w:nsid w:val="663E4352"/>
    <w:multiLevelType w:val="singleLevel"/>
    <w:tmpl w:val="663E4352"/>
    <w:lvl w:ilvl="0" w:tentative="0">
      <w:start w:val="1"/>
      <w:numFmt w:val="decimal"/>
      <w:suff w:val="nothing"/>
      <w:lvlText w:val="%1、"/>
      <w:lvlJc w:val="left"/>
    </w:lvl>
  </w:abstractNum>
  <w:num w:numId="1">
    <w:abstractNumId w:val="5"/>
  </w:num>
  <w:num w:numId="2">
    <w:abstractNumId w:val="9"/>
  </w:num>
  <w:num w:numId="3">
    <w:abstractNumId w:val="2"/>
  </w:num>
  <w:num w:numId="4">
    <w:abstractNumId w:val="10"/>
  </w:num>
  <w:num w:numId="5">
    <w:abstractNumId w:val="3"/>
  </w:num>
  <w:num w:numId="6">
    <w:abstractNumId w:val="6"/>
  </w:num>
  <w:num w:numId="7">
    <w:abstractNumId w:val="12"/>
  </w:num>
  <w:num w:numId="8">
    <w:abstractNumId w:val="11"/>
  </w:num>
  <w:num w:numId="9">
    <w:abstractNumId w:val="1"/>
  </w:num>
  <w:num w:numId="10">
    <w:abstractNumId w:val="8"/>
  </w:num>
  <w:num w:numId="11">
    <w:abstractNumId w:val="0"/>
  </w:num>
  <w:num w:numId="12">
    <w:abstractNumId w:val="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OGVkNDc0NjU2ODUzYjRmMTgzMmQxNTlkZTcyOTYifQ=="/>
  </w:docVars>
  <w:rsids>
    <w:rsidRoot w:val="0035466F"/>
    <w:rsid w:val="0000110D"/>
    <w:rsid w:val="000018E0"/>
    <w:rsid w:val="00002B68"/>
    <w:rsid w:val="000030F4"/>
    <w:rsid w:val="0000360D"/>
    <w:rsid w:val="00003C6D"/>
    <w:rsid w:val="00003F0D"/>
    <w:rsid w:val="00004A47"/>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4142"/>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598A"/>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5501"/>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040"/>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BEA"/>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6663"/>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B7FE8"/>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769"/>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04770"/>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31A"/>
    <w:rsid w:val="00E66858"/>
    <w:rsid w:val="00E66BC4"/>
    <w:rsid w:val="00E66DA5"/>
    <w:rsid w:val="00E66DA9"/>
    <w:rsid w:val="00E7056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63F"/>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1B33"/>
    <w:rsid w:val="00F729F2"/>
    <w:rsid w:val="00F736C7"/>
    <w:rsid w:val="00F7384B"/>
    <w:rsid w:val="00F755F0"/>
    <w:rsid w:val="00F75A0A"/>
    <w:rsid w:val="00F75A6E"/>
    <w:rsid w:val="00F75BB5"/>
    <w:rsid w:val="00F76ABD"/>
    <w:rsid w:val="00F76E26"/>
    <w:rsid w:val="00F77645"/>
    <w:rsid w:val="00F800E0"/>
    <w:rsid w:val="00F80AC5"/>
    <w:rsid w:val="00F80D94"/>
    <w:rsid w:val="00F8126A"/>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BD11C9"/>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20BC39CA"/>
    <w:rsid w:val="213E5304"/>
    <w:rsid w:val="21E00F42"/>
    <w:rsid w:val="245F6E0F"/>
    <w:rsid w:val="24905418"/>
    <w:rsid w:val="263B5217"/>
    <w:rsid w:val="27192484"/>
    <w:rsid w:val="27C423D8"/>
    <w:rsid w:val="28E13EA5"/>
    <w:rsid w:val="291150CE"/>
    <w:rsid w:val="2E2429AD"/>
    <w:rsid w:val="2E7F096C"/>
    <w:rsid w:val="2E950643"/>
    <w:rsid w:val="305B2BFC"/>
    <w:rsid w:val="311763F2"/>
    <w:rsid w:val="322D06A3"/>
    <w:rsid w:val="3237724D"/>
    <w:rsid w:val="32C61B83"/>
    <w:rsid w:val="344B05CF"/>
    <w:rsid w:val="34683033"/>
    <w:rsid w:val="35B77661"/>
    <w:rsid w:val="36583023"/>
    <w:rsid w:val="3713274F"/>
    <w:rsid w:val="39A6093D"/>
    <w:rsid w:val="3BF75747"/>
    <w:rsid w:val="3D832EB5"/>
    <w:rsid w:val="3EB43B95"/>
    <w:rsid w:val="3F0535D6"/>
    <w:rsid w:val="401A05CF"/>
    <w:rsid w:val="40652603"/>
    <w:rsid w:val="42532A81"/>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8742FE5"/>
    <w:rsid w:val="697C1D6F"/>
    <w:rsid w:val="6A80153E"/>
    <w:rsid w:val="6F544E68"/>
    <w:rsid w:val="719242C5"/>
    <w:rsid w:val="72B62304"/>
    <w:rsid w:val="742D0AEA"/>
    <w:rsid w:val="750157C1"/>
    <w:rsid w:val="77F228DE"/>
    <w:rsid w:val="78851ED1"/>
    <w:rsid w:val="79C61CFF"/>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字符"/>
    <w:link w:val="21"/>
    <w:qFormat/>
    <w:uiPriority w:val="0"/>
    <w:rPr>
      <w:rFonts w:ascii="Cambria" w:hAnsi="Cambria" w:eastAsia="宋体" w:cs="Times New Roman"/>
      <w:b/>
      <w:bCs/>
      <w:kern w:val="28"/>
      <w:sz w:val="32"/>
      <w:szCs w:val="32"/>
    </w:rPr>
  </w:style>
  <w:style w:type="character" w:customStyle="1" w:styleId="38">
    <w:name w:val="日期 字符"/>
    <w:link w:val="14"/>
    <w:qFormat/>
    <w:uiPriority w:val="0"/>
    <w:rPr>
      <w:rFonts w:ascii="Times New Roman" w:hAnsi="Times New Roman" w:eastAsia="宋体" w:cs="Times New Roman"/>
      <w:sz w:val="28"/>
      <w:szCs w:val="24"/>
    </w:rPr>
  </w:style>
  <w:style w:type="character" w:customStyle="1" w:styleId="39">
    <w:name w:val="脚注文本 字符"/>
    <w:link w:val="22"/>
    <w:qFormat/>
    <w:uiPriority w:val="0"/>
    <w:rPr>
      <w:rFonts w:ascii="Times New Roman" w:hAnsi="Times New Roman" w:eastAsia="宋体" w:cs="Times New Roman"/>
      <w:sz w:val="18"/>
      <w:szCs w:val="18"/>
    </w:rPr>
  </w:style>
  <w:style w:type="character" w:customStyle="1" w:styleId="40">
    <w:name w:val="批注框文本 字符"/>
    <w:link w:val="9"/>
    <w:semiHidden/>
    <w:qFormat/>
    <w:uiPriority w:val="0"/>
    <w:rPr>
      <w:rFonts w:ascii="Times New Roman" w:hAnsi="Times New Roman"/>
      <w:kern w:val="2"/>
      <w:sz w:val="28"/>
      <w:szCs w:val="18"/>
    </w:rPr>
  </w:style>
  <w:style w:type="character" w:customStyle="1" w:styleId="41">
    <w:name w:val="纯文本 字符"/>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字符"/>
    <w:link w:val="23"/>
    <w:qFormat/>
    <w:uiPriority w:val="0"/>
    <w:rPr>
      <w:rFonts w:ascii="宋体" w:hAnsi="Times New Roman" w:eastAsia="宋体" w:cs="Times New Roman"/>
      <w:sz w:val="28"/>
      <w:szCs w:val="20"/>
    </w:rPr>
  </w:style>
  <w:style w:type="character" w:customStyle="1" w:styleId="46">
    <w:name w:val="正文缩进 字符"/>
    <w:link w:val="6"/>
    <w:qFormat/>
    <w:uiPriority w:val="0"/>
    <w:rPr>
      <w:rFonts w:eastAsia="宋体"/>
    </w:rPr>
  </w:style>
  <w:style w:type="character" w:customStyle="1" w:styleId="47">
    <w:name w:val="标题 2 字符"/>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字符"/>
    <w:link w:val="17"/>
    <w:qFormat/>
    <w:uiPriority w:val="0"/>
    <w:rPr>
      <w:sz w:val="18"/>
      <w:szCs w:val="18"/>
    </w:rPr>
  </w:style>
  <w:style w:type="character" w:customStyle="1" w:styleId="51">
    <w:name w:val="标题 3 字符"/>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字符"/>
    <w:link w:val="10"/>
    <w:qFormat/>
    <w:uiPriority w:val="0"/>
    <w:rPr>
      <w:rFonts w:ascii="宋体" w:hAnsi="宋体" w:eastAsia="宋体" w:cs="Times New Roman"/>
      <w:sz w:val="24"/>
      <w:szCs w:val="24"/>
    </w:rPr>
  </w:style>
  <w:style w:type="character" w:customStyle="1" w:styleId="55">
    <w:name w:val="页脚 字符"/>
    <w:link w:val="16"/>
    <w:qFormat/>
    <w:uiPriority w:val="0"/>
    <w:rPr>
      <w:rFonts w:ascii="Times New Roman" w:hAnsi="Times New Roman" w:eastAsia="宋体" w:cs="Times New Roman"/>
      <w:sz w:val="18"/>
      <w:szCs w:val="18"/>
    </w:rPr>
  </w:style>
  <w:style w:type="character" w:customStyle="1" w:styleId="56">
    <w:name w:val="标题 4 字符"/>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字符"/>
    <w:link w:val="2"/>
    <w:qFormat/>
    <w:uiPriority w:val="0"/>
    <w:rPr>
      <w:rFonts w:ascii="Times New Roman" w:hAnsi="Times New Roman" w:eastAsia="宋体" w:cs="Times New Roman"/>
      <w:b/>
      <w:bCs/>
      <w:kern w:val="44"/>
      <w:sz w:val="44"/>
      <w:szCs w:val="44"/>
    </w:rPr>
  </w:style>
  <w:style w:type="character" w:customStyle="1" w:styleId="59">
    <w:name w:val="正文文本缩进 2 字符"/>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字符"/>
    <w:link w:val="7"/>
    <w:semiHidden/>
    <w:qFormat/>
    <w:uiPriority w:val="0"/>
    <w:rPr>
      <w:rFonts w:ascii="Times New Roman" w:hAnsi="Times New Roman" w:eastAsia="宋体" w:cs="Times New Roman"/>
      <w:szCs w:val="24"/>
      <w:shd w:val="clear" w:color="auto" w:fill="000080"/>
    </w:rPr>
  </w:style>
  <w:style w:type="character" w:customStyle="1" w:styleId="62">
    <w:name w:val="批注主题 字符"/>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字符"/>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02">
    <w:name w:val="表格文字"/>
    <w:basedOn w:val="1"/>
    <w:qFormat/>
    <w:uiPriority w:val="0"/>
    <w:pPr>
      <w:spacing w:before="25" w:after="25"/>
      <w:jc w:val="left"/>
    </w:pPr>
    <w:rPr>
      <w:bCs/>
      <w:spacing w:val="10"/>
      <w:kern w:val="0"/>
      <w:sz w:val="24"/>
      <w:szCs w:val="20"/>
    </w:rPr>
  </w:style>
  <w:style w:type="paragraph" w:customStyle="1" w:styleId="103">
    <w:name w:val="正文（培训）"/>
    <w:basedOn w:val="1"/>
    <w:qFormat/>
    <w:uiPriority w:val="0"/>
    <w:pPr>
      <w:adjustRightInd w:val="0"/>
      <w:snapToGrid w:val="0"/>
      <w:spacing w:line="360" w:lineRule="auto"/>
      <w:ind w:firstLine="440"/>
    </w:pPr>
    <w:rPr>
      <w:rFonts w:ascii="Hiragino Sans GB W3" w:hAnsi="Hiragino Sans GB W3" w:eastAsia="Hiragino Sans GB W3" w:cs="宋体"/>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37</Pages>
  <Words>2351</Words>
  <Characters>13403</Characters>
  <Lines>111</Lines>
  <Paragraphs>31</Paragraphs>
  <TotalTime>9</TotalTime>
  <ScaleCrop>false</ScaleCrop>
  <LinksUpToDate>false</LinksUpToDate>
  <CharactersWithSpaces>15723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吴薇</cp:lastModifiedBy>
  <cp:lastPrinted>2022-01-21T10:35:00Z</cp:lastPrinted>
  <dcterms:modified xsi:type="dcterms:W3CDTF">2023-10-16T04:57:53Z</dcterms:modified>
  <cp:revision>953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53A00491BC7044D4B19385485B426CF9_13</vt:lpwstr>
  </property>
</Properties>
</file>