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BC1F4">
      <w:pPr>
        <w:jc w:val="center"/>
      </w:pPr>
    </w:p>
    <w:p w14:paraId="13BF8E1D">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4CB2AB10"/>
    <w:p w14:paraId="04644A41">
      <w:pPr>
        <w:ind w:left="5" w:hanging="5"/>
        <w:jc w:val="center"/>
        <w:rPr>
          <w:rFonts w:eastAsia="黑体"/>
          <w:b/>
          <w:sz w:val="72"/>
          <w:szCs w:val="56"/>
        </w:rPr>
      </w:pPr>
      <w:r>
        <w:rPr>
          <w:rFonts w:hint="eastAsia" w:eastAsia="黑体"/>
          <w:b/>
          <w:sz w:val="72"/>
          <w:szCs w:val="56"/>
        </w:rPr>
        <w:t>校内分散采购</w:t>
      </w:r>
    </w:p>
    <w:p w14:paraId="2C60EF3F">
      <w:pPr>
        <w:ind w:left="425"/>
        <w:jc w:val="center"/>
        <w:rPr>
          <w:rFonts w:eastAsia="黑体"/>
          <w:b/>
          <w:sz w:val="72"/>
          <w:szCs w:val="56"/>
        </w:rPr>
      </w:pPr>
    </w:p>
    <w:p w14:paraId="10572EF7">
      <w:pPr>
        <w:ind w:left="5" w:hanging="5"/>
        <w:jc w:val="center"/>
        <w:rPr>
          <w:rFonts w:eastAsia="黑体"/>
          <w:b/>
          <w:sz w:val="72"/>
          <w:szCs w:val="56"/>
        </w:rPr>
      </w:pPr>
      <w:r>
        <w:rPr>
          <w:rFonts w:hint="eastAsia" w:eastAsia="黑体"/>
          <w:b/>
          <w:sz w:val="72"/>
          <w:szCs w:val="56"/>
        </w:rPr>
        <w:t>采</w:t>
      </w:r>
    </w:p>
    <w:p w14:paraId="5B70A879">
      <w:pPr>
        <w:ind w:left="5" w:hanging="5"/>
        <w:jc w:val="center"/>
        <w:rPr>
          <w:rFonts w:eastAsia="黑体"/>
          <w:b/>
          <w:sz w:val="72"/>
          <w:szCs w:val="56"/>
        </w:rPr>
      </w:pPr>
      <w:r>
        <w:rPr>
          <w:rFonts w:hint="eastAsia" w:eastAsia="黑体"/>
          <w:b/>
          <w:sz w:val="72"/>
          <w:szCs w:val="56"/>
        </w:rPr>
        <w:t>购</w:t>
      </w:r>
    </w:p>
    <w:p w14:paraId="2DE601E3">
      <w:pPr>
        <w:ind w:left="5" w:hanging="5"/>
        <w:jc w:val="center"/>
        <w:rPr>
          <w:rFonts w:eastAsia="黑体"/>
          <w:b/>
          <w:sz w:val="72"/>
          <w:szCs w:val="56"/>
        </w:rPr>
      </w:pPr>
      <w:r>
        <w:rPr>
          <w:rFonts w:hint="eastAsia" w:eastAsia="黑体"/>
          <w:b/>
          <w:sz w:val="72"/>
          <w:szCs w:val="56"/>
        </w:rPr>
        <w:t>书</w:t>
      </w:r>
    </w:p>
    <w:p w14:paraId="2B342F3F">
      <w:pPr>
        <w:spacing w:line="760" w:lineRule="exact"/>
        <w:jc w:val="center"/>
        <w:rPr>
          <w:b/>
          <w:sz w:val="36"/>
        </w:rPr>
      </w:pPr>
      <w:r>
        <w:rPr>
          <w:rFonts w:hint="eastAsia"/>
          <w:b/>
          <w:sz w:val="36"/>
        </w:rPr>
        <w:t>（适用于公开采购方式）</w:t>
      </w:r>
    </w:p>
    <w:p w14:paraId="58C1B8E6">
      <w:pPr>
        <w:spacing w:line="760" w:lineRule="exact"/>
        <w:ind w:firstLine="1084" w:firstLineChars="300"/>
        <w:rPr>
          <w:b/>
          <w:sz w:val="36"/>
        </w:rPr>
      </w:pPr>
    </w:p>
    <w:p w14:paraId="73161FC9">
      <w:pPr>
        <w:spacing w:line="760" w:lineRule="exact"/>
        <w:ind w:left="2884" w:leftChars="513" w:hanging="1807" w:hangingChars="500"/>
        <w:rPr>
          <w:rFonts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广东财经大学南区图书馆改造工程项目工程结算审核评价服务                       　</w:t>
      </w:r>
    </w:p>
    <w:p w14:paraId="496CAFE5">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36"/>
          <w:u w:val="single"/>
          <w:lang w:eastAsia="zh-CN"/>
        </w:rPr>
        <w:t>审计部</w:t>
      </w:r>
      <w:r>
        <w:rPr>
          <w:rFonts w:hint="eastAsia" w:ascii="宋体" w:hAnsi="宋体"/>
          <w:b/>
          <w:sz w:val="36"/>
          <w:u w:val="single"/>
        </w:rPr>
        <w:t xml:space="preserve">         </w:t>
      </w:r>
    </w:p>
    <w:p w14:paraId="15C9D571">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 xml:space="preserve"> 2025年12月30日</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62603A3E">
      <w:pPr>
        <w:spacing w:line="760" w:lineRule="exact"/>
        <w:ind w:firstLine="1084" w:firstLineChars="300"/>
        <w:rPr>
          <w:rFonts w:ascii="宋体" w:hAnsi="宋体"/>
          <w:b/>
          <w:sz w:val="36"/>
          <w:szCs w:val="36"/>
          <w:u w:val="single"/>
        </w:rPr>
      </w:pPr>
    </w:p>
    <w:p w14:paraId="48637A8F">
      <w:pPr>
        <w:jc w:val="center"/>
        <w:rPr>
          <w:b/>
          <w:sz w:val="52"/>
          <w:szCs w:val="52"/>
        </w:rPr>
      </w:pPr>
      <w:r>
        <w:rPr>
          <w:rFonts w:hint="eastAsia"/>
          <w:sz w:val="52"/>
          <w:szCs w:val="52"/>
        </w:rPr>
        <w:t>目录</w:t>
      </w:r>
    </w:p>
    <w:p w14:paraId="678499BC">
      <w:pPr>
        <w:pStyle w:val="19"/>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ED90A7C">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D907BF8">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5AC8530">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9BAD3F5">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fldChar w:fldCharType="end"/>
      </w:r>
    </w:p>
    <w:p w14:paraId="005688CA">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0C3A6A4">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925F357">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fldChar w:fldCharType="end"/>
      </w:r>
    </w:p>
    <w:p w14:paraId="138438E3">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9C420BD">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sz w:val="28"/>
          <w:szCs w:val="28"/>
          <w:lang w:eastAsia="zh-CN"/>
        </w:rPr>
        <w:t>需求内容说明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B571209">
      <w:pPr>
        <w:pStyle w:val="25"/>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sz w:val="28"/>
          <w:szCs w:val="28"/>
          <w:lang w:eastAsia="zh-CN"/>
        </w:rPr>
        <w:t>服务</w:t>
      </w:r>
      <w:r>
        <w:rPr>
          <w:rFonts w:hint="eastAsia" w:asciiTheme="minorEastAsia" w:hAnsiTheme="minorEastAsia" w:eastAsiaTheme="minorEastAsia" w:cstheme="minorEastAsia"/>
          <w:sz w:val="28"/>
          <w:szCs w:val="28"/>
        </w:rPr>
        <w:t>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F91582C">
      <w:pPr>
        <w:pStyle w:val="25"/>
        <w:tabs>
          <w:tab w:val="right" w:leader="dot" w:pos="8846"/>
        </w:tabs>
        <w:rPr>
          <w:rFonts w:hint="default" w:eastAsiaTheme="minorEastAsia"/>
          <w:sz w:val="28"/>
          <w:szCs w:val="28"/>
          <w:lang w:val="en-US" w:eastAsia="zh-CN"/>
        </w:rPr>
      </w:pPr>
      <w:r>
        <w:rPr>
          <w:rFonts w:hint="eastAsia"/>
          <w:sz w:val="28"/>
          <w:szCs w:val="28"/>
          <w:lang w:eastAsia="zh-CN"/>
        </w:rPr>
        <w:t>三、项目质量与验收标准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18</w:t>
      </w:r>
    </w:p>
    <w:p w14:paraId="6455A9C4">
      <w:pPr>
        <w:pStyle w:val="25"/>
        <w:tabs>
          <w:tab w:val="right" w:leader="dot" w:pos="8846"/>
        </w:tabs>
        <w:rPr>
          <w:rFonts w:hint="eastAsia"/>
          <w:sz w:val="28"/>
          <w:szCs w:val="28"/>
          <w:lang w:val="en-US" w:eastAsia="zh-CN"/>
        </w:rPr>
      </w:pPr>
      <w:r>
        <w:rPr>
          <w:rFonts w:hint="eastAsia"/>
          <w:sz w:val="28"/>
          <w:szCs w:val="28"/>
          <w:lang w:eastAsia="zh-CN"/>
        </w:rPr>
        <w:t>四、服务费用及支付方式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18</w:t>
      </w:r>
    </w:p>
    <w:p w14:paraId="6C73C44A">
      <w:pPr>
        <w:pStyle w:val="25"/>
        <w:tabs>
          <w:tab w:val="right" w:leader="dot" w:pos="8846"/>
        </w:tabs>
        <w:rPr>
          <w:rFonts w:hint="default" w:asciiTheme="minorEastAsia" w:hAnsiTheme="minorEastAsia" w:eastAsiaTheme="minorEastAsia" w:cstheme="minorEastAsia"/>
          <w:sz w:val="28"/>
          <w:szCs w:val="28"/>
          <w:lang w:val="en-US" w:eastAsia="zh-CN"/>
        </w:rPr>
      </w:pPr>
      <w:r>
        <w:rPr>
          <w:rFonts w:hint="eastAsia"/>
          <w:sz w:val="28"/>
          <w:szCs w:val="28"/>
          <w:lang w:val="en-US" w:eastAsia="zh-CN"/>
        </w:rPr>
        <w:t>五、违约处罚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19</w:t>
      </w:r>
    </w:p>
    <w:p w14:paraId="086444B5">
      <w:pPr>
        <w:pStyle w:val="25"/>
        <w:tabs>
          <w:tab w:val="right" w:leader="dot" w:pos="8846"/>
        </w:tabs>
        <w:rPr>
          <w:rFonts w:hint="default" w:asciiTheme="minorEastAsia" w:hAnsiTheme="minorEastAsia" w:eastAsiaTheme="minorEastAsia" w:cstheme="minorEastAsia"/>
          <w:sz w:val="28"/>
          <w:szCs w:val="28"/>
          <w:lang w:val="en-US" w:eastAsia="zh-CN"/>
        </w:rPr>
      </w:pPr>
      <w:r>
        <w:rPr>
          <w:rFonts w:hint="eastAsia"/>
          <w:sz w:val="28"/>
          <w:szCs w:val="28"/>
          <w:lang w:val="en-US" w:eastAsia="zh-CN"/>
        </w:rPr>
        <w:t>六、其他要求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20</w:t>
      </w:r>
    </w:p>
    <w:p w14:paraId="77DC731D">
      <w:pPr>
        <w:pStyle w:val="25"/>
        <w:tabs>
          <w:tab w:val="right" w:leader="dot" w:pos="8846"/>
        </w:tabs>
        <w:rPr>
          <w:rFonts w:hint="default" w:eastAsiaTheme="minorEastAsia"/>
          <w:sz w:val="28"/>
          <w:szCs w:val="28"/>
          <w:lang w:val="en-US" w:eastAsia="zh-CN"/>
        </w:rPr>
      </w:pPr>
      <w:r>
        <w:rPr>
          <w:rFonts w:hint="eastAsia"/>
          <w:sz w:val="28"/>
          <w:szCs w:val="28"/>
          <w:lang w:val="en-US" w:eastAsia="zh-CN"/>
        </w:rPr>
        <w:t>七、争议解决</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21</w:t>
      </w:r>
    </w:p>
    <w:p w14:paraId="756FBA09">
      <w:pPr>
        <w:pStyle w:val="19"/>
        <w:tabs>
          <w:tab w:val="right" w:leader="dot" w:pos="8846"/>
        </w:tabs>
        <w:rPr>
          <w:rFonts w:hint="eastAsia" w:asciiTheme="minorEastAsia" w:hAnsiTheme="minorEastAsia" w:eastAsiaTheme="minorEastAsia" w:cstheme="minorEastAsia"/>
          <w:sz w:val="28"/>
          <w:szCs w:val="28"/>
          <w:lang w:val="en-US" w:eastAsia="zh-CN"/>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2</w:t>
      </w:r>
    </w:p>
    <w:p w14:paraId="43B31088">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5AF68440">
      <w:bookmarkStart w:id="0" w:name="_Toc508103135"/>
      <w:bookmarkStart w:id="1" w:name="_Toc508103350"/>
      <w:bookmarkStart w:id="2" w:name="_Toc60236697"/>
      <w:r>
        <w:br w:type="page"/>
      </w:r>
    </w:p>
    <w:p w14:paraId="0D656FA0">
      <w:pPr>
        <w:pStyle w:val="2"/>
      </w:pPr>
      <w:bookmarkStart w:id="3" w:name="_Toc1048"/>
      <w:r>
        <w:t xml:space="preserve">第一部分   </w:t>
      </w:r>
      <w:r>
        <w:rPr>
          <w:rFonts w:hint="eastAsia"/>
        </w:rPr>
        <w:t>报价</w:t>
      </w:r>
      <w:r>
        <w:t>须知</w:t>
      </w:r>
      <w:bookmarkEnd w:id="0"/>
      <w:bookmarkEnd w:id="1"/>
      <w:bookmarkEnd w:id="2"/>
      <w:bookmarkEnd w:id="3"/>
    </w:p>
    <w:p w14:paraId="2DA8A925">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0636AD3A">
      <w:pPr>
        <w:pStyle w:val="3"/>
        <w:spacing w:line="560" w:lineRule="exact"/>
        <w:ind w:firstLine="562" w:firstLineChars="200"/>
      </w:pPr>
      <w:bookmarkStart w:id="4" w:name="_Toc508103351"/>
      <w:bookmarkStart w:id="5" w:name="_Toc60236698"/>
      <w:bookmarkStart w:id="6" w:name="_Toc16574"/>
      <w:r>
        <w:rPr>
          <w:rFonts w:hint="eastAsia"/>
        </w:rPr>
        <w:t>一、采购项目</w:t>
      </w:r>
      <w:bookmarkEnd w:id="4"/>
      <w:bookmarkEnd w:id="5"/>
      <w:r>
        <w:rPr>
          <w:rFonts w:hint="eastAsia"/>
        </w:rPr>
        <w:t>概况</w:t>
      </w:r>
      <w:bookmarkEnd w:id="6"/>
    </w:p>
    <w:p w14:paraId="2B4F9733">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南区图书馆建于1987年，地上4层，无地下室，总建筑面积约8589.76平方米，建筑平面总长约59米，总宽约51米。原使用功能为图书馆，现改为学校办公用房和校史馆，对南区图书馆进行全面的维修、加固及改造，包括室内改造、外墙工程、屋面工程、电气工程、给排水工程、智能化工程以及消防工程等，使建筑、结构、水电、消防等满足办公使用需求并符合相关规范、法规的要求。该工程已竣工验收，正在进行工程竣工结算初审，现需选定工程造价咨询单位，对结算初审结果进行审核评价。</w:t>
      </w:r>
    </w:p>
    <w:p w14:paraId="3C44B3A6">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本项目采购预算控制价</w:t>
      </w:r>
      <w:r>
        <w:rPr>
          <w:rFonts w:hint="eastAsia" w:ascii="宋体" w:hAnsi="宋体"/>
          <w:color w:val="000000" w:themeColor="text1"/>
          <w:sz w:val="28"/>
          <w:szCs w:val="28"/>
          <w:lang w:val="en-US" w:eastAsia="zh-CN"/>
          <w14:textFill>
            <w14:solidFill>
              <w14:schemeClr w14:val="tx1"/>
            </w14:solidFill>
          </w14:textFill>
        </w:rPr>
        <w:t>9</w:t>
      </w:r>
      <w:r>
        <w:rPr>
          <w:rFonts w:hint="eastAsia" w:ascii="宋体" w:hAnsi="宋体"/>
          <w:color w:val="000000" w:themeColor="text1"/>
          <w:sz w:val="28"/>
          <w:szCs w:val="28"/>
          <w14:textFill>
            <w14:solidFill>
              <w14:schemeClr w14:val="tx1"/>
            </w14:solidFill>
          </w14:textFill>
        </w:rPr>
        <w:t>万元，</w:t>
      </w:r>
      <w:r>
        <w:rPr>
          <w:rFonts w:ascii="宋体" w:hAnsi="宋体"/>
          <w:color w:val="000000" w:themeColor="text1"/>
          <w:sz w:val="28"/>
          <w:szCs w:val="28"/>
          <w14:textFill>
            <w14:solidFill>
              <w14:schemeClr w14:val="tx1"/>
            </w14:solidFill>
          </w14:textFill>
        </w:rPr>
        <w:t>资金已到位。</w:t>
      </w:r>
    </w:p>
    <w:p w14:paraId="59DAFDC8">
      <w:pPr>
        <w:pStyle w:val="3"/>
        <w:spacing w:line="560" w:lineRule="exact"/>
        <w:ind w:firstLine="562" w:firstLineChars="200"/>
      </w:pPr>
      <w:bookmarkStart w:id="7" w:name="_Toc508103352"/>
      <w:bookmarkStart w:id="8" w:name="_Toc28829"/>
      <w:bookmarkStart w:id="9" w:name="_Toc60236699"/>
      <w:r>
        <w:rPr>
          <w:rFonts w:hint="eastAsia"/>
        </w:rPr>
        <w:t>二、相关说明</w:t>
      </w:r>
      <w:bookmarkEnd w:id="7"/>
      <w:bookmarkEnd w:id="8"/>
      <w:bookmarkEnd w:id="9"/>
    </w:p>
    <w:p w14:paraId="315C474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2F62C9E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09D5DEEB">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317BF1E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640D61A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6D81B777">
      <w:pPr>
        <w:pStyle w:val="3"/>
        <w:spacing w:line="560" w:lineRule="exact"/>
        <w:ind w:firstLine="562" w:firstLineChars="200"/>
      </w:pPr>
      <w:bookmarkStart w:id="10" w:name="_Toc11839"/>
      <w:bookmarkStart w:id="11" w:name="_Toc508103353"/>
      <w:bookmarkStart w:id="12" w:name="_Toc60236700"/>
      <w:r>
        <w:rPr>
          <w:rFonts w:hint="eastAsia"/>
        </w:rPr>
        <w:t>三、报价人</w:t>
      </w:r>
      <w:r>
        <w:t>资格</w:t>
      </w:r>
      <w:bookmarkEnd w:id="10"/>
      <w:bookmarkEnd w:id="11"/>
      <w:bookmarkEnd w:id="12"/>
    </w:p>
    <w:p w14:paraId="268CD532">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790A48C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77125907">
      <w:pPr>
        <w:spacing w:line="56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19CB5CFA">
      <w:pPr>
        <w:spacing w:line="56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eastAsia="zh-CN"/>
        </w:rPr>
        <w:t>三</w:t>
      </w:r>
      <w:r>
        <w:rPr>
          <w:rFonts w:hint="eastAsia" w:ascii="宋体" w:hAnsi="宋体"/>
          <w:sz w:val="28"/>
          <w:szCs w:val="28"/>
        </w:rPr>
        <w:t>）本项目不接受联合体报价和自然人报价，不得分包、转包。</w:t>
      </w:r>
    </w:p>
    <w:p w14:paraId="1611AB4B">
      <w:pPr>
        <w:spacing w:line="56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eastAsia="zh-CN"/>
        </w:rPr>
        <w:t>四</w:t>
      </w:r>
      <w:r>
        <w:rPr>
          <w:rFonts w:hint="eastAsia" w:ascii="宋体" w:hAnsi="宋体"/>
          <w:sz w:val="28"/>
          <w:szCs w:val="28"/>
        </w:rPr>
        <w:t>）本项目不接受广东财经大学南区图书馆改造工程项目工程结算初审的中标单位投标。</w:t>
      </w:r>
    </w:p>
    <w:p w14:paraId="2D1E7AB1">
      <w:pPr>
        <w:spacing w:line="560" w:lineRule="exact"/>
        <w:ind w:firstLine="560" w:firstLineChars="200"/>
        <w:rPr>
          <w:rFonts w:hint="eastAsia" w:ascii="宋体" w:hAnsi="宋体" w:eastAsia="宋体"/>
          <w:sz w:val="28"/>
          <w:szCs w:val="28"/>
          <w:lang w:eastAsia="zh-CN"/>
        </w:rPr>
      </w:pPr>
      <w:r>
        <w:rPr>
          <w:rFonts w:hint="eastAsia" w:ascii="宋体" w:hAnsi="宋体"/>
          <w:sz w:val="28"/>
          <w:szCs w:val="28"/>
          <w:lang w:eastAsia="zh-CN"/>
        </w:rPr>
        <w:t>（五）已完成报名。</w:t>
      </w:r>
    </w:p>
    <w:p w14:paraId="27BC01C9">
      <w:pPr>
        <w:pStyle w:val="3"/>
        <w:spacing w:line="560" w:lineRule="exact"/>
        <w:ind w:firstLine="562" w:firstLineChars="200"/>
      </w:pPr>
      <w:bookmarkStart w:id="13" w:name="_Toc60236701"/>
      <w:bookmarkStart w:id="14" w:name="_Toc20873"/>
      <w:bookmarkStart w:id="15" w:name="_Toc508103354"/>
      <w:r>
        <w:rPr>
          <w:rFonts w:hint="eastAsia"/>
        </w:rPr>
        <w:t>四、</w:t>
      </w:r>
      <w:r>
        <w:t>报价要求</w:t>
      </w:r>
      <w:bookmarkEnd w:id="13"/>
      <w:bookmarkEnd w:id="14"/>
      <w:bookmarkEnd w:id="15"/>
    </w:p>
    <w:p w14:paraId="10502043">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2784C37D">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76D4B4FE">
      <w:pPr>
        <w:pStyle w:val="3"/>
        <w:spacing w:line="560" w:lineRule="exact"/>
        <w:ind w:firstLine="562" w:firstLineChars="200"/>
      </w:pPr>
      <w:bookmarkStart w:id="16" w:name="_Toc60236702"/>
      <w:bookmarkStart w:id="17" w:name="_Toc508103355"/>
      <w:bookmarkStart w:id="18" w:name="_Toc18253"/>
      <w:r>
        <w:rPr>
          <w:rFonts w:hint="eastAsia"/>
        </w:rPr>
        <w:t>五、报价</w:t>
      </w:r>
      <w:r>
        <w:t>文件</w:t>
      </w:r>
      <w:r>
        <w:rPr>
          <w:rFonts w:hint="eastAsia"/>
        </w:rPr>
        <w:t>要求</w:t>
      </w:r>
      <w:bookmarkEnd w:id="16"/>
      <w:bookmarkEnd w:id="17"/>
      <w:bookmarkEnd w:id="18"/>
    </w:p>
    <w:p w14:paraId="793354C6">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63A3336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035A89FC">
      <w:pPr>
        <w:spacing w:line="560" w:lineRule="exact"/>
        <w:ind w:firstLine="560" w:firstLineChars="200"/>
        <w:rPr>
          <w:rFonts w:ascii="宋体" w:hAnsi="宋体"/>
          <w:sz w:val="28"/>
          <w:szCs w:val="28"/>
        </w:rPr>
      </w:pPr>
      <w:r>
        <w:rPr>
          <w:rFonts w:hint="eastAsia" w:ascii="宋体" w:hAnsi="宋体"/>
          <w:sz w:val="28"/>
          <w:szCs w:val="28"/>
        </w:rPr>
        <w:t>1.报价文件封面；</w:t>
      </w:r>
    </w:p>
    <w:p w14:paraId="53E03DA9">
      <w:pPr>
        <w:spacing w:line="560" w:lineRule="exact"/>
        <w:ind w:firstLine="560" w:firstLineChars="200"/>
        <w:rPr>
          <w:rFonts w:ascii="宋体" w:hAnsi="宋体"/>
          <w:sz w:val="28"/>
          <w:szCs w:val="28"/>
        </w:rPr>
      </w:pPr>
      <w:r>
        <w:rPr>
          <w:rFonts w:hint="eastAsia" w:ascii="宋体" w:hAnsi="宋体"/>
          <w:sz w:val="28"/>
          <w:szCs w:val="28"/>
        </w:rPr>
        <w:t>2.目录；</w:t>
      </w:r>
    </w:p>
    <w:p w14:paraId="78C6095E">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62B535DC">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4335E1A7">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2CDB0464">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69AA217E">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35BFF644">
      <w:pPr>
        <w:spacing w:line="560" w:lineRule="exact"/>
        <w:ind w:firstLine="560" w:firstLineChars="200"/>
        <w:rPr>
          <w:rFonts w:ascii="宋体" w:hAnsi="宋体"/>
          <w:b/>
          <w:sz w:val="28"/>
          <w:szCs w:val="28"/>
        </w:rPr>
      </w:pPr>
      <w:r>
        <w:rPr>
          <w:rFonts w:hint="eastAsia" w:ascii="宋体" w:hAnsi="宋体"/>
          <w:sz w:val="28"/>
          <w:szCs w:val="28"/>
        </w:rPr>
        <w:t>（2）报价一览表；</w:t>
      </w:r>
    </w:p>
    <w:p w14:paraId="7295A56C">
      <w:pPr>
        <w:spacing w:line="560" w:lineRule="exact"/>
        <w:ind w:firstLine="560" w:firstLineChars="200"/>
        <w:rPr>
          <w:rFonts w:ascii="宋体" w:hAnsi="宋体"/>
          <w:sz w:val="28"/>
          <w:szCs w:val="28"/>
        </w:rPr>
      </w:pPr>
      <w:r>
        <w:rPr>
          <w:rFonts w:hint="eastAsia" w:ascii="宋体" w:hAnsi="宋体"/>
          <w:sz w:val="28"/>
          <w:szCs w:val="28"/>
        </w:rPr>
        <w:t>（3）报价明细表；</w:t>
      </w:r>
    </w:p>
    <w:p w14:paraId="117C01B6">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62207FD7">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3E8B23DB">
      <w:pPr>
        <w:spacing w:line="560" w:lineRule="exact"/>
        <w:ind w:firstLine="560" w:firstLineChars="200"/>
        <w:rPr>
          <w:rFonts w:ascii="宋体" w:hAnsi="宋体"/>
          <w:sz w:val="28"/>
          <w:szCs w:val="28"/>
        </w:rPr>
      </w:pPr>
      <w:r>
        <w:rPr>
          <w:rFonts w:hint="eastAsia" w:ascii="宋体" w:hAnsi="宋体"/>
          <w:sz w:val="28"/>
          <w:szCs w:val="28"/>
        </w:rPr>
        <w:t>5.证明材料等；</w:t>
      </w:r>
    </w:p>
    <w:p w14:paraId="3844033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7DFD8889">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7DFD5B16">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1888EC21">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497C2770">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0F42A01D">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39DCD22E">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36D55AE8">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320DB15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44983BF5">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1C0EE2A3">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41A3017E">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3B25DE28">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0CFF92F9">
      <w:pPr>
        <w:pStyle w:val="3"/>
        <w:spacing w:line="560" w:lineRule="exact"/>
        <w:ind w:firstLine="562" w:firstLineChars="200"/>
      </w:pPr>
      <w:bookmarkStart w:id="19" w:name="_Toc60236703"/>
      <w:bookmarkStart w:id="20" w:name="_Toc508103356"/>
      <w:bookmarkStart w:id="21" w:name="_Toc10890"/>
      <w:r>
        <w:rPr>
          <w:rFonts w:hint="eastAsia"/>
        </w:rPr>
        <w:t>六、评审</w:t>
      </w:r>
      <w:r>
        <w:t>方法</w:t>
      </w:r>
      <w:r>
        <w:rPr>
          <w:rFonts w:hint="eastAsia"/>
        </w:rPr>
        <w:t>及原则</w:t>
      </w:r>
      <w:bookmarkEnd w:id="19"/>
      <w:bookmarkEnd w:id="20"/>
      <w:bookmarkEnd w:id="21"/>
    </w:p>
    <w:p w14:paraId="1915F71D">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eastAsia="zh-CN"/>
        </w:rPr>
        <w:t>二</w:t>
      </w:r>
      <w:r>
        <w:rPr>
          <w:rFonts w:hint="eastAsia" w:ascii="宋体" w:hAnsi="宋体"/>
          <w:sz w:val="28"/>
          <w:szCs w:val="28"/>
          <w:u w:val="single"/>
        </w:rPr>
        <w:t xml:space="preserve"> 。</w:t>
      </w:r>
    </w:p>
    <w:p w14:paraId="2FEB6A55">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07039F72">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1AA65B1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62E5EF2">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473E8E15">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74088962">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70DBC84B">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40A09C0F">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77648087">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0D80E023">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62CF68C8">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1493E604">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40B72D66">
      <w:pPr>
        <w:spacing w:line="560" w:lineRule="exact"/>
        <w:ind w:firstLine="560" w:firstLineChars="200"/>
        <w:rPr>
          <w:rFonts w:ascii="宋体" w:hAnsi="宋体"/>
          <w:sz w:val="28"/>
          <w:szCs w:val="28"/>
        </w:rPr>
      </w:pPr>
      <w:r>
        <w:rPr>
          <w:rFonts w:hint="eastAsia" w:ascii="宋体" w:hAnsi="宋体"/>
          <w:sz w:val="28"/>
          <w:szCs w:val="28"/>
        </w:rPr>
        <w:t>2.谈判</w:t>
      </w:r>
    </w:p>
    <w:p w14:paraId="06567931">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50777B5B">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2A67FEB4">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7F34CC0A">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45939ADF">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5596C919">
      <w:pPr>
        <w:spacing w:line="560" w:lineRule="exact"/>
        <w:ind w:firstLine="420" w:firstLineChars="150"/>
        <w:rPr>
          <w:rFonts w:ascii="宋体" w:hAnsi="宋体"/>
          <w:sz w:val="28"/>
          <w:szCs w:val="28"/>
        </w:rPr>
      </w:pPr>
      <w:r>
        <w:rPr>
          <w:rFonts w:hint="eastAsia" w:ascii="宋体" w:hAnsi="宋体"/>
          <w:sz w:val="28"/>
          <w:szCs w:val="28"/>
        </w:rPr>
        <w:t>本项目采用方式</w:t>
      </w:r>
      <w:r>
        <w:rPr>
          <w:rFonts w:hint="eastAsia" w:ascii="宋体" w:hAnsi="宋体"/>
          <w:sz w:val="28"/>
          <w:szCs w:val="28"/>
          <w:lang w:eastAsia="zh-CN"/>
        </w:rPr>
        <w:t>二</w:t>
      </w:r>
      <w:r>
        <w:rPr>
          <w:rFonts w:hint="eastAsia" w:ascii="宋体" w:hAnsi="宋体"/>
          <w:sz w:val="28"/>
          <w:szCs w:val="28"/>
        </w:rPr>
        <w:t>定标。</w:t>
      </w:r>
    </w:p>
    <w:p w14:paraId="09189F95">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1E1FF957">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7800630A">
      <w:pPr>
        <w:pStyle w:val="3"/>
        <w:numPr>
          <w:ilvl w:val="0"/>
          <w:numId w:val="0"/>
        </w:numPr>
        <w:spacing w:line="560" w:lineRule="exact"/>
        <w:ind w:firstLine="562" w:firstLineChars="200"/>
      </w:pPr>
      <w:bookmarkStart w:id="22" w:name="_Toc18663"/>
      <w:r>
        <w:rPr>
          <w:rFonts w:hint="eastAsia" w:ascii="Arial" w:hAnsi="Arial" w:eastAsia="宋体" w:cs="Times New Roman"/>
          <w:b/>
          <w:bCs/>
          <w:kern w:val="0"/>
          <w:sz w:val="28"/>
          <w:szCs w:val="32"/>
          <w:lang w:val="en-US" w:eastAsia="zh-CN" w:bidi="ar-SA"/>
        </w:rPr>
        <w:t>七、</w:t>
      </w:r>
      <w:r>
        <w:rPr>
          <w:rFonts w:hint="eastAsia"/>
        </w:rPr>
        <w:t>成交供应商确定</w:t>
      </w:r>
      <w:bookmarkEnd w:id="22"/>
    </w:p>
    <w:p w14:paraId="145923B2">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7DDC0E2C">
      <w:pPr>
        <w:snapToGrid w:val="0"/>
        <w:rPr>
          <w:rFonts w:ascii="宋体" w:hAnsi="宋体"/>
          <w:b/>
          <w:sz w:val="28"/>
          <w:szCs w:val="28"/>
        </w:rPr>
      </w:pPr>
    </w:p>
    <w:p w14:paraId="34FFA374">
      <w:pPr>
        <w:rPr>
          <w:rFonts w:ascii="宋体" w:hAnsi="宋体"/>
          <w:b/>
          <w:sz w:val="28"/>
          <w:szCs w:val="28"/>
        </w:rPr>
      </w:pPr>
      <w:r>
        <w:rPr>
          <w:rFonts w:hint="eastAsia" w:ascii="宋体" w:hAnsi="宋体"/>
          <w:b/>
          <w:sz w:val="28"/>
          <w:szCs w:val="28"/>
        </w:rPr>
        <w:br w:type="page"/>
      </w:r>
    </w:p>
    <w:p w14:paraId="201FB023">
      <w:pPr>
        <w:snapToGrid w:val="0"/>
        <w:rPr>
          <w:rFonts w:ascii="宋体" w:hAnsi="宋体"/>
          <w:b/>
          <w:sz w:val="28"/>
          <w:szCs w:val="28"/>
        </w:rPr>
      </w:pPr>
      <w:r>
        <w:rPr>
          <w:rFonts w:hint="eastAsia" w:ascii="宋体" w:hAnsi="宋体"/>
          <w:b/>
          <w:sz w:val="28"/>
          <w:szCs w:val="28"/>
        </w:rPr>
        <w:t>附表1</w:t>
      </w:r>
    </w:p>
    <w:p w14:paraId="13E124F4">
      <w:pPr>
        <w:snapToGrid w:val="0"/>
        <w:jc w:val="center"/>
        <w:rPr>
          <w:rFonts w:ascii="宋体" w:hAnsi="宋体"/>
          <w:b/>
          <w:sz w:val="28"/>
          <w:szCs w:val="28"/>
        </w:rPr>
      </w:pPr>
      <w:r>
        <w:rPr>
          <w:rFonts w:hint="eastAsia" w:ascii="宋体" w:hAnsi="宋体"/>
          <w:b/>
          <w:sz w:val="28"/>
          <w:szCs w:val="28"/>
        </w:rPr>
        <w:t>资格性与符合性审查表</w:t>
      </w:r>
    </w:p>
    <w:p w14:paraId="58155D2C">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01B7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6FEBD946">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4EA8DE41">
            <w:pPr>
              <w:spacing w:line="400" w:lineRule="exact"/>
              <w:rPr>
                <w:rFonts w:ascii="宋体" w:hAnsi="宋体"/>
                <w:b/>
                <w:sz w:val="18"/>
                <w:szCs w:val="18"/>
              </w:rPr>
            </w:pPr>
            <w:r>
              <w:rPr>
                <w:rFonts w:hint="eastAsia" w:ascii="宋体" w:hAnsi="宋体"/>
                <w:b/>
                <w:sz w:val="24"/>
              </w:rPr>
              <w:t>审查内容及要求</w:t>
            </w:r>
          </w:p>
        </w:tc>
      </w:tr>
      <w:tr w14:paraId="0CD7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7F57CC3">
            <w:pPr>
              <w:spacing w:line="400" w:lineRule="exact"/>
              <w:rPr>
                <w:rFonts w:ascii="宋体" w:hAnsi="宋体"/>
                <w:b/>
                <w:sz w:val="24"/>
              </w:rPr>
            </w:pPr>
            <w:r>
              <w:rPr>
                <w:rFonts w:hint="eastAsia" w:ascii="宋体" w:hAnsi="宋体"/>
                <w:b/>
                <w:sz w:val="24"/>
              </w:rPr>
              <w:t>（一）资格性审查</w:t>
            </w:r>
          </w:p>
        </w:tc>
      </w:tr>
      <w:tr w14:paraId="1065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D02108A">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79995C50">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4A384979">
            <w:pPr>
              <w:spacing w:line="400" w:lineRule="exact"/>
              <w:jc w:val="center"/>
              <w:rPr>
                <w:rFonts w:ascii="宋体" w:hAnsi="宋体"/>
                <w:b/>
                <w:sz w:val="24"/>
              </w:rPr>
            </w:pPr>
            <w:r>
              <w:rPr>
                <w:rFonts w:hint="eastAsia" w:ascii="宋体" w:hAnsi="宋体"/>
                <w:b/>
                <w:sz w:val="24"/>
              </w:rPr>
              <w:t>审查结果</w:t>
            </w:r>
          </w:p>
        </w:tc>
      </w:tr>
      <w:tr w14:paraId="62F3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88D7ED0">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1C82B665">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tc>
        <w:tc>
          <w:tcPr>
            <w:tcW w:w="1465" w:type="dxa"/>
            <w:noWrap/>
            <w:vAlign w:val="center"/>
          </w:tcPr>
          <w:p w14:paraId="7BEC1BA8">
            <w:pPr>
              <w:spacing w:line="400" w:lineRule="exact"/>
              <w:rPr>
                <w:rFonts w:ascii="宋体" w:hAnsi="宋体"/>
                <w:b/>
                <w:sz w:val="28"/>
                <w:szCs w:val="28"/>
              </w:rPr>
            </w:pPr>
          </w:p>
        </w:tc>
      </w:tr>
      <w:tr w14:paraId="06AF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109EF26">
            <w:pPr>
              <w:spacing w:line="400" w:lineRule="exact"/>
              <w:jc w:val="center"/>
              <w:rPr>
                <w:rFonts w:hint="eastAsia" w:ascii="宋体" w:hAnsi="宋体" w:eastAsia="宋体"/>
                <w:b/>
                <w:sz w:val="28"/>
                <w:szCs w:val="28"/>
                <w:lang w:val="en-US" w:eastAsia="zh-CN"/>
              </w:rPr>
            </w:pPr>
            <w:r>
              <w:rPr>
                <w:rFonts w:hint="eastAsia" w:ascii="宋体" w:hAnsi="宋体"/>
                <w:b/>
                <w:sz w:val="28"/>
                <w:szCs w:val="28"/>
                <w:lang w:val="en-US" w:eastAsia="zh-CN"/>
              </w:rPr>
              <w:t>2</w:t>
            </w:r>
          </w:p>
        </w:tc>
        <w:tc>
          <w:tcPr>
            <w:tcW w:w="6557" w:type="dxa"/>
            <w:noWrap/>
            <w:vAlign w:val="center"/>
          </w:tcPr>
          <w:p w14:paraId="0620DA83">
            <w:pPr>
              <w:spacing w:line="400" w:lineRule="exact"/>
              <w:rPr>
                <w:rFonts w:hint="eastAsia"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0AD4390E">
            <w:pPr>
              <w:spacing w:line="400" w:lineRule="exact"/>
              <w:rPr>
                <w:rFonts w:ascii="宋体" w:hAnsi="宋体"/>
                <w:b/>
                <w:sz w:val="28"/>
                <w:szCs w:val="28"/>
              </w:rPr>
            </w:pPr>
          </w:p>
        </w:tc>
      </w:tr>
      <w:tr w14:paraId="1FC7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91841EB">
            <w:pPr>
              <w:spacing w:line="400" w:lineRule="exact"/>
              <w:jc w:val="center"/>
              <w:rPr>
                <w:rFonts w:hint="eastAsia" w:ascii="宋体" w:hAnsi="宋体" w:eastAsia="宋体"/>
                <w:b/>
                <w:sz w:val="28"/>
                <w:szCs w:val="28"/>
                <w:lang w:val="en-US" w:eastAsia="zh-CN"/>
              </w:rPr>
            </w:pPr>
            <w:r>
              <w:rPr>
                <w:rFonts w:hint="eastAsia" w:ascii="宋体" w:hAnsi="宋体"/>
                <w:b/>
                <w:sz w:val="28"/>
                <w:szCs w:val="28"/>
                <w:lang w:val="en-US" w:eastAsia="zh-CN"/>
              </w:rPr>
              <w:t>3</w:t>
            </w:r>
          </w:p>
        </w:tc>
        <w:tc>
          <w:tcPr>
            <w:tcW w:w="6557" w:type="dxa"/>
            <w:noWrap/>
            <w:vAlign w:val="center"/>
          </w:tcPr>
          <w:p w14:paraId="5D152193">
            <w:pPr>
              <w:spacing w:line="400" w:lineRule="exact"/>
              <w:rPr>
                <w:rFonts w:hint="eastAsia" w:ascii="宋体" w:hAnsi="宋体"/>
                <w:sz w:val="28"/>
                <w:szCs w:val="28"/>
              </w:rPr>
            </w:pPr>
            <w:r>
              <w:rPr>
                <w:rFonts w:hint="eastAsia" w:ascii="宋体" w:hAnsi="宋体"/>
                <w:sz w:val="28"/>
                <w:szCs w:val="28"/>
              </w:rPr>
              <w:t>本项目不接受联合体报价和自然人报价，不得分包、转包。</w:t>
            </w:r>
          </w:p>
        </w:tc>
        <w:tc>
          <w:tcPr>
            <w:tcW w:w="1465" w:type="dxa"/>
            <w:noWrap/>
            <w:vAlign w:val="center"/>
          </w:tcPr>
          <w:p w14:paraId="457CAE00">
            <w:pPr>
              <w:spacing w:line="400" w:lineRule="exact"/>
              <w:rPr>
                <w:rFonts w:ascii="宋体" w:hAnsi="宋体"/>
                <w:b/>
                <w:sz w:val="28"/>
                <w:szCs w:val="28"/>
              </w:rPr>
            </w:pPr>
          </w:p>
        </w:tc>
      </w:tr>
      <w:tr w14:paraId="30E6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D7D29EB">
            <w:pPr>
              <w:spacing w:line="400" w:lineRule="exact"/>
              <w:jc w:val="center"/>
              <w:rPr>
                <w:rFonts w:hint="eastAsia" w:ascii="宋体" w:hAnsi="宋体" w:eastAsia="宋体"/>
                <w:b/>
                <w:sz w:val="28"/>
                <w:szCs w:val="28"/>
                <w:lang w:val="en-US" w:eastAsia="zh-CN"/>
              </w:rPr>
            </w:pPr>
            <w:r>
              <w:rPr>
                <w:rFonts w:hint="eastAsia" w:ascii="宋体" w:hAnsi="宋体"/>
                <w:b/>
                <w:sz w:val="28"/>
                <w:szCs w:val="28"/>
                <w:lang w:val="en-US" w:eastAsia="zh-CN"/>
              </w:rPr>
              <w:t>4</w:t>
            </w:r>
          </w:p>
        </w:tc>
        <w:tc>
          <w:tcPr>
            <w:tcW w:w="6557" w:type="dxa"/>
            <w:noWrap/>
            <w:vAlign w:val="center"/>
          </w:tcPr>
          <w:p w14:paraId="4D19E1AA">
            <w:pPr>
              <w:spacing w:line="400" w:lineRule="exact"/>
              <w:rPr>
                <w:rFonts w:hint="eastAsia" w:ascii="宋体" w:hAnsi="宋体"/>
                <w:sz w:val="28"/>
                <w:szCs w:val="28"/>
              </w:rPr>
            </w:pPr>
            <w:r>
              <w:rPr>
                <w:rFonts w:hint="eastAsia" w:ascii="宋体" w:hAnsi="宋体"/>
                <w:sz w:val="28"/>
                <w:szCs w:val="28"/>
              </w:rPr>
              <w:t>本项目不接受广东财经大学南区图书馆改造工程项目工程结算初审的中标单位投标。</w:t>
            </w:r>
          </w:p>
        </w:tc>
        <w:tc>
          <w:tcPr>
            <w:tcW w:w="1465" w:type="dxa"/>
            <w:noWrap/>
            <w:vAlign w:val="center"/>
          </w:tcPr>
          <w:p w14:paraId="75A22805">
            <w:pPr>
              <w:spacing w:line="400" w:lineRule="exact"/>
              <w:rPr>
                <w:rFonts w:ascii="宋体" w:hAnsi="宋体"/>
                <w:b/>
                <w:sz w:val="28"/>
                <w:szCs w:val="28"/>
              </w:rPr>
            </w:pPr>
          </w:p>
        </w:tc>
      </w:tr>
      <w:tr w14:paraId="5BA4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75020C6">
            <w:pPr>
              <w:spacing w:line="400" w:lineRule="exact"/>
              <w:jc w:val="center"/>
              <w:rPr>
                <w:rFonts w:hint="eastAsia" w:ascii="宋体" w:hAnsi="宋体" w:eastAsia="宋体"/>
                <w:b/>
                <w:sz w:val="28"/>
                <w:szCs w:val="28"/>
                <w:lang w:val="en-US" w:eastAsia="zh-CN"/>
              </w:rPr>
            </w:pPr>
            <w:r>
              <w:rPr>
                <w:rFonts w:hint="eastAsia" w:ascii="宋体" w:hAnsi="宋体"/>
                <w:b/>
                <w:sz w:val="28"/>
                <w:szCs w:val="28"/>
                <w:lang w:val="en-US" w:eastAsia="zh-CN"/>
              </w:rPr>
              <w:t>5</w:t>
            </w:r>
          </w:p>
        </w:tc>
        <w:tc>
          <w:tcPr>
            <w:tcW w:w="6557" w:type="dxa"/>
            <w:noWrap/>
            <w:vAlign w:val="center"/>
          </w:tcPr>
          <w:p w14:paraId="1D3CF165">
            <w:pPr>
              <w:spacing w:line="400" w:lineRule="exact"/>
              <w:rPr>
                <w:rFonts w:hint="eastAsia" w:ascii="宋体" w:hAnsi="宋体" w:eastAsia="宋体"/>
                <w:sz w:val="28"/>
                <w:szCs w:val="28"/>
                <w:lang w:eastAsia="zh-CN"/>
              </w:rPr>
            </w:pPr>
            <w:r>
              <w:rPr>
                <w:rFonts w:hint="eastAsia" w:ascii="宋体" w:hAnsi="宋体"/>
                <w:sz w:val="28"/>
                <w:szCs w:val="28"/>
                <w:lang w:eastAsia="zh-CN"/>
              </w:rPr>
              <w:t>已完成报名。</w:t>
            </w:r>
          </w:p>
        </w:tc>
        <w:tc>
          <w:tcPr>
            <w:tcW w:w="1465" w:type="dxa"/>
            <w:noWrap/>
            <w:vAlign w:val="center"/>
          </w:tcPr>
          <w:p w14:paraId="20219932">
            <w:pPr>
              <w:spacing w:line="400" w:lineRule="exact"/>
              <w:rPr>
                <w:rFonts w:ascii="宋体" w:hAnsi="宋体"/>
                <w:b/>
                <w:sz w:val="28"/>
                <w:szCs w:val="28"/>
              </w:rPr>
            </w:pPr>
          </w:p>
        </w:tc>
      </w:tr>
      <w:tr w14:paraId="3D07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38F2914D">
            <w:pPr>
              <w:spacing w:line="400" w:lineRule="exact"/>
              <w:rPr>
                <w:rFonts w:ascii="宋体" w:hAnsi="宋体"/>
                <w:b/>
                <w:sz w:val="28"/>
                <w:szCs w:val="28"/>
              </w:rPr>
            </w:pPr>
            <w:r>
              <w:rPr>
                <w:rFonts w:hint="eastAsia" w:ascii="宋体" w:hAnsi="宋体"/>
                <w:b/>
                <w:sz w:val="28"/>
                <w:szCs w:val="28"/>
              </w:rPr>
              <w:t>（二）符合性审查</w:t>
            </w:r>
          </w:p>
        </w:tc>
      </w:tr>
      <w:tr w14:paraId="7439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2A8A5CE">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1F74ECE2">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4C0F6BF8">
            <w:pPr>
              <w:spacing w:line="400" w:lineRule="exact"/>
              <w:jc w:val="center"/>
              <w:rPr>
                <w:rFonts w:ascii="宋体" w:hAnsi="宋体"/>
                <w:b/>
                <w:sz w:val="28"/>
                <w:szCs w:val="28"/>
              </w:rPr>
            </w:pPr>
            <w:r>
              <w:rPr>
                <w:rFonts w:hint="eastAsia" w:ascii="宋体" w:hAnsi="宋体"/>
                <w:b/>
                <w:sz w:val="28"/>
                <w:szCs w:val="28"/>
              </w:rPr>
              <w:t>审查结果</w:t>
            </w:r>
          </w:p>
        </w:tc>
      </w:tr>
      <w:tr w14:paraId="44FA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6F9D3AB">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63968499">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4CE4A8DC">
            <w:pPr>
              <w:spacing w:line="400" w:lineRule="exact"/>
              <w:jc w:val="center"/>
              <w:rPr>
                <w:rFonts w:ascii="宋体" w:hAnsi="宋体"/>
                <w:b/>
                <w:sz w:val="28"/>
                <w:szCs w:val="28"/>
              </w:rPr>
            </w:pPr>
          </w:p>
        </w:tc>
      </w:tr>
      <w:tr w14:paraId="2D18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8307445">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23FFF550">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6376AA67">
            <w:pPr>
              <w:spacing w:line="400" w:lineRule="exact"/>
              <w:rPr>
                <w:rFonts w:ascii="宋体" w:hAnsi="宋体"/>
                <w:sz w:val="28"/>
                <w:szCs w:val="28"/>
              </w:rPr>
            </w:pPr>
          </w:p>
        </w:tc>
      </w:tr>
      <w:tr w14:paraId="7070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C6CBE00">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178B75D2">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36BFE511">
            <w:pPr>
              <w:spacing w:line="400" w:lineRule="exact"/>
              <w:rPr>
                <w:rFonts w:ascii="宋体" w:hAnsi="宋体"/>
                <w:sz w:val="28"/>
                <w:szCs w:val="28"/>
              </w:rPr>
            </w:pPr>
          </w:p>
        </w:tc>
      </w:tr>
      <w:tr w14:paraId="1417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01F96DC">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42637F02">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68151CBE">
            <w:pPr>
              <w:spacing w:line="400" w:lineRule="exact"/>
              <w:rPr>
                <w:rFonts w:ascii="宋体" w:hAnsi="宋体"/>
                <w:sz w:val="28"/>
                <w:szCs w:val="28"/>
              </w:rPr>
            </w:pPr>
          </w:p>
        </w:tc>
      </w:tr>
      <w:tr w14:paraId="172B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3594396">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5064F0BF">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1CE24516">
            <w:pPr>
              <w:spacing w:line="400" w:lineRule="exact"/>
              <w:rPr>
                <w:rFonts w:ascii="宋体" w:hAnsi="宋体"/>
                <w:sz w:val="28"/>
                <w:szCs w:val="28"/>
              </w:rPr>
            </w:pPr>
          </w:p>
        </w:tc>
      </w:tr>
      <w:tr w14:paraId="3360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02573AD">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277140C4">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1DF79122">
            <w:pPr>
              <w:spacing w:line="400" w:lineRule="exact"/>
              <w:rPr>
                <w:rFonts w:ascii="宋体" w:hAnsi="宋体"/>
                <w:sz w:val="28"/>
                <w:szCs w:val="28"/>
              </w:rPr>
            </w:pPr>
          </w:p>
        </w:tc>
      </w:tr>
      <w:tr w14:paraId="6982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2A2D8EE9">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34679E5A">
            <w:pPr>
              <w:spacing w:line="400" w:lineRule="exact"/>
              <w:rPr>
                <w:rFonts w:ascii="宋体" w:hAnsi="宋体"/>
                <w:sz w:val="28"/>
                <w:szCs w:val="28"/>
              </w:rPr>
            </w:pPr>
          </w:p>
        </w:tc>
      </w:tr>
    </w:tbl>
    <w:p w14:paraId="3753CBA7">
      <w:pPr>
        <w:snapToGrid w:val="0"/>
        <w:rPr>
          <w:rFonts w:ascii="宋体" w:hAnsi="宋体"/>
          <w:b/>
          <w:szCs w:val="21"/>
        </w:rPr>
      </w:pPr>
      <w:r>
        <w:rPr>
          <w:rFonts w:hint="eastAsia" w:ascii="宋体" w:hAnsi="宋体"/>
          <w:b/>
          <w:szCs w:val="21"/>
        </w:rPr>
        <w:t>备注：</w:t>
      </w:r>
    </w:p>
    <w:p w14:paraId="4D9EC8FC">
      <w:pPr>
        <w:snapToGrid w:val="0"/>
        <w:ind w:firstLine="411" w:firstLineChars="196"/>
        <w:rPr>
          <w:rFonts w:ascii="宋体" w:hAnsi="宋体"/>
          <w:szCs w:val="21"/>
        </w:rPr>
      </w:pPr>
      <w:r>
        <w:rPr>
          <w:rFonts w:hint="eastAsia" w:ascii="宋体" w:hAnsi="宋体"/>
          <w:szCs w:val="21"/>
        </w:rPr>
        <w:t>1.本表应与采购书中相关条款内容一致的。</w:t>
      </w:r>
    </w:p>
    <w:p w14:paraId="24B59195">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27819A41">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5BD3B420">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30850CCD">
      <w:pPr>
        <w:rPr>
          <w:rFonts w:ascii="宋体" w:hAnsi="宋体"/>
          <w:b/>
          <w:bCs/>
          <w:sz w:val="28"/>
          <w:szCs w:val="28"/>
        </w:rPr>
      </w:pPr>
      <w:r>
        <w:rPr>
          <w:rFonts w:hint="eastAsia" w:ascii="宋体" w:hAnsi="宋体"/>
          <w:b/>
          <w:bCs/>
          <w:sz w:val="28"/>
          <w:szCs w:val="28"/>
        </w:rPr>
        <w:br w:type="page"/>
      </w:r>
    </w:p>
    <w:p w14:paraId="5EC68D82">
      <w:pPr>
        <w:spacing w:line="560" w:lineRule="exact"/>
        <w:ind w:firstLine="562" w:firstLineChars="200"/>
        <w:rPr>
          <w:rFonts w:ascii="宋体" w:hAnsi="宋体"/>
          <w:b/>
          <w:sz w:val="28"/>
          <w:szCs w:val="28"/>
        </w:rPr>
      </w:pPr>
      <w:r>
        <w:rPr>
          <w:rFonts w:hint="eastAsia" w:ascii="宋体" w:hAnsi="宋体"/>
          <w:b/>
          <w:sz w:val="28"/>
          <w:szCs w:val="28"/>
        </w:rPr>
        <w:t>附表2：</w:t>
      </w:r>
    </w:p>
    <w:p w14:paraId="2865C374">
      <w:pPr>
        <w:spacing w:line="560" w:lineRule="exact"/>
        <w:ind w:firstLine="562" w:firstLineChars="200"/>
        <w:jc w:val="center"/>
        <w:rPr>
          <w:rFonts w:ascii="宋体" w:hAnsi="宋体"/>
          <w:b/>
          <w:bCs/>
          <w:sz w:val="28"/>
          <w:szCs w:val="28"/>
        </w:rPr>
      </w:pPr>
      <w:r>
        <w:rPr>
          <w:rFonts w:hint="eastAsia" w:ascii="宋体" w:hAnsi="宋体"/>
          <w:b/>
          <w:bCs/>
          <w:sz w:val="28"/>
          <w:szCs w:val="28"/>
        </w:rPr>
        <w:t>详细评审表</w:t>
      </w:r>
    </w:p>
    <w:tbl>
      <w:tblPr>
        <w:tblStyle w:val="29"/>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80"/>
        <w:gridCol w:w="940"/>
        <w:gridCol w:w="5540"/>
      </w:tblGrid>
      <w:tr w14:paraId="7FAE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58D5026C">
            <w:pPr>
              <w:jc w:val="center"/>
              <w:rPr>
                <w:b/>
                <w:color w:val="000000"/>
                <w:sz w:val="28"/>
                <w:szCs w:val="28"/>
              </w:rPr>
            </w:pPr>
            <w:r>
              <w:rPr>
                <w:b/>
                <w:color w:val="000000"/>
                <w:sz w:val="28"/>
                <w:szCs w:val="28"/>
              </w:rPr>
              <w:t>评审因素</w:t>
            </w:r>
          </w:p>
        </w:tc>
        <w:tc>
          <w:tcPr>
            <w:tcW w:w="940" w:type="dxa"/>
            <w:noWrap/>
            <w:vAlign w:val="center"/>
          </w:tcPr>
          <w:p w14:paraId="7DE13C2E">
            <w:pPr>
              <w:jc w:val="center"/>
              <w:rPr>
                <w:b/>
                <w:color w:val="000000"/>
                <w:sz w:val="28"/>
                <w:szCs w:val="28"/>
              </w:rPr>
            </w:pPr>
            <w:r>
              <w:rPr>
                <w:rFonts w:hint="eastAsia"/>
                <w:b/>
                <w:color w:val="000000"/>
                <w:sz w:val="28"/>
                <w:szCs w:val="28"/>
              </w:rPr>
              <w:t>权重</w:t>
            </w:r>
          </w:p>
        </w:tc>
        <w:tc>
          <w:tcPr>
            <w:tcW w:w="5540" w:type="dxa"/>
            <w:noWrap/>
            <w:vAlign w:val="center"/>
          </w:tcPr>
          <w:p w14:paraId="386112BE">
            <w:pPr>
              <w:jc w:val="center"/>
              <w:rPr>
                <w:b/>
                <w:color w:val="000000"/>
                <w:sz w:val="28"/>
                <w:szCs w:val="28"/>
              </w:rPr>
            </w:pPr>
            <w:r>
              <w:rPr>
                <w:b/>
                <w:color w:val="000000"/>
                <w:sz w:val="28"/>
                <w:szCs w:val="28"/>
              </w:rPr>
              <w:t>评分细则</w:t>
            </w:r>
          </w:p>
        </w:tc>
      </w:tr>
      <w:tr w14:paraId="66F7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62B248BF">
            <w:pPr>
              <w:jc w:val="center"/>
              <w:rPr>
                <w:color w:val="000000"/>
              </w:rPr>
            </w:pPr>
            <w:r>
              <w:rPr>
                <w:rFonts w:hint="eastAsia"/>
                <w:color w:val="000000"/>
              </w:rPr>
              <w:t>报价</w:t>
            </w:r>
          </w:p>
          <w:p w14:paraId="4BCC93A5">
            <w:pPr>
              <w:jc w:val="center"/>
              <w:rPr>
                <w:color w:val="000000"/>
              </w:rPr>
            </w:pPr>
            <w:r>
              <w:rPr>
                <w:rFonts w:hint="eastAsia"/>
                <w:color w:val="000000"/>
              </w:rPr>
              <w:t>（采用低价优先法）</w:t>
            </w:r>
          </w:p>
        </w:tc>
        <w:tc>
          <w:tcPr>
            <w:tcW w:w="940" w:type="dxa"/>
            <w:noWrap/>
            <w:vAlign w:val="center"/>
          </w:tcPr>
          <w:p w14:paraId="7EE61F5A">
            <w:pPr>
              <w:jc w:val="center"/>
              <w:rPr>
                <w:rFonts w:hint="default" w:eastAsia="宋体"/>
                <w:color w:val="000000"/>
                <w:lang w:val="en-US" w:eastAsia="zh-CN"/>
              </w:rPr>
            </w:pPr>
            <w:r>
              <w:rPr>
                <w:rFonts w:hint="eastAsia" w:asciiTheme="minorEastAsia" w:hAnsiTheme="minorEastAsia" w:eastAsiaTheme="minorEastAsia" w:cstheme="minorEastAsia"/>
                <w:color w:val="000000"/>
                <w:lang w:val="en-US" w:eastAsia="zh-CN"/>
              </w:rPr>
              <w:t>20</w:t>
            </w:r>
            <w:r>
              <w:rPr>
                <w:rFonts w:hint="eastAsia"/>
                <w:color w:val="000000"/>
                <w:lang w:val="en-US" w:eastAsia="zh-CN"/>
              </w:rPr>
              <w:t>分</w:t>
            </w:r>
          </w:p>
        </w:tc>
        <w:tc>
          <w:tcPr>
            <w:tcW w:w="5540" w:type="dxa"/>
            <w:noWrap/>
            <w:vAlign w:val="center"/>
          </w:tcPr>
          <w:p w14:paraId="2CB5CA99">
            <w:pPr>
              <w:spacing w:line="360" w:lineRule="auto"/>
              <w:rPr>
                <w:color w:val="000000"/>
              </w:rPr>
            </w:pPr>
            <w:r>
              <w:rPr>
                <w:rFonts w:hint="eastAsia" w:ascii="宋体" w:hAnsi="宋体" w:cs="宋体"/>
                <w:color w:val="auto"/>
                <w:sz w:val="21"/>
                <w:szCs w:val="21"/>
                <w:lang w:val="zh-CN"/>
              </w:rPr>
              <w:t>满足采购书要求且最终报价最低为评标基准价，其价格分为满分，其他报价人的价格分按以下公式计算：报价得分＝（评标基准价/最终报价）×</w:t>
            </w:r>
            <w:r>
              <w:rPr>
                <w:rFonts w:hint="eastAsia" w:ascii="宋体" w:hAnsi="宋体" w:cs="宋体"/>
                <w:color w:val="auto"/>
                <w:sz w:val="21"/>
                <w:szCs w:val="21"/>
                <w:lang w:val="en-US" w:eastAsia="zh-CN"/>
              </w:rPr>
              <w:t>20</w:t>
            </w:r>
            <w:r>
              <w:rPr>
                <w:rFonts w:hint="eastAsia" w:ascii="宋体" w:hAnsi="宋体" w:cs="宋体"/>
                <w:color w:val="auto"/>
                <w:sz w:val="21"/>
                <w:szCs w:val="21"/>
                <w:lang w:val="zh-CN"/>
              </w:rPr>
              <w:t>（取小数点后二位）</w:t>
            </w:r>
          </w:p>
        </w:tc>
      </w:tr>
      <w:tr w14:paraId="4DB0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3132B14F">
            <w:pPr>
              <w:ind w:left="113" w:right="113"/>
              <w:jc w:val="center"/>
              <w:rPr>
                <w:color w:val="000000"/>
              </w:rPr>
            </w:pPr>
            <w:r>
              <w:rPr>
                <w:color w:val="000000"/>
              </w:rPr>
              <w:t>技术</w:t>
            </w:r>
            <w:r>
              <w:rPr>
                <w:rFonts w:hint="eastAsia"/>
                <w:color w:val="000000"/>
              </w:rPr>
              <w:t>因素</w:t>
            </w:r>
          </w:p>
        </w:tc>
        <w:tc>
          <w:tcPr>
            <w:tcW w:w="1980" w:type="dxa"/>
            <w:shd w:val="clear" w:color="auto" w:fill="auto"/>
            <w:noWrap/>
            <w:vAlign w:val="center"/>
          </w:tcPr>
          <w:p w14:paraId="192FCD8F">
            <w:pPr>
              <w:spacing w:line="360" w:lineRule="auto"/>
              <w:jc w:val="center"/>
              <w:rPr>
                <w:rFonts w:hint="eastAsia" w:ascii="宋体" w:hAnsi="宋体" w:cs="宋体"/>
                <w:color w:val="auto"/>
                <w:sz w:val="21"/>
                <w:szCs w:val="21"/>
              </w:rPr>
            </w:pPr>
            <w:r>
              <w:rPr>
                <w:rFonts w:hint="eastAsia" w:ascii="宋体" w:hAnsi="宋体" w:cs="宋体"/>
                <w:color w:val="auto"/>
                <w:sz w:val="21"/>
                <w:szCs w:val="21"/>
              </w:rPr>
              <w:t>同类业绩</w:t>
            </w:r>
          </w:p>
          <w:p w14:paraId="7168B122">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经验</w:t>
            </w:r>
          </w:p>
        </w:tc>
        <w:tc>
          <w:tcPr>
            <w:tcW w:w="940" w:type="dxa"/>
            <w:shd w:val="clear" w:color="auto" w:fill="auto"/>
            <w:noWrap/>
            <w:vAlign w:val="center"/>
          </w:tcPr>
          <w:p w14:paraId="1F75E018">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1</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tc>
        <w:tc>
          <w:tcPr>
            <w:tcW w:w="5540" w:type="dxa"/>
            <w:shd w:val="clear" w:color="auto" w:fill="auto"/>
            <w:noWrap/>
            <w:vAlign w:val="center"/>
          </w:tcPr>
          <w:p w14:paraId="723DAC5D">
            <w:p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zh-CN"/>
              </w:rPr>
              <w:t>投标人自 20</w:t>
            </w:r>
            <w:r>
              <w:rPr>
                <w:rFonts w:hint="eastAsia" w:ascii="宋体" w:hAnsi="宋体" w:cs="宋体"/>
                <w:color w:val="auto"/>
                <w:sz w:val="21"/>
                <w:szCs w:val="21"/>
              </w:rPr>
              <w:t>2</w:t>
            </w:r>
            <w:r>
              <w:rPr>
                <w:rFonts w:hint="eastAsia" w:ascii="宋体" w:hAnsi="宋体" w:cs="宋体"/>
                <w:color w:val="auto"/>
                <w:sz w:val="21"/>
                <w:szCs w:val="21"/>
                <w:lang w:val="en-US" w:eastAsia="zh-CN"/>
              </w:rPr>
              <w:t>2</w:t>
            </w:r>
            <w:r>
              <w:rPr>
                <w:rFonts w:hint="eastAsia" w:ascii="宋体" w:hAnsi="宋体" w:cs="宋体"/>
                <w:color w:val="auto"/>
                <w:sz w:val="21"/>
                <w:szCs w:val="21"/>
                <w:lang w:val="zh-CN"/>
              </w:rPr>
              <w:t>年1月1日至今完成</w:t>
            </w:r>
            <w:r>
              <w:rPr>
                <w:rFonts w:hint="eastAsia" w:ascii="宋体" w:hAnsi="宋体" w:cs="宋体"/>
                <w:color w:val="auto"/>
                <w:sz w:val="21"/>
                <w:szCs w:val="21"/>
              </w:rPr>
              <w:t>单项工程金额为1</w:t>
            </w:r>
            <w:r>
              <w:rPr>
                <w:rFonts w:hint="eastAsia" w:ascii="宋体" w:hAnsi="宋体" w:cs="宋体"/>
                <w:color w:val="auto"/>
                <w:sz w:val="21"/>
                <w:szCs w:val="21"/>
                <w:lang w:val="en-US" w:eastAsia="zh-CN"/>
              </w:rPr>
              <w:t>000万</w:t>
            </w:r>
            <w:r>
              <w:rPr>
                <w:rFonts w:hint="eastAsia" w:ascii="宋体" w:hAnsi="宋体" w:cs="宋体"/>
                <w:color w:val="auto"/>
                <w:sz w:val="21"/>
                <w:szCs w:val="21"/>
              </w:rPr>
              <w:t>元或以上的房屋</w:t>
            </w:r>
            <w:r>
              <w:rPr>
                <w:rFonts w:hint="eastAsia" w:ascii="宋体" w:hAnsi="宋体" w:cs="宋体"/>
                <w:color w:val="auto"/>
                <w:sz w:val="21"/>
                <w:szCs w:val="21"/>
                <w:lang w:eastAsia="zh-CN"/>
              </w:rPr>
              <w:t>建设</w:t>
            </w:r>
            <w:r>
              <w:rPr>
                <w:rFonts w:hint="eastAsia" w:ascii="宋体" w:hAnsi="宋体" w:cs="宋体"/>
                <w:color w:val="auto"/>
                <w:sz w:val="21"/>
                <w:szCs w:val="21"/>
              </w:rPr>
              <w:t>工程</w:t>
            </w:r>
            <w:r>
              <w:rPr>
                <w:rFonts w:hint="eastAsia" w:ascii="宋体" w:hAnsi="宋体" w:cs="宋体"/>
                <w:color w:val="auto"/>
                <w:sz w:val="21"/>
                <w:szCs w:val="21"/>
                <w:lang w:eastAsia="zh-CN"/>
              </w:rPr>
              <w:t>项目的</w:t>
            </w:r>
            <w:r>
              <w:rPr>
                <w:rFonts w:hint="eastAsia" w:ascii="宋体" w:hAnsi="宋体" w:cs="宋体"/>
                <w:color w:val="auto"/>
                <w:sz w:val="21"/>
                <w:szCs w:val="21"/>
              </w:rPr>
              <w:t>结算审核造价咨询业绩</w:t>
            </w:r>
            <w:r>
              <w:rPr>
                <w:rFonts w:hint="eastAsia" w:ascii="宋体" w:hAnsi="宋体" w:cs="宋体"/>
                <w:color w:val="auto"/>
                <w:sz w:val="21"/>
                <w:szCs w:val="21"/>
                <w:lang w:val="zh-CN"/>
              </w:rPr>
              <w:t>，每项得 2</w:t>
            </w:r>
            <w:r>
              <w:rPr>
                <w:rFonts w:hint="eastAsia" w:ascii="宋体" w:hAnsi="宋体" w:cs="宋体"/>
                <w:color w:val="auto"/>
                <w:sz w:val="21"/>
                <w:szCs w:val="21"/>
                <w:lang w:val="en-US" w:eastAsia="zh-CN"/>
              </w:rPr>
              <w:t>.5</w:t>
            </w:r>
            <w:r>
              <w:rPr>
                <w:rFonts w:hint="eastAsia" w:ascii="宋体" w:hAnsi="宋体" w:cs="宋体"/>
                <w:color w:val="auto"/>
                <w:sz w:val="21"/>
                <w:szCs w:val="21"/>
                <w:lang w:val="zh-CN"/>
              </w:rPr>
              <w:t>分；本项得分最高不超过</w:t>
            </w:r>
            <w:r>
              <w:rPr>
                <w:rFonts w:hint="eastAsia" w:ascii="宋体" w:hAnsi="宋体" w:cs="宋体"/>
                <w:color w:val="auto"/>
                <w:sz w:val="21"/>
                <w:szCs w:val="21"/>
                <w:lang w:val="en-US" w:eastAsia="zh-CN"/>
              </w:rPr>
              <w:t>15分。</w:t>
            </w:r>
          </w:p>
          <w:p w14:paraId="408EFF1E">
            <w:pPr>
              <w:spacing w:line="360" w:lineRule="auto"/>
              <w:rPr>
                <w:rFonts w:hint="eastAsia" w:ascii="宋体" w:hAnsi="宋体" w:eastAsia="宋体" w:cs="宋体"/>
                <w:color w:val="auto"/>
                <w:kern w:val="2"/>
                <w:sz w:val="21"/>
                <w:szCs w:val="21"/>
                <w:lang w:val="zh-CN" w:eastAsia="zh-CN" w:bidi="ar-SA"/>
              </w:rPr>
            </w:pPr>
            <w:r>
              <w:rPr>
                <w:rFonts w:hint="eastAsia" w:ascii="宋体" w:hAnsi="宋体" w:cs="宋体"/>
                <w:b/>
                <w:bCs/>
                <w:color w:val="auto"/>
                <w:sz w:val="21"/>
                <w:szCs w:val="21"/>
                <w:lang w:val="zh-CN"/>
              </w:rPr>
              <w:t>注：须附上合同关键页（含签订合同双方的单位名称、合同项目名称、合同概况、签订合同双方的落款盖章、签订日期的关键页）复印件及造价成果复印件（经相关方确认的签名盖章页或定案表等）作为类似业绩评价证明资料。</w:t>
            </w:r>
          </w:p>
        </w:tc>
      </w:tr>
      <w:tr w14:paraId="3CD0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48" w:type="dxa"/>
            <w:vMerge w:val="continue"/>
            <w:noWrap/>
            <w:textDirection w:val="tbRlV"/>
            <w:vAlign w:val="center"/>
          </w:tcPr>
          <w:p w14:paraId="165A9322">
            <w:pPr>
              <w:ind w:left="113" w:right="113"/>
              <w:jc w:val="center"/>
              <w:rPr>
                <w:color w:val="000000"/>
              </w:rPr>
            </w:pPr>
          </w:p>
        </w:tc>
        <w:tc>
          <w:tcPr>
            <w:tcW w:w="1980" w:type="dxa"/>
            <w:shd w:val="clear" w:color="auto" w:fill="auto"/>
            <w:noWrap/>
            <w:vAlign w:val="center"/>
          </w:tcPr>
          <w:p w14:paraId="434F204D">
            <w:pPr>
              <w:spacing w:line="360" w:lineRule="auto"/>
              <w:ind w:left="42" w:leftChars="20"/>
              <w:contextualSpacing/>
              <w:jc w:val="center"/>
              <w:rPr>
                <w:rFonts w:hint="eastAsia" w:ascii="宋体" w:hAnsi="宋体" w:cs="宋体"/>
                <w:color w:val="auto"/>
                <w:sz w:val="21"/>
                <w:szCs w:val="21"/>
              </w:rPr>
            </w:pPr>
            <w:r>
              <w:rPr>
                <w:rFonts w:hint="eastAsia" w:ascii="宋体" w:hAnsi="宋体" w:cs="宋体"/>
                <w:color w:val="auto"/>
                <w:sz w:val="21"/>
                <w:szCs w:val="21"/>
              </w:rPr>
              <w:t>拟派项目</w:t>
            </w:r>
          </w:p>
          <w:p w14:paraId="2DEAD8AE">
            <w:pPr>
              <w:spacing w:line="360" w:lineRule="auto"/>
              <w:ind w:left="42" w:leftChars="20"/>
              <w:contextualSpacing/>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负责人</w:t>
            </w:r>
          </w:p>
        </w:tc>
        <w:tc>
          <w:tcPr>
            <w:tcW w:w="940" w:type="dxa"/>
            <w:shd w:val="clear" w:color="auto" w:fill="auto"/>
            <w:noWrap/>
            <w:vAlign w:val="center"/>
          </w:tcPr>
          <w:p w14:paraId="4DB51312">
            <w:pPr>
              <w:pStyle w:val="104"/>
              <w:spacing w:before="0" w:after="0" w:line="360" w:lineRule="auto"/>
              <w:jc w:val="center"/>
              <w:rPr>
                <w:rFonts w:ascii="宋体" w:hAnsi="宋体" w:eastAsia="宋体" w:cs="宋体"/>
                <w:bCs/>
                <w:color w:val="auto"/>
                <w:spacing w:val="10"/>
                <w:kern w:val="0"/>
                <w:sz w:val="21"/>
                <w:szCs w:val="21"/>
                <w:lang w:val="en-US" w:eastAsia="zh-CN" w:bidi="ar-SA"/>
              </w:rPr>
            </w:pPr>
            <w:r>
              <w:rPr>
                <w:rFonts w:hint="eastAsia" w:ascii="宋体" w:hAnsi="宋体" w:cs="宋体"/>
                <w:color w:val="auto"/>
                <w:sz w:val="21"/>
                <w:szCs w:val="21"/>
              </w:rPr>
              <w:t>12分</w:t>
            </w:r>
          </w:p>
        </w:tc>
        <w:tc>
          <w:tcPr>
            <w:tcW w:w="5540" w:type="dxa"/>
            <w:shd w:val="clear" w:color="auto" w:fill="auto"/>
            <w:noWrap/>
            <w:vAlign w:val="top"/>
          </w:tcPr>
          <w:p w14:paraId="17B13244">
            <w:pPr>
              <w:spacing w:line="360" w:lineRule="auto"/>
              <w:rPr>
                <w:rFonts w:hint="eastAsia" w:ascii="宋体" w:hAnsi="宋体" w:cs="宋体"/>
                <w:color w:val="auto"/>
                <w:sz w:val="21"/>
                <w:szCs w:val="21"/>
              </w:rPr>
            </w:pPr>
            <w:r>
              <w:rPr>
                <w:rFonts w:hint="eastAsia" w:ascii="宋体" w:hAnsi="宋体" w:cs="宋体"/>
                <w:color w:val="auto"/>
                <w:sz w:val="21"/>
                <w:szCs w:val="21"/>
              </w:rPr>
              <w:t>（1）具备工程造价类高级（或以上）工程师职称，得2分；</w:t>
            </w:r>
          </w:p>
          <w:p w14:paraId="2979A4C2">
            <w:pPr>
              <w:spacing w:line="360" w:lineRule="auto"/>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val="en-US" w:eastAsia="zh-CN"/>
              </w:rPr>
              <w:t>取得</w:t>
            </w:r>
            <w:r>
              <w:rPr>
                <w:rFonts w:hint="eastAsia" w:ascii="宋体" w:hAnsi="宋体" w:cs="宋体"/>
                <w:color w:val="auto"/>
                <w:sz w:val="21"/>
                <w:szCs w:val="21"/>
              </w:rPr>
              <w:t>一级造价工程师注册证书</w:t>
            </w:r>
            <w:r>
              <w:rPr>
                <w:rFonts w:hint="eastAsia" w:ascii="宋体" w:hAnsi="宋体" w:cs="宋体"/>
                <w:color w:val="auto"/>
                <w:sz w:val="21"/>
                <w:szCs w:val="21"/>
                <w:lang w:eastAsia="zh-CN"/>
              </w:rPr>
              <w:t>的</w:t>
            </w:r>
            <w:r>
              <w:rPr>
                <w:rFonts w:hint="eastAsia" w:ascii="宋体" w:hAnsi="宋体" w:cs="宋体"/>
                <w:color w:val="auto"/>
                <w:sz w:val="21"/>
                <w:szCs w:val="21"/>
              </w:rPr>
              <w:t>连续注册时间：15年或以上的，得4分；10年-14年，得2分；5-9年，得1分，其他不得分。</w:t>
            </w:r>
          </w:p>
          <w:p w14:paraId="37ABC16E">
            <w:pPr>
              <w:spacing w:line="360" w:lineRule="auto"/>
              <w:rPr>
                <w:rFonts w:hint="eastAsia" w:ascii="宋体" w:hAnsi="宋体" w:cs="宋体"/>
                <w:color w:val="auto"/>
                <w:sz w:val="21"/>
                <w:szCs w:val="21"/>
              </w:rPr>
            </w:pPr>
            <w:r>
              <w:rPr>
                <w:rFonts w:hint="eastAsia" w:ascii="宋体" w:hAnsi="宋体" w:cs="宋体"/>
                <w:color w:val="auto"/>
                <w:sz w:val="21"/>
                <w:szCs w:val="21"/>
              </w:rPr>
              <w:t>（3）项目负责人自202</w:t>
            </w:r>
            <w:r>
              <w:rPr>
                <w:rFonts w:hint="eastAsia" w:ascii="宋体" w:hAnsi="宋体" w:cs="宋体"/>
                <w:color w:val="auto"/>
                <w:sz w:val="21"/>
                <w:szCs w:val="21"/>
                <w:lang w:val="en-US" w:eastAsia="zh-CN"/>
              </w:rPr>
              <w:t>0</w:t>
            </w:r>
            <w:r>
              <w:rPr>
                <w:rFonts w:hint="eastAsia" w:ascii="宋体" w:hAnsi="宋体" w:cs="宋体"/>
                <w:color w:val="auto"/>
                <w:sz w:val="21"/>
                <w:szCs w:val="21"/>
              </w:rPr>
              <w:t>年1月1日至今完成的单项工程金额为1</w:t>
            </w:r>
            <w:r>
              <w:rPr>
                <w:rFonts w:hint="eastAsia" w:ascii="宋体" w:hAnsi="宋体" w:cs="宋体"/>
                <w:color w:val="auto"/>
                <w:sz w:val="21"/>
                <w:szCs w:val="21"/>
                <w:lang w:val="en-US" w:eastAsia="zh-CN"/>
              </w:rPr>
              <w:t>000万</w:t>
            </w:r>
            <w:r>
              <w:rPr>
                <w:rFonts w:hint="eastAsia" w:ascii="宋体" w:hAnsi="宋体" w:cs="宋体"/>
                <w:color w:val="auto"/>
                <w:sz w:val="21"/>
                <w:szCs w:val="21"/>
              </w:rPr>
              <w:t>元或以上的房屋</w:t>
            </w:r>
            <w:r>
              <w:rPr>
                <w:rFonts w:hint="eastAsia" w:ascii="宋体" w:hAnsi="宋体" w:cs="宋体"/>
                <w:color w:val="auto"/>
                <w:sz w:val="21"/>
                <w:szCs w:val="21"/>
                <w:lang w:eastAsia="zh-CN"/>
              </w:rPr>
              <w:t>建设</w:t>
            </w:r>
            <w:r>
              <w:rPr>
                <w:rFonts w:hint="eastAsia" w:ascii="宋体" w:hAnsi="宋体" w:cs="宋体"/>
                <w:color w:val="auto"/>
                <w:sz w:val="21"/>
                <w:szCs w:val="21"/>
              </w:rPr>
              <w:t>工程</w:t>
            </w:r>
            <w:r>
              <w:rPr>
                <w:rFonts w:hint="eastAsia" w:ascii="宋体" w:hAnsi="宋体" w:cs="宋体"/>
                <w:color w:val="auto"/>
                <w:sz w:val="21"/>
                <w:szCs w:val="21"/>
                <w:lang w:eastAsia="zh-CN"/>
              </w:rPr>
              <w:t>项目的</w:t>
            </w:r>
            <w:r>
              <w:rPr>
                <w:rFonts w:hint="eastAsia" w:ascii="宋体" w:hAnsi="宋体" w:cs="宋体"/>
                <w:color w:val="auto"/>
                <w:sz w:val="21"/>
                <w:szCs w:val="21"/>
              </w:rPr>
              <w:t>结算审核造价咨询业绩，每项得1分，最高得6分。</w:t>
            </w:r>
          </w:p>
          <w:p w14:paraId="62CF7340">
            <w:pPr>
              <w:spacing w:line="360" w:lineRule="auto"/>
              <w:rPr>
                <w:rFonts w:hint="eastAsia" w:ascii="Calibri" w:hAnsi="Calibri" w:eastAsia="宋体" w:cs="Times New Roman"/>
                <w:color w:val="auto"/>
                <w:kern w:val="2"/>
                <w:sz w:val="21"/>
                <w:szCs w:val="21"/>
                <w:lang w:val="en-US" w:eastAsia="zh-Hans" w:bidi="ar-SA"/>
              </w:rPr>
            </w:pPr>
            <w:r>
              <w:rPr>
                <w:rFonts w:hint="eastAsia" w:ascii="宋体" w:hAnsi="宋体" w:cs="宋体"/>
                <w:b/>
                <w:bCs/>
                <w:color w:val="auto"/>
                <w:sz w:val="21"/>
                <w:szCs w:val="21"/>
              </w:rPr>
              <w:t>注：投标时需提供下述证明材料并加盖投标人公章：①上述对应证书复印件，年限以一级造价工程师注册证书落款时间为准。②相关业绩证明材料关键页并清晰显示项目负责人姓名、业绩金额、服务内容等。③对应人员任职证明（与投标人签订的劳动合同复印件或在本项目投标截止日之前六个月内任意一个月投标人为其购买的投保单或社会保险参保人员证明，或单位代缴个人所得税税单）。</w:t>
            </w:r>
          </w:p>
        </w:tc>
      </w:tr>
      <w:tr w14:paraId="630C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1E5D52B9">
            <w:pPr>
              <w:ind w:left="113" w:right="113"/>
              <w:jc w:val="center"/>
              <w:rPr>
                <w:color w:val="000000"/>
              </w:rPr>
            </w:pPr>
          </w:p>
        </w:tc>
        <w:tc>
          <w:tcPr>
            <w:tcW w:w="1980" w:type="dxa"/>
            <w:shd w:val="clear" w:color="auto" w:fill="auto"/>
            <w:noWrap/>
            <w:vAlign w:val="center"/>
          </w:tcPr>
          <w:p w14:paraId="01190872">
            <w:pPr>
              <w:spacing w:line="360" w:lineRule="auto"/>
              <w:ind w:left="42" w:leftChars="20"/>
              <w:contextualSpacing/>
              <w:jc w:val="center"/>
              <w:rPr>
                <w:rFonts w:hint="eastAsia" w:ascii="宋体" w:hAnsi="宋体" w:cs="宋体"/>
                <w:color w:val="auto"/>
                <w:sz w:val="21"/>
                <w:szCs w:val="21"/>
              </w:rPr>
            </w:pPr>
            <w:r>
              <w:rPr>
                <w:rFonts w:hint="eastAsia" w:ascii="宋体" w:hAnsi="宋体" w:cs="宋体"/>
                <w:color w:val="auto"/>
                <w:sz w:val="21"/>
                <w:szCs w:val="21"/>
              </w:rPr>
              <w:t>其他咨询</w:t>
            </w:r>
          </w:p>
          <w:p w14:paraId="4B055ECF">
            <w:pPr>
              <w:spacing w:line="360" w:lineRule="auto"/>
              <w:ind w:left="42" w:leftChars="20"/>
              <w:contextualSpacing/>
              <w:jc w:val="center"/>
              <w:rPr>
                <w:rFonts w:hint="eastAsia" w:ascii="宋体" w:hAnsi="宋体" w:cs="宋体"/>
                <w:color w:val="auto"/>
                <w:sz w:val="21"/>
                <w:szCs w:val="21"/>
              </w:rPr>
            </w:pPr>
            <w:r>
              <w:rPr>
                <w:rFonts w:hint="eastAsia" w:ascii="宋体" w:hAnsi="宋体" w:cs="宋体"/>
                <w:color w:val="auto"/>
                <w:sz w:val="21"/>
                <w:szCs w:val="21"/>
              </w:rPr>
              <w:t>人员（项</w:t>
            </w:r>
          </w:p>
          <w:p w14:paraId="5101F3CF">
            <w:pPr>
              <w:spacing w:line="360" w:lineRule="auto"/>
              <w:ind w:left="42" w:leftChars="20"/>
              <w:contextualSpacing/>
              <w:jc w:val="center"/>
              <w:rPr>
                <w:rFonts w:hint="eastAsia" w:ascii="宋体" w:hAnsi="宋体" w:cs="宋体"/>
                <w:color w:val="auto"/>
                <w:sz w:val="21"/>
                <w:szCs w:val="21"/>
              </w:rPr>
            </w:pPr>
            <w:r>
              <w:rPr>
                <w:rFonts w:hint="eastAsia" w:ascii="宋体" w:hAnsi="宋体" w:cs="宋体"/>
                <w:color w:val="auto"/>
                <w:sz w:val="21"/>
                <w:szCs w:val="21"/>
              </w:rPr>
              <w:t>目负责人</w:t>
            </w:r>
          </w:p>
          <w:p w14:paraId="26525ADF">
            <w:pPr>
              <w:spacing w:line="360" w:lineRule="auto"/>
              <w:ind w:left="42" w:leftChars="20"/>
              <w:contextualSpacing/>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除外）</w:t>
            </w:r>
          </w:p>
        </w:tc>
        <w:tc>
          <w:tcPr>
            <w:tcW w:w="940" w:type="dxa"/>
            <w:shd w:val="clear" w:color="auto" w:fill="auto"/>
            <w:noWrap/>
            <w:vAlign w:val="center"/>
          </w:tcPr>
          <w:p w14:paraId="75E82A1E">
            <w:pPr>
              <w:pStyle w:val="104"/>
              <w:spacing w:before="0" w:after="0" w:line="360" w:lineRule="auto"/>
              <w:jc w:val="center"/>
              <w:rPr>
                <w:rFonts w:hint="eastAsia" w:ascii="宋体" w:hAnsi="宋体" w:eastAsia="宋体" w:cs="宋体"/>
                <w:bCs/>
                <w:color w:val="auto"/>
                <w:spacing w:val="10"/>
                <w:kern w:val="0"/>
                <w:sz w:val="21"/>
                <w:szCs w:val="21"/>
                <w:lang w:val="en-US" w:eastAsia="zh-CN" w:bidi="ar-SA"/>
              </w:rPr>
            </w:pPr>
            <w:r>
              <w:rPr>
                <w:rFonts w:hint="eastAsia" w:ascii="宋体" w:hAnsi="宋体" w:cs="宋体"/>
                <w:color w:val="auto"/>
                <w:sz w:val="21"/>
                <w:szCs w:val="21"/>
              </w:rPr>
              <w:t>15分</w:t>
            </w:r>
          </w:p>
        </w:tc>
        <w:tc>
          <w:tcPr>
            <w:tcW w:w="5540" w:type="dxa"/>
            <w:shd w:val="clear" w:color="auto" w:fill="auto"/>
            <w:noWrap/>
            <w:vAlign w:val="top"/>
          </w:tcPr>
          <w:p w14:paraId="7D6E89A0">
            <w:pPr>
              <w:spacing w:line="360" w:lineRule="auto"/>
              <w:rPr>
                <w:rFonts w:hint="eastAsia" w:ascii="宋体" w:hAnsi="宋体" w:cs="宋体"/>
                <w:color w:val="auto"/>
                <w:sz w:val="21"/>
                <w:szCs w:val="21"/>
              </w:rPr>
            </w:pPr>
            <w:r>
              <w:rPr>
                <w:rFonts w:hint="eastAsia" w:ascii="宋体" w:hAnsi="宋体" w:cs="宋体"/>
                <w:color w:val="auto"/>
                <w:sz w:val="21"/>
                <w:szCs w:val="21"/>
              </w:rPr>
              <w:t>投入的人员组织架构合理：</w:t>
            </w:r>
          </w:p>
          <w:p w14:paraId="49EFDAB1">
            <w:pPr>
              <w:spacing w:line="360" w:lineRule="auto"/>
              <w:rPr>
                <w:rFonts w:hint="eastAsia" w:ascii="宋体" w:hAnsi="宋体" w:cs="宋体"/>
                <w:color w:val="auto"/>
                <w:sz w:val="21"/>
                <w:szCs w:val="21"/>
              </w:rPr>
            </w:pPr>
            <w:r>
              <w:rPr>
                <w:rFonts w:hint="eastAsia" w:ascii="宋体" w:hAnsi="宋体" w:cs="宋体"/>
                <w:color w:val="auto"/>
                <w:sz w:val="21"/>
                <w:szCs w:val="21"/>
              </w:rPr>
              <w:t>（1）土建专业负责人：具备一级造价工程师注册证书（土木建筑工程专业）与中级及以上职称，得3分，否则不得分；</w:t>
            </w:r>
          </w:p>
          <w:p w14:paraId="70A92AF6">
            <w:pPr>
              <w:spacing w:line="360" w:lineRule="auto"/>
              <w:rPr>
                <w:rFonts w:hint="eastAsia" w:ascii="宋体" w:hAnsi="宋体" w:cs="宋体"/>
                <w:color w:val="auto"/>
                <w:sz w:val="21"/>
                <w:szCs w:val="21"/>
              </w:rPr>
            </w:pPr>
            <w:r>
              <w:rPr>
                <w:rFonts w:hint="eastAsia" w:ascii="宋体" w:hAnsi="宋体" w:cs="宋体"/>
                <w:color w:val="auto"/>
                <w:sz w:val="21"/>
                <w:szCs w:val="21"/>
              </w:rPr>
              <w:t>（2）安装专业负责人：具备一级造价工程师注册证书（安装工程专业）与中级及以上职称，得2分，否则不得分；</w:t>
            </w:r>
          </w:p>
          <w:p w14:paraId="33F954F2">
            <w:pPr>
              <w:spacing w:line="360" w:lineRule="auto"/>
              <w:rPr>
                <w:rFonts w:hint="eastAsia" w:ascii="宋体" w:hAnsi="宋体" w:cs="宋体"/>
                <w:color w:val="auto"/>
                <w:sz w:val="21"/>
                <w:szCs w:val="21"/>
              </w:rPr>
            </w:pPr>
            <w:r>
              <w:rPr>
                <w:rFonts w:hint="eastAsia" w:ascii="宋体" w:hAnsi="宋体" w:cs="宋体"/>
                <w:color w:val="auto"/>
                <w:sz w:val="21"/>
                <w:szCs w:val="21"/>
              </w:rPr>
              <w:t>（3）土建专业其他人员至少</w:t>
            </w:r>
            <w:r>
              <w:rPr>
                <w:rFonts w:hint="eastAsia" w:ascii="宋体" w:hAnsi="宋体" w:cs="宋体"/>
                <w:color w:val="auto"/>
                <w:sz w:val="21"/>
                <w:szCs w:val="21"/>
                <w:lang w:val="en-US" w:eastAsia="zh-CN"/>
              </w:rPr>
              <w:t>3</w:t>
            </w:r>
            <w:r>
              <w:rPr>
                <w:rFonts w:hint="eastAsia" w:ascii="宋体" w:hAnsi="宋体" w:cs="宋体"/>
                <w:color w:val="auto"/>
                <w:sz w:val="21"/>
                <w:szCs w:val="21"/>
              </w:rPr>
              <w:t>人，均须具备土建专业执业资格与初级或以上职称，得6分，否则不得分；</w:t>
            </w:r>
          </w:p>
          <w:p w14:paraId="7F28061A">
            <w:pPr>
              <w:spacing w:line="360" w:lineRule="auto"/>
              <w:rPr>
                <w:rFonts w:hint="eastAsia" w:ascii="宋体" w:hAnsi="宋体" w:cs="宋体"/>
                <w:color w:val="auto"/>
                <w:sz w:val="21"/>
                <w:szCs w:val="21"/>
              </w:rPr>
            </w:pPr>
            <w:r>
              <w:rPr>
                <w:rFonts w:hint="eastAsia" w:ascii="宋体" w:hAnsi="宋体" w:cs="宋体"/>
                <w:color w:val="auto"/>
                <w:sz w:val="21"/>
                <w:szCs w:val="21"/>
              </w:rPr>
              <w:t>（4）安装专业其他人员至少</w:t>
            </w:r>
            <w:r>
              <w:rPr>
                <w:rFonts w:hint="eastAsia" w:ascii="宋体" w:hAnsi="宋体" w:cs="宋体"/>
                <w:color w:val="auto"/>
                <w:sz w:val="21"/>
                <w:szCs w:val="21"/>
                <w:lang w:val="en-US" w:eastAsia="zh-CN"/>
              </w:rPr>
              <w:t>2</w:t>
            </w:r>
            <w:r>
              <w:rPr>
                <w:rFonts w:hint="eastAsia" w:ascii="宋体" w:hAnsi="宋体" w:cs="宋体"/>
                <w:color w:val="auto"/>
                <w:sz w:val="21"/>
                <w:szCs w:val="21"/>
              </w:rPr>
              <w:t>人，均须具备安装专业执业资格与初级或以上职称，得4分，否则不得分。</w:t>
            </w:r>
          </w:p>
          <w:p w14:paraId="540A9E30">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 w:val="21"/>
                <w:szCs w:val="21"/>
              </w:rPr>
              <w:t>注：投标时需提供下述证明材料并加盖投标人公章：①上述对应证书复印件。②对应人员任职证明（与投标人签订的劳动合同复印件或在本项目投标截止日之前六个月内任意一个月投标人为其购买的投保单或社会保险参保人员证明，或单位代缴个人所得税税单）。</w:t>
            </w:r>
          </w:p>
        </w:tc>
      </w:tr>
      <w:tr w14:paraId="4AEF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648" w:type="dxa"/>
            <w:noWrap/>
            <w:textDirection w:val="tbRlV"/>
            <w:vAlign w:val="center"/>
          </w:tcPr>
          <w:p w14:paraId="1008CC59">
            <w:pPr>
              <w:ind w:left="0" w:leftChars="0" w:right="113" w:firstLine="0" w:firstLineChars="0"/>
              <w:jc w:val="center"/>
              <w:rPr>
                <w:rFonts w:hint="eastAsia" w:eastAsia="宋体"/>
                <w:color w:val="000000"/>
                <w:lang w:eastAsia="zh-CN"/>
              </w:rPr>
            </w:pPr>
            <w:r>
              <w:rPr>
                <w:rFonts w:hint="eastAsia"/>
                <w:color w:val="000000"/>
                <w:lang w:eastAsia="zh-CN"/>
              </w:rPr>
              <w:t>诚信综合因素</w:t>
            </w:r>
          </w:p>
        </w:tc>
        <w:tc>
          <w:tcPr>
            <w:tcW w:w="1980" w:type="dxa"/>
            <w:noWrap/>
            <w:vAlign w:val="center"/>
          </w:tcPr>
          <w:p w14:paraId="0D2A9448">
            <w:pPr>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诚信综合评价得分</w:t>
            </w:r>
          </w:p>
        </w:tc>
        <w:tc>
          <w:tcPr>
            <w:tcW w:w="940" w:type="dxa"/>
            <w:noWrap/>
            <w:vAlign w:val="center"/>
          </w:tcPr>
          <w:p w14:paraId="0B726E3F">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5分</w:t>
            </w:r>
          </w:p>
        </w:tc>
        <w:tc>
          <w:tcPr>
            <w:tcW w:w="5540" w:type="dxa"/>
            <w:noWrap/>
            <w:vAlign w:val="center"/>
          </w:tcPr>
          <w:p w14:paraId="126E584F">
            <w:pPr>
              <w:pStyle w:val="28"/>
              <w:spacing w:after="0" w:line="360" w:lineRule="auto"/>
              <w:ind w:firstLine="0" w:firstLineChars="0"/>
              <w:rPr>
                <w:rFonts w:hint="eastAsia" w:ascii="宋体" w:hAnsi="宋体" w:cs="宋体"/>
                <w:color w:val="auto"/>
                <w:sz w:val="21"/>
                <w:szCs w:val="21"/>
              </w:rPr>
            </w:pPr>
            <w:r>
              <w:rPr>
                <w:rFonts w:hint="eastAsia"/>
                <w:color w:val="000000" w:themeColor="text1"/>
                <w:szCs w:val="21"/>
                <w14:textFill>
                  <w14:solidFill>
                    <w14:schemeClr w14:val="tx1"/>
                  </w14:solidFill>
                </w14:textFill>
              </w:rPr>
              <w:t>投</w:t>
            </w:r>
            <w:r>
              <w:rPr>
                <w:rFonts w:hint="eastAsia" w:ascii="宋体" w:hAnsi="宋体" w:cs="宋体"/>
                <w:color w:val="auto"/>
                <w:sz w:val="21"/>
                <w:szCs w:val="21"/>
              </w:rPr>
              <w:t xml:space="preserve">标人诚信得分=诚信综合评价排名得分*5% </w:t>
            </w:r>
          </w:p>
          <w:p w14:paraId="0821E15F">
            <w:pPr>
              <w:pStyle w:val="28"/>
              <w:spacing w:after="0" w:line="360" w:lineRule="auto"/>
              <w:ind w:firstLine="0" w:firstLineChars="0"/>
              <w:rPr>
                <w:color w:val="000000" w:themeColor="text1"/>
                <w:szCs w:val="21"/>
                <w14:textFill>
                  <w14:solidFill>
                    <w14:schemeClr w14:val="tx1"/>
                  </w14:solidFill>
                </w14:textFill>
              </w:rPr>
            </w:pPr>
            <w:r>
              <w:rPr>
                <w:rFonts w:hint="eastAsia" w:ascii="宋体" w:hAnsi="宋体" w:cs="宋体"/>
                <w:color w:val="auto"/>
                <w:sz w:val="21"/>
                <w:szCs w:val="21"/>
              </w:rPr>
              <w:t>注：企业的诚信综合评价排名以投标截止当日在“广州市工程造价行业协会平台”中公布的造价咨询企业60日诚信分排名数据为准。</w:t>
            </w:r>
          </w:p>
        </w:tc>
      </w:tr>
      <w:tr w14:paraId="3E31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45B87640">
            <w:pPr>
              <w:ind w:right="113"/>
              <w:jc w:val="center"/>
              <w:rPr>
                <w:color w:val="000000"/>
              </w:rPr>
            </w:pPr>
            <w:r>
              <w:rPr>
                <w:rFonts w:hint="eastAsia"/>
                <w:color w:val="000000"/>
              </w:rPr>
              <w:t>商务因素</w:t>
            </w:r>
          </w:p>
        </w:tc>
        <w:tc>
          <w:tcPr>
            <w:tcW w:w="1980" w:type="dxa"/>
            <w:shd w:val="clear" w:color="auto" w:fill="auto"/>
            <w:noWrap/>
            <w:vAlign w:val="center"/>
          </w:tcPr>
          <w:p w14:paraId="4947AB24">
            <w:pPr>
              <w:spacing w:line="360" w:lineRule="auto"/>
              <w:jc w:val="center"/>
              <w:rPr>
                <w:rFonts w:hint="eastAsia" w:ascii="宋体" w:hAnsi="宋体" w:cs="宋体"/>
                <w:color w:val="auto"/>
                <w:sz w:val="21"/>
                <w:szCs w:val="21"/>
                <w:lang w:val="en-GB"/>
              </w:rPr>
            </w:pPr>
            <w:r>
              <w:rPr>
                <w:rFonts w:hint="eastAsia" w:ascii="宋体" w:hAnsi="宋体" w:cs="宋体"/>
                <w:color w:val="auto"/>
                <w:sz w:val="21"/>
                <w:szCs w:val="21"/>
                <w:lang w:val="en-GB"/>
              </w:rPr>
              <w:t>结算审核</w:t>
            </w:r>
          </w:p>
          <w:p w14:paraId="1F11A761">
            <w:pPr>
              <w:spacing w:line="360" w:lineRule="auto"/>
              <w:jc w:val="center"/>
              <w:rPr>
                <w:rFonts w:hint="eastAsia" w:ascii="宋体" w:hAnsi="宋体" w:eastAsia="宋体" w:cs="宋体"/>
                <w:color w:val="auto"/>
                <w:kern w:val="2"/>
                <w:sz w:val="21"/>
                <w:szCs w:val="21"/>
                <w:lang w:val="en-GB" w:eastAsia="zh-CN" w:bidi="ar-SA"/>
              </w:rPr>
            </w:pPr>
            <w:r>
              <w:rPr>
                <w:rFonts w:hint="eastAsia" w:ascii="宋体" w:hAnsi="宋体" w:cs="宋体"/>
                <w:color w:val="auto"/>
                <w:sz w:val="21"/>
                <w:szCs w:val="21"/>
                <w:lang w:val="en-GB"/>
              </w:rPr>
              <w:t>方案</w:t>
            </w:r>
          </w:p>
        </w:tc>
        <w:tc>
          <w:tcPr>
            <w:tcW w:w="940" w:type="dxa"/>
            <w:shd w:val="clear" w:color="auto" w:fill="auto"/>
            <w:noWrap/>
            <w:vAlign w:val="center"/>
          </w:tcPr>
          <w:p w14:paraId="623C67F0">
            <w:pPr>
              <w:spacing w:line="360" w:lineRule="auto"/>
              <w:jc w:val="center"/>
              <w:rPr>
                <w:rFonts w:ascii="宋体" w:hAnsi="宋体" w:eastAsia="宋体" w:cs="宋体"/>
                <w:color w:val="auto"/>
                <w:kern w:val="2"/>
                <w:sz w:val="21"/>
                <w:szCs w:val="21"/>
                <w:lang w:val="en-US" w:eastAsia="zh-CN" w:bidi="ar-SA"/>
              </w:rPr>
            </w:pPr>
            <w:r>
              <w:rPr>
                <w:rFonts w:hint="eastAsia" w:ascii="宋体" w:hAnsi="宋体" w:cs="宋体"/>
                <w:color w:val="auto"/>
                <w:sz w:val="21"/>
                <w:szCs w:val="21"/>
              </w:rPr>
              <w:t>10分</w:t>
            </w:r>
          </w:p>
        </w:tc>
        <w:tc>
          <w:tcPr>
            <w:tcW w:w="5540" w:type="dxa"/>
            <w:shd w:val="clear" w:color="auto" w:fill="auto"/>
            <w:noWrap/>
            <w:vAlign w:val="center"/>
          </w:tcPr>
          <w:p w14:paraId="1A8C8EAB">
            <w:pPr>
              <w:pStyle w:val="28"/>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根据投标人针对本项目提供的结算审核方案内容进行评审：</w:t>
            </w:r>
          </w:p>
          <w:p w14:paraId="373CA927">
            <w:pPr>
              <w:pStyle w:val="28"/>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（1）结算审核方案清晰详尽，内容全面，思路清晰明确，方案可操作性强，对项目重点难点了解透彻，并提出可行的解决措施，得10分；</w:t>
            </w:r>
          </w:p>
          <w:p w14:paraId="045E7891">
            <w:pPr>
              <w:pStyle w:val="28"/>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（2）结算审核方案较清晰详尽，内容较全面，思路较清晰明确，方案可操作性较强，对项目重点难点了解较透彻，并提出可行的解决措施，得7分；</w:t>
            </w:r>
          </w:p>
          <w:p w14:paraId="0D477C2C">
            <w:pPr>
              <w:pStyle w:val="28"/>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（3）结算审核方案完整，思路不够清晰，方案基本可行，对项目重点难点有粗略分析，并提出可行的解决措施，得4分；</w:t>
            </w:r>
          </w:p>
          <w:p w14:paraId="49F8F68E">
            <w:pPr>
              <w:pStyle w:val="28"/>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（4）结算审核方案简陋，思路凌乱，方案可行性低，对项目重点难点有粗略分析，提出的解决措施可行性低，得1分；</w:t>
            </w:r>
          </w:p>
          <w:p w14:paraId="6FD43DDA">
            <w:pPr>
              <w:pStyle w:val="28"/>
              <w:spacing w:after="0" w:line="36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（5）无提供或其他均不得分。</w:t>
            </w:r>
          </w:p>
        </w:tc>
      </w:tr>
      <w:tr w14:paraId="05C9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3FC9EBBF">
            <w:pPr>
              <w:ind w:left="113" w:right="113"/>
              <w:jc w:val="center"/>
              <w:rPr>
                <w:color w:val="000000"/>
              </w:rPr>
            </w:pPr>
          </w:p>
        </w:tc>
        <w:tc>
          <w:tcPr>
            <w:tcW w:w="1980" w:type="dxa"/>
            <w:shd w:val="clear" w:color="auto" w:fill="auto"/>
            <w:noWrap/>
            <w:vAlign w:val="center"/>
          </w:tcPr>
          <w:p w14:paraId="409BE124">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服务质量</w:t>
            </w:r>
          </w:p>
        </w:tc>
        <w:tc>
          <w:tcPr>
            <w:tcW w:w="940" w:type="dxa"/>
            <w:shd w:val="clear" w:color="auto" w:fill="auto"/>
            <w:noWrap/>
            <w:vAlign w:val="center"/>
          </w:tcPr>
          <w:p w14:paraId="3A9F30F8">
            <w:pPr>
              <w:spacing w:line="360" w:lineRule="auto"/>
              <w:jc w:val="center"/>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8</w:t>
            </w:r>
            <w:r>
              <w:rPr>
                <w:rFonts w:hint="eastAsia" w:ascii="宋体" w:hAnsi="宋体" w:cs="宋体"/>
                <w:color w:val="auto"/>
                <w:sz w:val="21"/>
                <w:szCs w:val="21"/>
              </w:rPr>
              <w:t>分</w:t>
            </w:r>
          </w:p>
        </w:tc>
        <w:tc>
          <w:tcPr>
            <w:tcW w:w="5540" w:type="dxa"/>
            <w:shd w:val="clear" w:color="auto" w:fill="auto"/>
            <w:noWrap/>
            <w:vAlign w:val="center"/>
          </w:tcPr>
          <w:p w14:paraId="79ED2B77">
            <w:pPr>
              <w:pStyle w:val="28"/>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 xml:space="preserve">根据投标人针对本项目提供的服务质量保障方案内容进行评审： </w:t>
            </w:r>
          </w:p>
          <w:p w14:paraId="7C48CEAA">
            <w:pPr>
              <w:pStyle w:val="28"/>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（1）投标人针对项目服务质量控制方案全面完善，质量控制流程清晰有效，质量管理措施针对性强，质量方案可行性高，得</w:t>
            </w:r>
            <w:r>
              <w:rPr>
                <w:rFonts w:hint="eastAsia" w:ascii="宋体" w:hAnsi="宋体" w:cs="宋体"/>
                <w:color w:val="auto"/>
                <w:sz w:val="21"/>
                <w:szCs w:val="21"/>
                <w:lang w:val="en-US" w:eastAsia="zh-CN"/>
              </w:rPr>
              <w:t>8</w:t>
            </w:r>
            <w:r>
              <w:rPr>
                <w:rFonts w:hint="eastAsia" w:ascii="宋体" w:hAnsi="宋体" w:cs="宋体"/>
                <w:color w:val="auto"/>
                <w:sz w:val="21"/>
                <w:szCs w:val="21"/>
              </w:rPr>
              <w:t xml:space="preserve">分； </w:t>
            </w:r>
          </w:p>
          <w:p w14:paraId="4F2B8422">
            <w:pPr>
              <w:pStyle w:val="28"/>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（2）投标人针对项目服务质量控制方案较全面完善，质量控制流程较清晰有效，质量管理措施针对性较强，质量方案可行性较高，得</w:t>
            </w:r>
            <w:r>
              <w:rPr>
                <w:rFonts w:hint="eastAsia" w:ascii="宋体" w:hAnsi="宋体" w:cs="宋体"/>
                <w:color w:val="auto"/>
                <w:sz w:val="21"/>
                <w:szCs w:val="21"/>
                <w:lang w:val="en-US" w:eastAsia="zh-CN"/>
              </w:rPr>
              <w:t>5</w:t>
            </w:r>
            <w:r>
              <w:rPr>
                <w:rFonts w:hint="eastAsia" w:ascii="宋体" w:hAnsi="宋体" w:cs="宋体"/>
                <w:color w:val="auto"/>
                <w:sz w:val="21"/>
                <w:szCs w:val="21"/>
              </w:rPr>
              <w:t xml:space="preserve">分； </w:t>
            </w:r>
          </w:p>
          <w:p w14:paraId="79DF5C73">
            <w:pPr>
              <w:pStyle w:val="28"/>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（3）投标人针对项目服务质量控制方案基本完善，质量控制流程基本可行，质量管理措施针对性不强，质量方案基本可行，得</w:t>
            </w:r>
            <w:r>
              <w:rPr>
                <w:rFonts w:hint="eastAsia" w:ascii="宋体" w:hAnsi="宋体" w:cs="宋体"/>
                <w:color w:val="auto"/>
                <w:sz w:val="21"/>
                <w:szCs w:val="21"/>
                <w:lang w:val="en-US" w:eastAsia="zh-CN"/>
              </w:rPr>
              <w:t>3</w:t>
            </w:r>
            <w:r>
              <w:rPr>
                <w:rFonts w:hint="eastAsia" w:ascii="宋体" w:hAnsi="宋体" w:cs="宋体"/>
                <w:color w:val="auto"/>
                <w:sz w:val="21"/>
                <w:szCs w:val="21"/>
              </w:rPr>
              <w:t xml:space="preserve">分； </w:t>
            </w:r>
          </w:p>
          <w:p w14:paraId="1A9E9750">
            <w:pPr>
              <w:pStyle w:val="28"/>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（4）投标人针对项目服务质量控制方案简略，质量控制流程凌乱，质量管理措施没有针对性，质量方案可行性低，得1分；</w:t>
            </w:r>
          </w:p>
          <w:p w14:paraId="51ED75FC">
            <w:pPr>
              <w:pStyle w:val="28"/>
              <w:spacing w:after="0" w:line="36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（5）无提供或其他均不得分。</w:t>
            </w:r>
          </w:p>
        </w:tc>
      </w:tr>
      <w:tr w14:paraId="65A0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509736F6">
            <w:pPr>
              <w:ind w:left="113" w:right="113"/>
              <w:jc w:val="center"/>
              <w:rPr>
                <w:color w:val="000000"/>
              </w:rPr>
            </w:pPr>
          </w:p>
        </w:tc>
        <w:tc>
          <w:tcPr>
            <w:tcW w:w="1980" w:type="dxa"/>
            <w:shd w:val="clear" w:color="auto" w:fill="auto"/>
            <w:noWrap/>
            <w:vAlign w:val="center"/>
          </w:tcPr>
          <w:p w14:paraId="2BED6861">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用户评价</w:t>
            </w:r>
          </w:p>
        </w:tc>
        <w:tc>
          <w:tcPr>
            <w:tcW w:w="940" w:type="dxa"/>
            <w:shd w:val="clear" w:color="auto" w:fill="auto"/>
            <w:noWrap/>
            <w:vAlign w:val="center"/>
          </w:tcPr>
          <w:p w14:paraId="5E30FDF9">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3分</w:t>
            </w:r>
          </w:p>
        </w:tc>
        <w:tc>
          <w:tcPr>
            <w:tcW w:w="5540" w:type="dxa"/>
            <w:shd w:val="clear" w:color="auto" w:fill="auto"/>
            <w:noWrap/>
            <w:vAlign w:val="top"/>
          </w:tcPr>
          <w:p w14:paraId="2807F126">
            <w:pPr>
              <w:spacing w:line="360" w:lineRule="auto"/>
              <w:rPr>
                <w:rFonts w:hint="eastAsia" w:ascii="宋体" w:hAnsi="宋体" w:cs="宋体"/>
                <w:color w:val="auto"/>
                <w:sz w:val="21"/>
                <w:szCs w:val="21"/>
              </w:rPr>
            </w:pPr>
            <w:r>
              <w:rPr>
                <w:rFonts w:hint="eastAsia" w:ascii="宋体" w:hAnsi="宋体" w:cs="宋体"/>
                <w:color w:val="auto"/>
                <w:sz w:val="21"/>
                <w:szCs w:val="21"/>
              </w:rPr>
              <w:t>投标人提供符合上述 202</w:t>
            </w:r>
            <w:r>
              <w:rPr>
                <w:rFonts w:hint="eastAsia" w:ascii="宋体" w:hAnsi="宋体" w:cs="宋体"/>
                <w:color w:val="auto"/>
                <w:sz w:val="21"/>
                <w:szCs w:val="21"/>
                <w:lang w:val="en-US" w:eastAsia="zh-CN"/>
              </w:rPr>
              <w:t>2</w:t>
            </w:r>
            <w:r>
              <w:rPr>
                <w:rFonts w:hint="eastAsia" w:ascii="宋体" w:hAnsi="宋体" w:cs="宋体"/>
                <w:color w:val="auto"/>
                <w:sz w:val="21"/>
                <w:szCs w:val="21"/>
              </w:rPr>
              <w:t>年1月1日至今的同类项目经验的用户单位出具的满意度评价，评价情况至少须为“满意”、“优秀”、“90分”或类似好评的方可计分：每提供一项得1分，本项最高得3分。</w:t>
            </w:r>
          </w:p>
          <w:p w14:paraId="3C8C0B39">
            <w:pPr>
              <w:spacing w:line="360" w:lineRule="auto"/>
              <w:rPr>
                <w:rFonts w:hint="eastAsia" w:ascii="宋体" w:hAnsi="宋体" w:eastAsia="宋体" w:cs="宋体"/>
                <w:b/>
                <w:bCs/>
                <w:color w:val="auto"/>
                <w:kern w:val="2"/>
                <w:sz w:val="21"/>
                <w:szCs w:val="21"/>
                <w:lang w:val="en-US" w:eastAsia="zh-Hans" w:bidi="ar-SA"/>
              </w:rPr>
            </w:pPr>
            <w:r>
              <w:rPr>
                <w:rFonts w:hint="eastAsia" w:ascii="宋体" w:hAnsi="宋体" w:cs="宋体"/>
                <w:b/>
                <w:bCs/>
                <w:color w:val="auto"/>
                <w:sz w:val="21"/>
                <w:szCs w:val="21"/>
              </w:rPr>
              <w:t>注：①同一客户或同一项目提供多项用户满意度评价的，按一项计算；②须与投标人上述提供的2022年1月1日至今的同类项目经验的用户单位一致；③用户满意度评价须经用户单位盖章，评价情况至少须为“满意”、“优秀”、“90 分”或类似好评的方可计分。</w:t>
            </w:r>
          </w:p>
        </w:tc>
      </w:tr>
      <w:tr w14:paraId="7644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2390BB3A">
            <w:pPr>
              <w:ind w:left="113" w:right="113"/>
              <w:jc w:val="center"/>
              <w:rPr>
                <w:color w:val="000000"/>
              </w:rPr>
            </w:pPr>
          </w:p>
        </w:tc>
        <w:tc>
          <w:tcPr>
            <w:tcW w:w="1980" w:type="dxa"/>
            <w:shd w:val="clear" w:color="auto" w:fill="auto"/>
            <w:noWrap/>
            <w:vAlign w:val="center"/>
          </w:tcPr>
          <w:p w14:paraId="17B6E74E">
            <w:pPr>
              <w:spacing w:line="360" w:lineRule="auto"/>
              <w:jc w:val="center"/>
              <w:rPr>
                <w:rFonts w:hint="eastAsia" w:ascii="宋体" w:hAnsi="宋体" w:cs="宋体"/>
                <w:color w:val="auto"/>
                <w:sz w:val="21"/>
                <w:szCs w:val="21"/>
              </w:rPr>
            </w:pPr>
            <w:r>
              <w:rPr>
                <w:rFonts w:hint="eastAsia" w:ascii="宋体" w:hAnsi="宋体" w:cs="宋体"/>
                <w:color w:val="auto"/>
                <w:sz w:val="21"/>
                <w:szCs w:val="21"/>
              </w:rPr>
              <w:t>对本项目</w:t>
            </w:r>
          </w:p>
          <w:p w14:paraId="2C703A07">
            <w:pPr>
              <w:spacing w:line="360" w:lineRule="auto"/>
              <w:jc w:val="center"/>
              <w:rPr>
                <w:rFonts w:hint="eastAsia" w:ascii="宋体" w:hAnsi="宋体" w:cs="宋体"/>
                <w:color w:val="auto"/>
                <w:sz w:val="21"/>
                <w:szCs w:val="21"/>
              </w:rPr>
            </w:pPr>
            <w:r>
              <w:rPr>
                <w:rFonts w:hint="eastAsia" w:ascii="宋体" w:hAnsi="宋体" w:cs="宋体"/>
                <w:color w:val="auto"/>
                <w:sz w:val="21"/>
                <w:szCs w:val="21"/>
              </w:rPr>
              <w:t>的合理化</w:t>
            </w:r>
          </w:p>
          <w:p w14:paraId="2E6381E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建议</w:t>
            </w:r>
          </w:p>
        </w:tc>
        <w:tc>
          <w:tcPr>
            <w:tcW w:w="940" w:type="dxa"/>
            <w:shd w:val="clear" w:color="auto" w:fill="auto"/>
            <w:noWrap/>
            <w:vAlign w:val="center"/>
          </w:tcPr>
          <w:p w14:paraId="0F022543">
            <w:pPr>
              <w:spacing w:line="360" w:lineRule="auto"/>
              <w:jc w:val="center"/>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6</w:t>
            </w:r>
            <w:r>
              <w:rPr>
                <w:rFonts w:hint="eastAsia" w:ascii="宋体" w:hAnsi="宋体" w:cs="宋体"/>
                <w:color w:val="auto"/>
                <w:sz w:val="21"/>
                <w:szCs w:val="21"/>
              </w:rPr>
              <w:t>分</w:t>
            </w:r>
          </w:p>
        </w:tc>
        <w:tc>
          <w:tcPr>
            <w:tcW w:w="5540" w:type="dxa"/>
            <w:shd w:val="clear" w:color="auto" w:fill="auto"/>
            <w:noWrap/>
            <w:vAlign w:val="top"/>
          </w:tcPr>
          <w:p w14:paraId="79B191D9">
            <w:pPr>
              <w:pStyle w:val="28"/>
              <w:spacing w:after="0" w:line="360" w:lineRule="auto"/>
              <w:ind w:firstLine="0" w:firstLineChars="0"/>
              <w:rPr>
                <w:rFonts w:hint="eastAsia" w:ascii="宋体" w:hAnsi="宋体" w:cs="宋体"/>
                <w:color w:val="auto"/>
                <w:sz w:val="21"/>
                <w:szCs w:val="21"/>
                <w:lang w:eastAsia="zh-Hans"/>
              </w:rPr>
            </w:pPr>
            <w:r>
              <w:rPr>
                <w:rFonts w:hint="eastAsia" w:ascii="宋体" w:hAnsi="宋体" w:cs="宋体"/>
                <w:color w:val="auto"/>
                <w:sz w:val="21"/>
                <w:szCs w:val="21"/>
                <w:lang w:eastAsia="zh-Hans"/>
              </w:rPr>
              <w:t>根据投标人针对本项目提供的合理化建议内容进行评审：</w:t>
            </w:r>
          </w:p>
          <w:p w14:paraId="1AC49DBA">
            <w:pPr>
              <w:pStyle w:val="28"/>
              <w:spacing w:after="0" w:line="360" w:lineRule="auto"/>
              <w:ind w:firstLine="0" w:firstLineChars="0"/>
              <w:rPr>
                <w:rFonts w:hint="eastAsia" w:ascii="宋体" w:hAnsi="宋体" w:cs="宋体"/>
                <w:color w:val="auto"/>
                <w:sz w:val="21"/>
                <w:szCs w:val="21"/>
                <w:lang w:eastAsia="zh-Hans"/>
              </w:rPr>
            </w:pPr>
            <w:r>
              <w:rPr>
                <w:rFonts w:hint="eastAsia" w:ascii="宋体" w:hAnsi="宋体" w:cs="宋体"/>
                <w:color w:val="auto"/>
                <w:sz w:val="21"/>
                <w:szCs w:val="21"/>
                <w:lang w:eastAsia="zh-Hans"/>
              </w:rPr>
              <w:t>（1）投标人提供的合理化建议全面细致，建议内容贴合项目需求，针对性强，得</w:t>
            </w:r>
            <w:r>
              <w:rPr>
                <w:rFonts w:hint="eastAsia" w:ascii="宋体" w:hAnsi="宋体" w:cs="宋体"/>
                <w:color w:val="auto"/>
                <w:sz w:val="21"/>
                <w:szCs w:val="21"/>
                <w:lang w:val="en-US" w:eastAsia="zh-CN"/>
              </w:rPr>
              <w:t>6</w:t>
            </w:r>
            <w:r>
              <w:rPr>
                <w:rFonts w:hint="eastAsia" w:ascii="宋体" w:hAnsi="宋体" w:cs="宋体"/>
                <w:color w:val="auto"/>
                <w:sz w:val="21"/>
                <w:szCs w:val="21"/>
                <w:lang w:eastAsia="zh-Hans"/>
              </w:rPr>
              <w:t>分；</w:t>
            </w:r>
          </w:p>
          <w:p w14:paraId="0C52A4BD">
            <w:pPr>
              <w:pStyle w:val="28"/>
              <w:spacing w:after="0" w:line="360" w:lineRule="auto"/>
              <w:ind w:firstLine="0" w:firstLineChars="0"/>
              <w:rPr>
                <w:rFonts w:hint="eastAsia" w:ascii="宋体" w:hAnsi="宋体" w:cs="宋体"/>
                <w:color w:val="auto"/>
                <w:sz w:val="21"/>
                <w:szCs w:val="21"/>
                <w:lang w:eastAsia="zh-Hans"/>
              </w:rPr>
            </w:pPr>
            <w:r>
              <w:rPr>
                <w:rFonts w:hint="eastAsia" w:ascii="宋体" w:hAnsi="宋体" w:cs="宋体"/>
                <w:color w:val="auto"/>
                <w:sz w:val="21"/>
                <w:szCs w:val="21"/>
                <w:lang w:eastAsia="zh-Hans"/>
              </w:rPr>
              <w:t>（2）投标人提供的合理化建议较全面细致，建议内容较贴合项目需求，有基本的针对性，得</w:t>
            </w:r>
            <w:r>
              <w:rPr>
                <w:rFonts w:hint="eastAsia" w:ascii="宋体" w:hAnsi="宋体" w:cs="宋体"/>
                <w:color w:val="auto"/>
                <w:sz w:val="21"/>
                <w:szCs w:val="21"/>
                <w:lang w:val="en-US" w:eastAsia="zh-CN"/>
              </w:rPr>
              <w:t>3</w:t>
            </w:r>
            <w:r>
              <w:rPr>
                <w:rFonts w:hint="eastAsia" w:ascii="宋体" w:hAnsi="宋体" w:cs="宋体"/>
                <w:color w:val="auto"/>
                <w:sz w:val="21"/>
                <w:szCs w:val="21"/>
                <w:lang w:eastAsia="zh-Hans"/>
              </w:rPr>
              <w:t>分；</w:t>
            </w:r>
          </w:p>
          <w:p w14:paraId="150F1873">
            <w:pPr>
              <w:pStyle w:val="28"/>
              <w:spacing w:after="0" w:line="360" w:lineRule="auto"/>
              <w:ind w:firstLine="0" w:firstLineChars="0"/>
              <w:rPr>
                <w:rFonts w:hint="eastAsia" w:ascii="宋体" w:hAnsi="宋体" w:cs="宋体"/>
                <w:color w:val="auto"/>
                <w:sz w:val="21"/>
                <w:szCs w:val="21"/>
                <w:lang w:eastAsia="zh-Hans"/>
              </w:rPr>
            </w:pPr>
            <w:r>
              <w:rPr>
                <w:rFonts w:hint="eastAsia" w:ascii="宋体" w:hAnsi="宋体" w:cs="宋体"/>
                <w:color w:val="auto"/>
                <w:sz w:val="21"/>
                <w:szCs w:val="21"/>
                <w:lang w:eastAsia="zh-Hans"/>
              </w:rPr>
              <w:t>（3）投标人提供的合理化建议粗糙，建议内容不贴合项目需求，针对性不强，得</w:t>
            </w:r>
            <w:r>
              <w:rPr>
                <w:rFonts w:hint="eastAsia" w:ascii="宋体" w:hAnsi="宋体" w:cs="宋体"/>
                <w:color w:val="auto"/>
                <w:sz w:val="21"/>
                <w:szCs w:val="21"/>
                <w:lang w:val="en-US" w:eastAsia="zh-CN"/>
              </w:rPr>
              <w:t>1</w:t>
            </w:r>
            <w:r>
              <w:rPr>
                <w:rFonts w:hint="eastAsia" w:ascii="宋体" w:hAnsi="宋体" w:cs="宋体"/>
                <w:color w:val="auto"/>
                <w:sz w:val="21"/>
                <w:szCs w:val="21"/>
                <w:lang w:eastAsia="zh-Hans"/>
              </w:rPr>
              <w:t>分；</w:t>
            </w:r>
          </w:p>
          <w:p w14:paraId="3DF59138">
            <w:pPr>
              <w:pStyle w:val="28"/>
              <w:spacing w:after="0" w:line="360" w:lineRule="auto"/>
              <w:ind w:firstLine="0" w:firstLineChars="0"/>
              <w:rPr>
                <w:rFonts w:hint="eastAsia" w:ascii="宋体" w:hAnsi="宋体" w:eastAsia="宋体" w:cs="宋体"/>
                <w:color w:val="auto"/>
                <w:kern w:val="2"/>
                <w:sz w:val="21"/>
                <w:szCs w:val="21"/>
                <w:lang w:val="en-US" w:eastAsia="zh-Hans" w:bidi="ar-SA"/>
              </w:rPr>
            </w:pPr>
            <w:r>
              <w:rPr>
                <w:rFonts w:hint="eastAsia" w:ascii="宋体" w:hAnsi="宋体" w:cs="宋体"/>
                <w:color w:val="auto"/>
                <w:sz w:val="21"/>
                <w:szCs w:val="21"/>
                <w:lang w:eastAsia="zh-Hans"/>
              </w:rPr>
              <w:t>（4）无提供或其他均不得分。</w:t>
            </w:r>
          </w:p>
        </w:tc>
      </w:tr>
      <w:tr w14:paraId="2B4E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733FB342">
            <w:pPr>
              <w:ind w:left="113" w:right="113"/>
              <w:jc w:val="center"/>
              <w:rPr>
                <w:color w:val="000000"/>
              </w:rPr>
            </w:pPr>
          </w:p>
        </w:tc>
        <w:tc>
          <w:tcPr>
            <w:tcW w:w="1980" w:type="dxa"/>
            <w:shd w:val="clear" w:color="auto" w:fill="auto"/>
            <w:noWrap/>
            <w:vAlign w:val="center"/>
          </w:tcPr>
          <w:p w14:paraId="0A9617CA">
            <w:pPr>
              <w:spacing w:line="360" w:lineRule="auto"/>
              <w:jc w:val="center"/>
              <w:rPr>
                <w:rFonts w:hint="eastAsia" w:ascii="宋体" w:hAnsi="宋体" w:cs="宋体"/>
                <w:color w:val="auto"/>
                <w:sz w:val="21"/>
                <w:szCs w:val="21"/>
              </w:rPr>
            </w:pPr>
            <w:r>
              <w:rPr>
                <w:rFonts w:hint="eastAsia" w:ascii="宋体" w:hAnsi="宋体" w:cs="宋体"/>
                <w:color w:val="auto"/>
                <w:sz w:val="21"/>
                <w:szCs w:val="21"/>
              </w:rPr>
              <w:t>进度控制</w:t>
            </w:r>
          </w:p>
          <w:p w14:paraId="5F80E116">
            <w:pPr>
              <w:spacing w:line="360" w:lineRule="auto"/>
              <w:jc w:val="center"/>
              <w:rPr>
                <w:rFonts w:hint="eastAsia" w:ascii="宋体" w:hAnsi="宋体" w:cs="宋体"/>
                <w:color w:val="auto"/>
                <w:sz w:val="21"/>
                <w:szCs w:val="21"/>
              </w:rPr>
            </w:pPr>
            <w:r>
              <w:rPr>
                <w:rFonts w:hint="eastAsia" w:ascii="宋体" w:hAnsi="宋体" w:cs="宋体"/>
                <w:color w:val="auto"/>
                <w:sz w:val="21"/>
                <w:szCs w:val="21"/>
              </w:rPr>
              <w:t>及服务响</w:t>
            </w:r>
          </w:p>
          <w:p w14:paraId="7FD11876">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应情况</w:t>
            </w:r>
          </w:p>
        </w:tc>
        <w:tc>
          <w:tcPr>
            <w:tcW w:w="940" w:type="dxa"/>
            <w:shd w:val="clear" w:color="auto" w:fill="auto"/>
            <w:noWrap/>
            <w:vAlign w:val="center"/>
          </w:tcPr>
          <w:p w14:paraId="1B906AEC">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6</w:t>
            </w:r>
            <w:r>
              <w:rPr>
                <w:rFonts w:hint="eastAsia" w:ascii="宋体" w:hAnsi="宋体" w:cs="宋体"/>
                <w:color w:val="auto"/>
                <w:sz w:val="21"/>
                <w:szCs w:val="21"/>
              </w:rPr>
              <w:t>分</w:t>
            </w:r>
          </w:p>
        </w:tc>
        <w:tc>
          <w:tcPr>
            <w:tcW w:w="5540" w:type="dxa"/>
            <w:shd w:val="clear" w:color="auto" w:fill="auto"/>
            <w:noWrap/>
            <w:vAlign w:val="top"/>
          </w:tcPr>
          <w:p w14:paraId="3DBBB169">
            <w:pPr>
              <w:pStyle w:val="28"/>
              <w:spacing w:after="0" w:line="360" w:lineRule="auto"/>
              <w:ind w:firstLine="0" w:firstLineChars="0"/>
              <w:rPr>
                <w:rFonts w:hint="eastAsia" w:ascii="宋体" w:hAnsi="宋体" w:cs="宋体"/>
                <w:color w:val="auto"/>
                <w:sz w:val="21"/>
                <w:szCs w:val="21"/>
                <w:lang w:eastAsia="zh-Hans"/>
              </w:rPr>
            </w:pPr>
            <w:r>
              <w:rPr>
                <w:rFonts w:hint="eastAsia" w:ascii="宋体" w:hAnsi="宋体" w:cs="宋体"/>
                <w:color w:val="auto"/>
                <w:sz w:val="21"/>
                <w:szCs w:val="21"/>
                <w:lang w:eastAsia="zh-Hans"/>
              </w:rPr>
              <w:t>根据进度控制及服务响应（含驻场人员、时间、驻场措施等）的可行性、合理性等情况进行评审：</w:t>
            </w:r>
          </w:p>
          <w:p w14:paraId="206945A2">
            <w:pPr>
              <w:pStyle w:val="28"/>
              <w:spacing w:after="0" w:line="360" w:lineRule="auto"/>
              <w:ind w:firstLine="0" w:firstLineChars="0"/>
              <w:rPr>
                <w:rFonts w:hint="eastAsia" w:ascii="宋体" w:hAnsi="宋体" w:cs="宋体"/>
                <w:color w:val="auto"/>
                <w:sz w:val="21"/>
                <w:szCs w:val="21"/>
                <w:lang w:eastAsia="zh-Hans"/>
              </w:rPr>
            </w:pPr>
            <w:r>
              <w:rPr>
                <w:rFonts w:hint="eastAsia" w:ascii="宋体" w:hAnsi="宋体" w:cs="宋体"/>
                <w:color w:val="auto"/>
                <w:sz w:val="21"/>
                <w:szCs w:val="21"/>
                <w:lang w:eastAsia="zh-Hans"/>
              </w:rPr>
              <w:t>（1）可行性高、合理性强，完全满足且优于采购需求，得</w:t>
            </w:r>
            <w:r>
              <w:rPr>
                <w:rFonts w:hint="eastAsia" w:ascii="宋体" w:hAnsi="宋体" w:cs="宋体"/>
                <w:color w:val="auto"/>
                <w:sz w:val="21"/>
                <w:szCs w:val="21"/>
                <w:lang w:val="en-US" w:eastAsia="zh-CN"/>
              </w:rPr>
              <w:t>6</w:t>
            </w:r>
            <w:r>
              <w:rPr>
                <w:rFonts w:hint="eastAsia" w:ascii="宋体" w:hAnsi="宋体" w:cs="宋体"/>
                <w:color w:val="auto"/>
                <w:sz w:val="21"/>
                <w:szCs w:val="21"/>
                <w:lang w:eastAsia="zh-Hans"/>
              </w:rPr>
              <w:t>分；</w:t>
            </w:r>
          </w:p>
          <w:p w14:paraId="79AFCE5E">
            <w:pPr>
              <w:pStyle w:val="28"/>
              <w:spacing w:after="0" w:line="360" w:lineRule="auto"/>
              <w:ind w:firstLine="0" w:firstLineChars="0"/>
              <w:rPr>
                <w:rFonts w:hint="eastAsia" w:ascii="宋体" w:hAnsi="宋体" w:cs="宋体"/>
                <w:color w:val="auto"/>
                <w:sz w:val="21"/>
                <w:szCs w:val="21"/>
                <w:lang w:eastAsia="zh-Hans"/>
              </w:rPr>
            </w:pPr>
            <w:r>
              <w:rPr>
                <w:rFonts w:hint="eastAsia" w:ascii="宋体" w:hAnsi="宋体" w:cs="宋体"/>
                <w:color w:val="auto"/>
                <w:sz w:val="21"/>
                <w:szCs w:val="21"/>
                <w:lang w:eastAsia="zh-Hans"/>
              </w:rPr>
              <w:t>（2）可行性较高、合理性较强，完全满足采购需求，得</w:t>
            </w:r>
            <w:r>
              <w:rPr>
                <w:rFonts w:hint="eastAsia" w:ascii="宋体" w:hAnsi="宋体" w:cs="宋体"/>
                <w:color w:val="auto"/>
                <w:sz w:val="21"/>
                <w:szCs w:val="21"/>
                <w:lang w:val="en-US" w:eastAsia="zh-CN"/>
              </w:rPr>
              <w:t>3</w:t>
            </w:r>
            <w:r>
              <w:rPr>
                <w:rFonts w:hint="eastAsia" w:ascii="宋体" w:hAnsi="宋体" w:cs="宋体"/>
                <w:color w:val="auto"/>
                <w:sz w:val="21"/>
                <w:szCs w:val="21"/>
                <w:lang w:eastAsia="zh-Hans"/>
              </w:rPr>
              <w:t>分；</w:t>
            </w:r>
            <w:bookmarkStart w:id="28" w:name="_GoBack"/>
            <w:bookmarkEnd w:id="28"/>
          </w:p>
          <w:p w14:paraId="1E72F293">
            <w:pPr>
              <w:pStyle w:val="28"/>
              <w:spacing w:after="0" w:line="360" w:lineRule="auto"/>
              <w:ind w:firstLine="0" w:firstLineChars="0"/>
              <w:rPr>
                <w:rFonts w:hint="eastAsia" w:ascii="宋体" w:hAnsi="宋体" w:cs="宋体"/>
                <w:color w:val="auto"/>
                <w:sz w:val="21"/>
                <w:szCs w:val="21"/>
                <w:lang w:eastAsia="zh-Hans"/>
              </w:rPr>
            </w:pPr>
            <w:r>
              <w:rPr>
                <w:rFonts w:hint="eastAsia" w:ascii="宋体" w:hAnsi="宋体" w:cs="宋体"/>
                <w:color w:val="auto"/>
                <w:sz w:val="21"/>
                <w:szCs w:val="21"/>
                <w:lang w:eastAsia="zh-Hans"/>
              </w:rPr>
              <w:t>（3）可行性差、合理性一般，部分满足采购需求，得1分；</w:t>
            </w:r>
          </w:p>
          <w:p w14:paraId="0735590D">
            <w:pPr>
              <w:pStyle w:val="28"/>
              <w:spacing w:after="0" w:line="360" w:lineRule="auto"/>
              <w:ind w:firstLine="0" w:firstLineChars="0"/>
              <w:rPr>
                <w:rFonts w:hint="eastAsia" w:ascii="宋体" w:hAnsi="宋体" w:eastAsia="宋体" w:cs="宋体"/>
                <w:color w:val="auto"/>
                <w:kern w:val="2"/>
                <w:sz w:val="21"/>
                <w:szCs w:val="21"/>
                <w:lang w:val="en-US" w:eastAsia="zh-Hans" w:bidi="ar-SA"/>
              </w:rPr>
            </w:pPr>
            <w:r>
              <w:rPr>
                <w:rFonts w:hint="eastAsia" w:ascii="宋体" w:hAnsi="宋体" w:cs="宋体"/>
                <w:color w:val="auto"/>
                <w:sz w:val="21"/>
                <w:szCs w:val="21"/>
                <w:lang w:eastAsia="zh-Hans"/>
              </w:rPr>
              <w:t>（4）无提供或其他不得分。</w:t>
            </w:r>
          </w:p>
        </w:tc>
      </w:tr>
      <w:tr w14:paraId="2FCF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5F1DE916">
            <w:pPr>
              <w:rPr>
                <w:color w:val="FF0000"/>
                <w:szCs w:val="21"/>
              </w:rPr>
            </w:pPr>
            <w:r>
              <w:rPr>
                <w:rFonts w:hint="eastAsia"/>
                <w:color w:val="000000" w:themeColor="text1"/>
                <w:szCs w:val="21"/>
                <w14:textFill>
                  <w14:solidFill>
                    <w14:schemeClr w14:val="tx1"/>
                  </w14:solidFill>
                </w14:textFill>
              </w:rPr>
              <w:t>备注：评分细则中如需要报价人提供证明材料的，供应商应在报价文件中提交证明材料。</w:t>
            </w:r>
          </w:p>
        </w:tc>
      </w:tr>
    </w:tbl>
    <w:p w14:paraId="4235CD3D">
      <w:pPr>
        <w:spacing w:line="400" w:lineRule="exact"/>
        <w:ind w:firstLine="480" w:firstLineChars="200"/>
        <w:rPr>
          <w:rFonts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14:paraId="201EE7C7">
      <w:pPr>
        <w:pStyle w:val="2"/>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4909C70E">
      <w:pPr>
        <w:adjustRightInd w:val="0"/>
        <w:snapToGrid w:val="0"/>
        <w:spacing w:line="560" w:lineRule="exact"/>
        <w:ind w:firstLine="641" w:firstLineChars="228"/>
        <w:jc w:val="left"/>
        <w:rPr>
          <w:rFonts w:hint="eastAsia" w:ascii="宋体" w:hAnsi="宋体"/>
          <w:b/>
          <w:bCs w:val="0"/>
          <w:sz w:val="28"/>
          <w:szCs w:val="28"/>
          <w:lang w:eastAsia="zh-CN"/>
        </w:rPr>
      </w:pPr>
    </w:p>
    <w:p w14:paraId="67549A20">
      <w:pPr>
        <w:adjustRightInd w:val="0"/>
        <w:snapToGrid w:val="0"/>
        <w:spacing w:line="560" w:lineRule="exact"/>
        <w:ind w:firstLine="641" w:firstLineChars="228"/>
        <w:jc w:val="left"/>
        <w:rPr>
          <w:rFonts w:hint="eastAsia" w:ascii="宋体" w:hAnsi="宋体"/>
          <w:b/>
          <w:bCs w:val="0"/>
          <w:sz w:val="28"/>
          <w:szCs w:val="28"/>
        </w:rPr>
      </w:pPr>
      <w:r>
        <w:rPr>
          <w:rFonts w:hint="eastAsia" w:ascii="宋体" w:hAnsi="宋体"/>
          <w:b/>
          <w:bCs w:val="0"/>
          <w:sz w:val="28"/>
          <w:szCs w:val="28"/>
          <w:lang w:eastAsia="zh-CN"/>
        </w:rPr>
        <w:t>一、</w:t>
      </w:r>
      <w:r>
        <w:rPr>
          <w:rFonts w:hint="eastAsia" w:ascii="宋体" w:hAnsi="宋体"/>
          <w:b/>
          <w:bCs w:val="0"/>
          <w:sz w:val="28"/>
          <w:szCs w:val="28"/>
        </w:rPr>
        <w:t>需求内容说明</w:t>
      </w:r>
    </w:p>
    <w:p w14:paraId="3399AD2C">
      <w:pPr>
        <w:adjustRightInd w:val="0"/>
        <w:snapToGrid w:val="0"/>
        <w:spacing w:line="560" w:lineRule="exact"/>
        <w:ind w:firstLine="638" w:firstLineChars="228"/>
        <w:jc w:val="left"/>
        <w:rPr>
          <w:rFonts w:hint="eastAsia" w:ascii="宋体" w:hAnsi="宋体"/>
          <w:b w:val="0"/>
          <w:bCs/>
          <w:sz w:val="28"/>
          <w:szCs w:val="28"/>
        </w:rPr>
      </w:pPr>
      <w:r>
        <w:rPr>
          <w:rFonts w:hint="eastAsia" w:ascii="宋体" w:hAnsi="宋体"/>
          <w:b w:val="0"/>
          <w:bCs/>
          <w:sz w:val="28"/>
          <w:szCs w:val="28"/>
        </w:rPr>
        <w:t>本次采购的工程造价咨询单位接受学校审计部委托，协助审计部对广东财经大学南区图书馆改造工程项目工程结算初审结果进行审核评价。</w:t>
      </w:r>
    </w:p>
    <w:p w14:paraId="3D565FFD">
      <w:pPr>
        <w:adjustRightInd w:val="0"/>
        <w:snapToGrid w:val="0"/>
        <w:spacing w:line="560" w:lineRule="exact"/>
        <w:ind w:firstLine="638" w:firstLineChars="228"/>
        <w:jc w:val="left"/>
        <w:rPr>
          <w:rFonts w:hint="eastAsia" w:ascii="宋体" w:hAnsi="宋体"/>
          <w:b w:val="0"/>
          <w:bCs/>
          <w:sz w:val="28"/>
          <w:szCs w:val="28"/>
        </w:rPr>
      </w:pPr>
      <w:r>
        <w:rPr>
          <w:rFonts w:hint="eastAsia" w:ascii="宋体" w:hAnsi="宋体"/>
          <w:b w:val="0"/>
          <w:bCs/>
          <w:sz w:val="28"/>
          <w:szCs w:val="28"/>
        </w:rPr>
        <w:t>具体内容包括但不限于：</w:t>
      </w:r>
    </w:p>
    <w:p w14:paraId="1A8E9697">
      <w:pPr>
        <w:adjustRightInd w:val="0"/>
        <w:snapToGrid w:val="0"/>
        <w:spacing w:line="560" w:lineRule="exact"/>
        <w:ind w:firstLine="638" w:firstLineChars="228"/>
        <w:jc w:val="left"/>
        <w:rPr>
          <w:rFonts w:hint="eastAsia" w:ascii="宋体" w:hAnsi="宋体"/>
          <w:b w:val="0"/>
          <w:bCs/>
          <w:sz w:val="28"/>
          <w:szCs w:val="28"/>
        </w:rPr>
      </w:pPr>
      <w:r>
        <w:rPr>
          <w:rFonts w:hint="eastAsia" w:ascii="宋体" w:hAnsi="宋体"/>
          <w:b w:val="0"/>
          <w:bCs/>
          <w:sz w:val="28"/>
          <w:szCs w:val="28"/>
          <w:lang w:eastAsia="zh-CN"/>
        </w:rPr>
        <w:t>（一）</w:t>
      </w:r>
      <w:r>
        <w:rPr>
          <w:rFonts w:hint="eastAsia" w:ascii="宋体" w:hAnsi="宋体"/>
          <w:b w:val="0"/>
          <w:bCs/>
          <w:sz w:val="28"/>
          <w:szCs w:val="28"/>
        </w:rPr>
        <w:t>根据采购人需求对南区图书馆改造工程项目工程结算初审结果进行审核评价。中标咨询单位收齐资料后，原则上20个日历天内需完成审核评价工作，一次性完整、准确提出评价意见，具体完成时间以正式签订的合同要求为准。如遇施工单位、结算初审单位拖延补交资料、采购人与施工单位纠纷等问题、采购人寒暑假等特殊情况影响审核评价工作进展的，则完成时间相应顺延。</w:t>
      </w:r>
    </w:p>
    <w:p w14:paraId="35BC042D">
      <w:pPr>
        <w:adjustRightInd w:val="0"/>
        <w:snapToGrid w:val="0"/>
        <w:spacing w:line="560" w:lineRule="exact"/>
        <w:ind w:firstLine="638" w:firstLineChars="228"/>
        <w:jc w:val="left"/>
        <w:rPr>
          <w:rFonts w:hint="eastAsia" w:ascii="宋体" w:hAnsi="宋体"/>
          <w:b w:val="0"/>
          <w:bCs/>
          <w:sz w:val="28"/>
          <w:szCs w:val="28"/>
        </w:rPr>
      </w:pPr>
      <w:r>
        <w:rPr>
          <w:rFonts w:hint="eastAsia" w:ascii="宋体" w:hAnsi="宋体"/>
          <w:b w:val="0"/>
          <w:bCs/>
          <w:sz w:val="28"/>
          <w:szCs w:val="28"/>
        </w:rPr>
        <w:t>（</w:t>
      </w:r>
      <w:r>
        <w:rPr>
          <w:rFonts w:hint="eastAsia" w:ascii="宋体" w:hAnsi="宋体"/>
          <w:b w:val="0"/>
          <w:bCs/>
          <w:sz w:val="28"/>
          <w:szCs w:val="28"/>
          <w:lang w:eastAsia="zh-CN"/>
        </w:rPr>
        <w:t>二</w:t>
      </w:r>
      <w:r>
        <w:rPr>
          <w:rFonts w:hint="eastAsia" w:ascii="宋体" w:hAnsi="宋体"/>
          <w:b w:val="0"/>
          <w:bCs/>
          <w:sz w:val="28"/>
          <w:szCs w:val="28"/>
        </w:rPr>
        <w:t>）咨询单位项目负责人应定期向审计部做阶段性汇报；项目负责人按审计部要求参加与本项目相关的会议，协助处理结算审核评价服务过程中出现的问题并提供专业的解决方案及建议。</w:t>
      </w:r>
    </w:p>
    <w:p w14:paraId="01FFCEAB">
      <w:pPr>
        <w:adjustRightInd w:val="0"/>
        <w:snapToGrid w:val="0"/>
        <w:spacing w:line="560" w:lineRule="exact"/>
        <w:ind w:firstLine="638" w:firstLineChars="228"/>
        <w:jc w:val="left"/>
        <w:rPr>
          <w:rFonts w:hint="eastAsia" w:ascii="宋体" w:hAnsi="宋体"/>
          <w:b w:val="0"/>
          <w:bCs/>
          <w:sz w:val="28"/>
          <w:szCs w:val="28"/>
        </w:rPr>
      </w:pPr>
      <w:r>
        <w:rPr>
          <w:rFonts w:hint="eastAsia" w:ascii="宋体" w:hAnsi="宋体"/>
          <w:b w:val="0"/>
          <w:bCs/>
          <w:sz w:val="28"/>
          <w:szCs w:val="28"/>
        </w:rPr>
        <w:t>（</w:t>
      </w:r>
      <w:r>
        <w:rPr>
          <w:rFonts w:hint="eastAsia" w:ascii="宋体" w:hAnsi="宋体"/>
          <w:b w:val="0"/>
          <w:bCs/>
          <w:sz w:val="28"/>
          <w:szCs w:val="28"/>
          <w:lang w:eastAsia="zh-CN"/>
        </w:rPr>
        <w:t>三</w:t>
      </w:r>
      <w:r>
        <w:rPr>
          <w:rFonts w:hint="eastAsia" w:ascii="宋体" w:hAnsi="宋体"/>
          <w:b w:val="0"/>
          <w:bCs/>
          <w:sz w:val="28"/>
          <w:szCs w:val="28"/>
        </w:rPr>
        <w:t>）结算审核评价服务完成后，提供本项目完整、合格、正式的造价咨询服务成果文件，包括但不限于结算审核评价报告等。成果文件应符合现行的国家法律法规、工程造价咨询服务行业等相关规范要求。工程咨询服务成果无漏项、错项、重复等问题，若上级部门或其他相关单位对该受托项目进行审计或审查的，审计或审查后的工程结算造价误差率应控制在3%以内，超过此比例，中标人需退回服务费的30%，如中标人不退，</w:t>
      </w:r>
      <w:r>
        <w:rPr>
          <w:rFonts w:hint="eastAsia" w:ascii="宋体" w:hAnsi="宋体"/>
          <w:b w:val="0"/>
          <w:bCs/>
          <w:sz w:val="28"/>
          <w:szCs w:val="28"/>
          <w:lang w:eastAsia="zh-CN"/>
        </w:rPr>
        <w:t>采购人</w:t>
      </w:r>
      <w:r>
        <w:rPr>
          <w:rFonts w:hint="eastAsia" w:ascii="宋体" w:hAnsi="宋体"/>
          <w:b w:val="0"/>
          <w:bCs/>
          <w:sz w:val="28"/>
          <w:szCs w:val="28"/>
        </w:rPr>
        <w:t>将保留向</w:t>
      </w:r>
      <w:r>
        <w:rPr>
          <w:rFonts w:hint="eastAsia" w:ascii="宋体" w:hAnsi="宋体"/>
          <w:b w:val="0"/>
          <w:bCs/>
          <w:sz w:val="28"/>
          <w:szCs w:val="28"/>
          <w:lang w:eastAsia="zh-CN"/>
        </w:rPr>
        <w:t>中标人</w:t>
      </w:r>
      <w:r>
        <w:rPr>
          <w:rFonts w:hint="eastAsia" w:ascii="宋体" w:hAnsi="宋体"/>
          <w:b w:val="0"/>
          <w:bCs/>
          <w:sz w:val="28"/>
          <w:szCs w:val="28"/>
        </w:rPr>
        <w:t>提出该索赔的权利。</w:t>
      </w:r>
    </w:p>
    <w:p w14:paraId="5083794B">
      <w:pPr>
        <w:adjustRightInd w:val="0"/>
        <w:snapToGrid w:val="0"/>
        <w:spacing w:line="560" w:lineRule="exact"/>
        <w:ind w:firstLine="638" w:firstLineChars="228"/>
        <w:jc w:val="left"/>
        <w:rPr>
          <w:rFonts w:hint="eastAsia" w:ascii="宋体" w:hAnsi="宋体"/>
          <w:b w:val="0"/>
          <w:bCs/>
          <w:sz w:val="28"/>
          <w:szCs w:val="28"/>
        </w:rPr>
      </w:pPr>
      <w:r>
        <w:rPr>
          <w:rFonts w:hint="eastAsia" w:ascii="宋体" w:hAnsi="宋体"/>
          <w:b w:val="0"/>
          <w:bCs/>
          <w:sz w:val="28"/>
          <w:szCs w:val="28"/>
        </w:rPr>
        <w:t>（</w:t>
      </w:r>
      <w:r>
        <w:rPr>
          <w:rFonts w:hint="eastAsia" w:ascii="宋体" w:hAnsi="宋体"/>
          <w:b w:val="0"/>
          <w:bCs/>
          <w:sz w:val="28"/>
          <w:szCs w:val="28"/>
          <w:lang w:eastAsia="zh-CN"/>
        </w:rPr>
        <w:t>四</w:t>
      </w:r>
      <w:r>
        <w:rPr>
          <w:rFonts w:hint="eastAsia" w:ascii="宋体" w:hAnsi="宋体"/>
          <w:b w:val="0"/>
          <w:bCs/>
          <w:sz w:val="28"/>
          <w:szCs w:val="28"/>
        </w:rPr>
        <w:t>）采购人上级主管部门或其他相关单位对经中标人审核评价的受托项目进行审查的，中标人须无条件配合相关工作。</w:t>
      </w:r>
    </w:p>
    <w:p w14:paraId="0258D97E">
      <w:pPr>
        <w:adjustRightInd w:val="0"/>
        <w:snapToGrid w:val="0"/>
        <w:spacing w:line="560" w:lineRule="exact"/>
        <w:ind w:firstLine="641" w:firstLineChars="228"/>
        <w:jc w:val="left"/>
        <w:rPr>
          <w:rFonts w:hint="eastAsia" w:ascii="宋体" w:hAnsi="宋体"/>
          <w:b w:val="0"/>
          <w:bCs/>
          <w:sz w:val="28"/>
          <w:szCs w:val="28"/>
        </w:rPr>
      </w:pPr>
      <w:r>
        <w:rPr>
          <w:rFonts w:hint="eastAsia" w:ascii="宋体" w:hAnsi="宋体"/>
          <w:b/>
          <w:bCs w:val="0"/>
          <w:sz w:val="28"/>
          <w:szCs w:val="28"/>
          <w:lang w:eastAsia="zh-CN"/>
        </w:rPr>
        <w:t>二</w:t>
      </w:r>
      <w:r>
        <w:rPr>
          <w:rFonts w:hint="eastAsia" w:ascii="宋体" w:hAnsi="宋体"/>
          <w:b/>
          <w:bCs w:val="0"/>
          <w:sz w:val="28"/>
          <w:szCs w:val="28"/>
        </w:rPr>
        <w:t>.服务要求</w:t>
      </w:r>
      <w:r>
        <w:rPr>
          <w:rFonts w:hint="eastAsia" w:ascii="宋体" w:hAnsi="宋体"/>
          <w:b w:val="0"/>
          <w:bCs/>
          <w:sz w:val="28"/>
          <w:szCs w:val="28"/>
        </w:rPr>
        <w:tab/>
      </w:r>
    </w:p>
    <w:p w14:paraId="31C8EAB7">
      <w:pPr>
        <w:adjustRightInd w:val="0"/>
        <w:snapToGrid w:val="0"/>
        <w:spacing w:line="560" w:lineRule="exact"/>
        <w:ind w:firstLine="560" w:firstLineChars="200"/>
        <w:jc w:val="left"/>
        <w:rPr>
          <w:rFonts w:hint="eastAsia" w:ascii="宋体" w:hAnsi="宋体"/>
          <w:b w:val="0"/>
          <w:bCs/>
          <w:sz w:val="28"/>
          <w:szCs w:val="28"/>
        </w:rPr>
      </w:pPr>
      <w:r>
        <w:rPr>
          <w:rFonts w:hint="eastAsia" w:ascii="宋体" w:hAnsi="宋体"/>
          <w:b w:val="0"/>
          <w:bCs/>
          <w:sz w:val="28"/>
          <w:szCs w:val="28"/>
        </w:rPr>
        <w:t>（</w:t>
      </w:r>
      <w:r>
        <w:rPr>
          <w:rFonts w:hint="eastAsia" w:ascii="宋体" w:hAnsi="宋体"/>
          <w:b w:val="0"/>
          <w:bCs/>
          <w:sz w:val="28"/>
          <w:szCs w:val="28"/>
          <w:lang w:eastAsia="zh-CN"/>
        </w:rPr>
        <w:t>一</w:t>
      </w:r>
      <w:r>
        <w:rPr>
          <w:rFonts w:hint="eastAsia" w:ascii="宋体" w:hAnsi="宋体"/>
          <w:b w:val="0"/>
          <w:bCs/>
          <w:sz w:val="28"/>
          <w:szCs w:val="28"/>
        </w:rPr>
        <w:t>）中标人应熟悉国家、省、市有关部门关于工程方面的法律法规及相关政策，熟悉工程相关行业标准，并有丰富的工程造价咨询经验，科学、客观、独立、公正地开展工程结算审核评价工作，按时、优质提供成果文件。</w:t>
      </w:r>
    </w:p>
    <w:p w14:paraId="1883C929">
      <w:pPr>
        <w:adjustRightInd w:val="0"/>
        <w:snapToGrid w:val="0"/>
        <w:spacing w:line="560" w:lineRule="exact"/>
        <w:ind w:firstLine="638" w:firstLineChars="228"/>
        <w:jc w:val="left"/>
        <w:rPr>
          <w:rFonts w:hint="eastAsia" w:ascii="宋体" w:hAnsi="宋体"/>
          <w:b w:val="0"/>
          <w:bCs/>
          <w:sz w:val="28"/>
          <w:szCs w:val="28"/>
        </w:rPr>
      </w:pPr>
      <w:r>
        <w:rPr>
          <w:rFonts w:hint="eastAsia" w:ascii="宋体" w:hAnsi="宋体"/>
          <w:b w:val="0"/>
          <w:bCs/>
          <w:sz w:val="28"/>
          <w:szCs w:val="28"/>
        </w:rPr>
        <w:t>（</w:t>
      </w:r>
      <w:r>
        <w:rPr>
          <w:rFonts w:hint="eastAsia" w:ascii="宋体" w:hAnsi="宋体"/>
          <w:b w:val="0"/>
          <w:bCs/>
          <w:sz w:val="28"/>
          <w:szCs w:val="28"/>
          <w:lang w:eastAsia="zh-CN"/>
        </w:rPr>
        <w:t>二</w:t>
      </w:r>
      <w:r>
        <w:rPr>
          <w:rFonts w:hint="eastAsia" w:ascii="宋体" w:hAnsi="宋体"/>
          <w:b w:val="0"/>
          <w:bCs/>
          <w:sz w:val="28"/>
          <w:szCs w:val="28"/>
        </w:rPr>
        <w:t>）中标人不得将本项目合同所确定的服务转让给第三方。参与相关工作的人员不得将履行本合同过程中知悉的信息透露给任何第三方。</w:t>
      </w:r>
    </w:p>
    <w:p w14:paraId="35DA703E">
      <w:pPr>
        <w:adjustRightInd w:val="0"/>
        <w:snapToGrid w:val="0"/>
        <w:spacing w:line="560" w:lineRule="exact"/>
        <w:ind w:firstLine="638" w:firstLineChars="228"/>
        <w:jc w:val="left"/>
        <w:rPr>
          <w:rFonts w:hint="eastAsia" w:ascii="宋体" w:hAnsi="宋体"/>
          <w:b w:val="0"/>
          <w:bCs/>
          <w:sz w:val="28"/>
          <w:szCs w:val="28"/>
        </w:rPr>
      </w:pPr>
      <w:r>
        <w:rPr>
          <w:rFonts w:hint="eastAsia" w:ascii="宋体" w:hAnsi="宋体"/>
          <w:b w:val="0"/>
          <w:bCs/>
          <w:sz w:val="28"/>
          <w:szCs w:val="28"/>
        </w:rPr>
        <w:t>（</w:t>
      </w:r>
      <w:r>
        <w:rPr>
          <w:rFonts w:hint="eastAsia" w:ascii="宋体" w:hAnsi="宋体"/>
          <w:b w:val="0"/>
          <w:bCs/>
          <w:sz w:val="28"/>
          <w:szCs w:val="28"/>
          <w:lang w:eastAsia="zh-CN"/>
        </w:rPr>
        <w:t>三</w:t>
      </w:r>
      <w:r>
        <w:rPr>
          <w:rFonts w:hint="eastAsia" w:ascii="宋体" w:hAnsi="宋体"/>
          <w:b w:val="0"/>
          <w:bCs/>
          <w:sz w:val="28"/>
          <w:szCs w:val="28"/>
        </w:rPr>
        <w:t>）中标人应及时与采购人签订委托合同，并在接到委托通知后2个工作日内前往采购人审计部门办理承接委托事宜。对采购范围不清晰、图纸不详、资料不齐等原因导致审核评价工作难以正常开展等情况，应在收到资料3个日历天内向委托人提出资料补充要求。因资料不完整而咨询单位未及时提出造成进度延误的，应由咨询单位负责。</w:t>
      </w:r>
    </w:p>
    <w:p w14:paraId="39106AD1">
      <w:pPr>
        <w:adjustRightInd w:val="0"/>
        <w:snapToGrid w:val="0"/>
        <w:spacing w:line="560" w:lineRule="exact"/>
        <w:ind w:firstLine="638" w:firstLineChars="228"/>
        <w:jc w:val="left"/>
        <w:rPr>
          <w:rFonts w:hint="eastAsia" w:ascii="宋体" w:hAnsi="宋体"/>
          <w:b w:val="0"/>
          <w:bCs/>
          <w:sz w:val="28"/>
          <w:szCs w:val="28"/>
        </w:rPr>
      </w:pPr>
      <w:r>
        <w:rPr>
          <w:rFonts w:hint="eastAsia" w:ascii="宋体" w:hAnsi="宋体"/>
          <w:b w:val="0"/>
          <w:bCs/>
          <w:sz w:val="28"/>
          <w:szCs w:val="28"/>
        </w:rPr>
        <w:t>（</w:t>
      </w:r>
      <w:r>
        <w:rPr>
          <w:rFonts w:hint="eastAsia" w:ascii="宋体" w:hAnsi="宋体"/>
          <w:b w:val="0"/>
          <w:bCs/>
          <w:sz w:val="28"/>
          <w:szCs w:val="28"/>
          <w:lang w:eastAsia="zh-CN"/>
        </w:rPr>
        <w:t>四</w:t>
      </w:r>
      <w:r>
        <w:rPr>
          <w:rFonts w:hint="eastAsia" w:ascii="宋体" w:hAnsi="宋体"/>
          <w:b w:val="0"/>
          <w:bCs/>
          <w:sz w:val="28"/>
          <w:szCs w:val="28"/>
        </w:rPr>
        <w:t>）中标人在接到委托通知后2个工作日内前往广东财经大学审计部办理承接委托事宜，收齐资料后，原则上应在20个日历天内完成审核评价工作，一次性完整、准确提出评价意见。如遇施工单位、结算初审单位拖延补交资料、甲方与施工单位纠纷等问题、甲方寒暑假等特殊情况导致审核评价工作进展的，则完成时间相应顺延。</w:t>
      </w:r>
    </w:p>
    <w:p w14:paraId="2DD1509F">
      <w:pPr>
        <w:adjustRightInd w:val="0"/>
        <w:snapToGrid w:val="0"/>
        <w:spacing w:line="560" w:lineRule="exact"/>
        <w:ind w:firstLine="638" w:firstLineChars="228"/>
        <w:jc w:val="left"/>
        <w:rPr>
          <w:rFonts w:hint="eastAsia" w:ascii="宋体" w:hAnsi="宋体"/>
          <w:b w:val="0"/>
          <w:bCs/>
          <w:sz w:val="28"/>
          <w:szCs w:val="28"/>
        </w:rPr>
      </w:pPr>
      <w:r>
        <w:rPr>
          <w:rFonts w:hint="eastAsia" w:ascii="宋体" w:hAnsi="宋体"/>
          <w:b w:val="0"/>
          <w:bCs/>
          <w:sz w:val="28"/>
          <w:szCs w:val="28"/>
        </w:rPr>
        <w:t>（</w:t>
      </w:r>
      <w:r>
        <w:rPr>
          <w:rFonts w:hint="eastAsia" w:ascii="宋体" w:hAnsi="宋体"/>
          <w:b w:val="0"/>
          <w:bCs/>
          <w:sz w:val="28"/>
          <w:szCs w:val="28"/>
          <w:lang w:eastAsia="zh-CN"/>
        </w:rPr>
        <w:t>五</w:t>
      </w:r>
      <w:r>
        <w:rPr>
          <w:rFonts w:hint="eastAsia" w:ascii="宋体" w:hAnsi="宋体"/>
          <w:b w:val="0"/>
          <w:bCs/>
          <w:sz w:val="28"/>
          <w:szCs w:val="28"/>
        </w:rPr>
        <w:t>）项目实施过程中，对于采购人反馈的意见，中标人应在3个日历天内作出答复，并对审核评价文件进行调整。</w:t>
      </w:r>
    </w:p>
    <w:p w14:paraId="5BD569CC">
      <w:pPr>
        <w:adjustRightInd w:val="0"/>
        <w:snapToGrid w:val="0"/>
        <w:spacing w:line="560" w:lineRule="exact"/>
        <w:ind w:firstLine="638" w:firstLineChars="228"/>
        <w:jc w:val="left"/>
        <w:rPr>
          <w:rFonts w:hint="eastAsia" w:ascii="宋体" w:hAnsi="宋体"/>
          <w:b w:val="0"/>
          <w:bCs/>
          <w:sz w:val="28"/>
          <w:szCs w:val="28"/>
        </w:rPr>
      </w:pPr>
      <w:r>
        <w:rPr>
          <w:rFonts w:hint="eastAsia" w:ascii="宋体" w:hAnsi="宋体"/>
          <w:b w:val="0"/>
          <w:bCs/>
          <w:sz w:val="28"/>
          <w:szCs w:val="28"/>
        </w:rPr>
        <w:t>（</w:t>
      </w:r>
      <w:r>
        <w:rPr>
          <w:rFonts w:hint="eastAsia" w:ascii="宋体" w:hAnsi="宋体"/>
          <w:b w:val="0"/>
          <w:bCs/>
          <w:sz w:val="28"/>
          <w:szCs w:val="28"/>
          <w:lang w:eastAsia="zh-CN"/>
        </w:rPr>
        <w:t>六</w:t>
      </w:r>
      <w:r>
        <w:rPr>
          <w:rFonts w:hint="eastAsia" w:ascii="宋体" w:hAnsi="宋体"/>
          <w:b w:val="0"/>
          <w:bCs/>
          <w:sz w:val="28"/>
          <w:szCs w:val="28"/>
        </w:rPr>
        <w:t>）中标人需根据本项目实际情况和时间要求，合理配置人员，拟派的服务人员要工作经验丰富，熟悉工程相关管理政策，能充分胜任结算审核评价工作。中标人须保证服务队伍的相对稳定，按投标文件承诺投入各个专业相应资历和数量的造价咨询人员。</w:t>
      </w:r>
    </w:p>
    <w:p w14:paraId="1BA25A49">
      <w:pPr>
        <w:adjustRightInd w:val="0"/>
        <w:snapToGrid w:val="0"/>
        <w:spacing w:line="560" w:lineRule="exact"/>
        <w:ind w:firstLine="638" w:firstLineChars="228"/>
        <w:jc w:val="left"/>
        <w:rPr>
          <w:rFonts w:hint="eastAsia" w:ascii="宋体" w:hAnsi="宋体"/>
          <w:b w:val="0"/>
          <w:bCs/>
          <w:sz w:val="28"/>
          <w:szCs w:val="28"/>
          <w:lang w:val="en-US" w:eastAsia="zh-CN"/>
        </w:rPr>
      </w:pPr>
      <w:r>
        <w:rPr>
          <w:rFonts w:hint="eastAsia" w:ascii="宋体" w:hAnsi="宋体"/>
          <w:b w:val="0"/>
          <w:bCs/>
          <w:sz w:val="28"/>
          <w:szCs w:val="28"/>
          <w:lang w:val="en-US" w:eastAsia="zh-CN"/>
        </w:rPr>
        <w:t>（七）采购人在中标人服务项目全部结束后，有权对中标人在项目计划阶段、项目实施阶段、项目完成阶段的表现进行综合评价。具体评分细则详见附件。评价结果是服务费用结算的重要依据，若中标人综合评分≥90分，采购人按合同约定全额支付服务费；若中标人综合评分＜90分，采购人按服务费的90%支付款项，扣减部分作为服务未达标的补偿。若中标人对评价结果有异议，可在收到评价后5个工作日内提出书面申诉，采购人应在收到申诉后5个工作日内复核并反馈最终结果。</w:t>
      </w:r>
    </w:p>
    <w:p w14:paraId="7047E82B">
      <w:pPr>
        <w:adjustRightInd w:val="0"/>
        <w:snapToGrid w:val="0"/>
        <w:spacing w:line="560" w:lineRule="exact"/>
        <w:ind w:firstLine="638" w:firstLineChars="228"/>
        <w:jc w:val="left"/>
        <w:rPr>
          <w:rFonts w:hint="eastAsia" w:ascii="宋体" w:hAnsi="宋体"/>
          <w:b w:val="0"/>
          <w:bCs/>
          <w:sz w:val="28"/>
          <w:szCs w:val="28"/>
          <w:lang w:val="en-US" w:eastAsia="zh-CN"/>
        </w:rPr>
      </w:pPr>
      <w:r>
        <w:rPr>
          <w:rFonts w:hint="eastAsia" w:ascii="宋体" w:hAnsi="宋体"/>
          <w:b w:val="0"/>
          <w:bCs/>
          <w:sz w:val="28"/>
          <w:szCs w:val="28"/>
          <w:lang w:val="en-US" w:eastAsia="zh-CN"/>
        </w:rPr>
        <w:t>（八）中标人现场勘察时间应不少于2天，勘察人员不少于2人。</w:t>
      </w:r>
    </w:p>
    <w:p w14:paraId="62CE1021">
      <w:pPr>
        <w:adjustRightInd w:val="0"/>
        <w:snapToGrid w:val="0"/>
        <w:spacing w:line="560" w:lineRule="exact"/>
        <w:ind w:firstLine="638" w:firstLineChars="228"/>
        <w:jc w:val="left"/>
        <w:rPr>
          <w:rFonts w:hint="eastAsia" w:ascii="宋体" w:hAnsi="宋体"/>
          <w:b w:val="0"/>
          <w:bCs/>
          <w:sz w:val="28"/>
          <w:szCs w:val="28"/>
          <w:lang w:val="en-US" w:eastAsia="zh-CN"/>
        </w:rPr>
      </w:pPr>
      <w:r>
        <w:rPr>
          <w:rFonts w:hint="eastAsia" w:ascii="宋体" w:hAnsi="宋体"/>
          <w:b w:val="0"/>
          <w:bCs/>
          <w:sz w:val="28"/>
          <w:szCs w:val="28"/>
          <w:lang w:val="en-US" w:eastAsia="zh-CN"/>
        </w:rPr>
        <w:t xml:space="preserve">如采购人认为中标人投入的工作人员数量、业务水平、专业配置等不能满足项目实际工作需要时，有权要求中标人及时调配或增加符合资格要求的人员，所增加人员的工资、奖金、补贴、加班费、办公费、差旅费、管理费等所有费用已包括在合同约定的服务费中，不再进行调整。 </w:t>
      </w:r>
    </w:p>
    <w:p w14:paraId="7A7FC3A0">
      <w:pPr>
        <w:adjustRightInd w:val="0"/>
        <w:snapToGrid w:val="0"/>
        <w:spacing w:line="560" w:lineRule="exact"/>
        <w:ind w:firstLine="641" w:firstLineChars="228"/>
        <w:jc w:val="left"/>
        <w:rPr>
          <w:rFonts w:hint="eastAsia" w:ascii="宋体" w:hAnsi="宋体"/>
          <w:b/>
          <w:bCs w:val="0"/>
          <w:sz w:val="28"/>
          <w:szCs w:val="28"/>
          <w:lang w:val="en-US" w:eastAsia="zh-CN"/>
        </w:rPr>
      </w:pPr>
      <w:r>
        <w:rPr>
          <w:rFonts w:hint="eastAsia" w:ascii="宋体" w:hAnsi="宋体"/>
          <w:b/>
          <w:bCs w:val="0"/>
          <w:sz w:val="28"/>
          <w:szCs w:val="28"/>
          <w:lang w:val="en-US" w:eastAsia="zh-CN"/>
        </w:rPr>
        <w:t>三、项目质量与验收标准</w:t>
      </w:r>
    </w:p>
    <w:p w14:paraId="6304935E">
      <w:pPr>
        <w:adjustRightInd w:val="0"/>
        <w:snapToGrid w:val="0"/>
        <w:spacing w:line="560" w:lineRule="exact"/>
        <w:ind w:firstLine="638" w:firstLineChars="228"/>
        <w:jc w:val="left"/>
        <w:rPr>
          <w:rFonts w:hint="eastAsia" w:ascii="宋体" w:hAnsi="宋体"/>
          <w:b w:val="0"/>
          <w:bCs/>
          <w:sz w:val="28"/>
          <w:szCs w:val="28"/>
          <w:lang w:val="en-US" w:eastAsia="zh-CN"/>
        </w:rPr>
      </w:pPr>
      <w:r>
        <w:rPr>
          <w:rFonts w:hint="eastAsia" w:ascii="宋体" w:hAnsi="宋体"/>
          <w:b w:val="0"/>
          <w:bCs/>
          <w:sz w:val="28"/>
          <w:szCs w:val="28"/>
          <w:lang w:val="en-US" w:eastAsia="zh-CN"/>
        </w:rPr>
        <w:t xml:space="preserve">（一）按照招标文件、采购合同、投标文件及技术规范等要求按时完成结算审核任务并验收合格。 </w:t>
      </w:r>
    </w:p>
    <w:p w14:paraId="08324835">
      <w:pPr>
        <w:adjustRightInd w:val="0"/>
        <w:snapToGrid w:val="0"/>
        <w:spacing w:line="560" w:lineRule="exact"/>
        <w:ind w:firstLine="638" w:firstLineChars="228"/>
        <w:jc w:val="left"/>
        <w:rPr>
          <w:rFonts w:hint="eastAsia" w:ascii="宋体" w:hAnsi="宋体"/>
          <w:b w:val="0"/>
          <w:bCs/>
          <w:sz w:val="28"/>
          <w:szCs w:val="28"/>
          <w:lang w:val="en-US" w:eastAsia="zh-CN"/>
        </w:rPr>
      </w:pPr>
      <w:r>
        <w:rPr>
          <w:rFonts w:hint="eastAsia" w:ascii="宋体" w:hAnsi="宋体"/>
          <w:b w:val="0"/>
          <w:bCs/>
          <w:sz w:val="28"/>
          <w:szCs w:val="28"/>
          <w:lang w:val="en-US" w:eastAsia="zh-CN"/>
        </w:rPr>
        <w:t xml:space="preserve">（二）完成结算审核报告书初稿的要求：根据每批次提交的送审资料，按照相关定额、取费标准，工程量计算规范等完成初步评审，形成本批次初审报告（含计算稿）。  </w:t>
      </w:r>
    </w:p>
    <w:p w14:paraId="43A15D2E">
      <w:pPr>
        <w:adjustRightInd w:val="0"/>
        <w:snapToGrid w:val="0"/>
        <w:spacing w:line="560" w:lineRule="exact"/>
        <w:ind w:firstLine="638" w:firstLineChars="228"/>
        <w:jc w:val="left"/>
        <w:rPr>
          <w:rFonts w:hint="eastAsia" w:ascii="宋体" w:hAnsi="宋体"/>
          <w:b w:val="0"/>
          <w:bCs/>
          <w:sz w:val="28"/>
          <w:szCs w:val="28"/>
          <w:lang w:val="en-US" w:eastAsia="zh-CN"/>
        </w:rPr>
      </w:pPr>
      <w:r>
        <w:rPr>
          <w:rFonts w:hint="eastAsia" w:ascii="宋体" w:hAnsi="宋体"/>
          <w:b w:val="0"/>
          <w:bCs/>
          <w:sz w:val="28"/>
          <w:szCs w:val="28"/>
          <w:lang w:val="en-US" w:eastAsia="zh-CN"/>
        </w:rPr>
        <w:t xml:space="preserve">（三）完成终稿的要求：项目出具初审报告与施工单位会审，施工单位没异议后形成终稿，由中标人、建设单位、施工单位等各方代表在终稿结论上签(章)名确认。 </w:t>
      </w:r>
    </w:p>
    <w:p w14:paraId="1A09EB4B">
      <w:pPr>
        <w:adjustRightInd w:val="0"/>
        <w:snapToGrid w:val="0"/>
        <w:spacing w:line="560" w:lineRule="exact"/>
        <w:ind w:firstLine="638" w:firstLineChars="228"/>
        <w:jc w:val="left"/>
        <w:rPr>
          <w:rFonts w:hint="eastAsia" w:ascii="宋体" w:hAnsi="宋体"/>
          <w:b w:val="0"/>
          <w:bCs/>
          <w:sz w:val="28"/>
          <w:szCs w:val="28"/>
          <w:lang w:val="en-US" w:eastAsia="zh-CN"/>
        </w:rPr>
      </w:pPr>
      <w:r>
        <w:rPr>
          <w:rFonts w:hint="eastAsia" w:ascii="宋体" w:hAnsi="宋体"/>
          <w:b w:val="0"/>
          <w:bCs/>
          <w:sz w:val="28"/>
          <w:szCs w:val="28"/>
          <w:lang w:val="en-US" w:eastAsia="zh-CN"/>
        </w:rPr>
        <w:t>（四）如项目后续被审计或第三方复审，中标人需无条件配合复核。</w:t>
      </w:r>
    </w:p>
    <w:p w14:paraId="40F944DF">
      <w:pPr>
        <w:adjustRightInd w:val="0"/>
        <w:snapToGrid w:val="0"/>
        <w:spacing w:line="560" w:lineRule="exact"/>
        <w:ind w:firstLine="562" w:firstLineChars="200"/>
        <w:jc w:val="left"/>
        <w:rPr>
          <w:rFonts w:hint="eastAsia" w:ascii="宋体" w:hAnsi="宋体"/>
          <w:b/>
          <w:sz w:val="28"/>
          <w:szCs w:val="28"/>
          <w:lang w:val="en-US" w:eastAsia="zh-CN"/>
        </w:rPr>
      </w:pPr>
      <w:r>
        <w:rPr>
          <w:rFonts w:hint="eastAsia" w:ascii="宋体" w:hAnsi="宋体"/>
          <w:b/>
          <w:sz w:val="28"/>
          <w:szCs w:val="28"/>
          <w:lang w:val="en-US" w:eastAsia="zh-CN"/>
        </w:rPr>
        <w:t>四、服务费用及支付方式</w:t>
      </w:r>
    </w:p>
    <w:p w14:paraId="5569C809">
      <w:pPr>
        <w:adjustRightInd w:val="0"/>
        <w:snapToGrid w:val="0"/>
        <w:spacing w:line="560" w:lineRule="exact"/>
        <w:ind w:firstLine="638" w:firstLineChars="228"/>
        <w:jc w:val="left"/>
        <w:rPr>
          <w:rFonts w:hint="eastAsia" w:ascii="宋体" w:hAnsi="宋体"/>
          <w:b w:val="0"/>
          <w:bCs/>
          <w:sz w:val="28"/>
          <w:szCs w:val="28"/>
          <w:lang w:val="en-US" w:eastAsia="zh-CN"/>
        </w:rPr>
      </w:pPr>
      <w:r>
        <w:rPr>
          <w:rFonts w:hint="eastAsia" w:ascii="宋体" w:hAnsi="宋体"/>
          <w:b w:val="0"/>
          <w:bCs/>
          <w:sz w:val="28"/>
          <w:szCs w:val="28"/>
          <w:lang w:val="en-US" w:eastAsia="zh-CN"/>
        </w:rPr>
        <w:t>（一）本项目服务费用，参照《关于调整我省建设工程造价造价咨询服务收费的复函》（粤价函〔2011〕742号文）的有关规定进行计取，包含钢筋及预埋件计算费用以及驻场人员费用等（如有）。</w:t>
      </w:r>
    </w:p>
    <w:p w14:paraId="26CE25F8">
      <w:pPr>
        <w:adjustRightInd w:val="0"/>
        <w:snapToGrid w:val="0"/>
        <w:spacing w:line="560" w:lineRule="exact"/>
        <w:ind w:firstLine="638" w:firstLineChars="228"/>
        <w:jc w:val="left"/>
        <w:rPr>
          <w:rFonts w:hint="eastAsia" w:ascii="宋体" w:hAnsi="宋体"/>
          <w:b w:val="0"/>
          <w:bCs/>
          <w:sz w:val="28"/>
          <w:szCs w:val="28"/>
          <w:lang w:val="en-US" w:eastAsia="zh-CN"/>
        </w:rPr>
      </w:pPr>
      <w:r>
        <w:rPr>
          <w:rFonts w:hint="eastAsia" w:ascii="宋体" w:hAnsi="宋体"/>
          <w:b w:val="0"/>
          <w:bCs/>
          <w:sz w:val="28"/>
          <w:szCs w:val="28"/>
          <w:lang w:val="en-US" w:eastAsia="zh-CN"/>
        </w:rPr>
        <w:t>服务费=（基本收费+效益收费）*（1-服务费下浮率）</w:t>
      </w:r>
    </w:p>
    <w:p w14:paraId="0C2516AA">
      <w:pPr>
        <w:adjustRightInd w:val="0"/>
        <w:snapToGrid w:val="0"/>
        <w:spacing w:line="560" w:lineRule="exact"/>
        <w:ind w:firstLine="638" w:firstLineChars="228"/>
        <w:jc w:val="left"/>
        <w:rPr>
          <w:rFonts w:hint="eastAsia" w:ascii="宋体" w:hAnsi="宋体"/>
          <w:b w:val="0"/>
          <w:bCs/>
          <w:sz w:val="28"/>
          <w:szCs w:val="28"/>
          <w:lang w:val="en-US" w:eastAsia="zh-CN"/>
        </w:rPr>
      </w:pPr>
      <w:r>
        <w:rPr>
          <w:rFonts w:hint="eastAsia" w:ascii="宋体" w:hAnsi="宋体"/>
          <w:b w:val="0"/>
          <w:bCs/>
          <w:sz w:val="28"/>
          <w:szCs w:val="28"/>
          <w:lang w:val="en-US" w:eastAsia="zh-CN"/>
        </w:rPr>
        <w:t>基本收费以送审结算造价（初审结算金额）为基础按差额定率累进计费，效益收费为核减额（送审结算造价与最终定案结算造价的差）的5%；服务费下浮率＝[1-(中标价/招标控制价)*0.8]*100%。若本项目服务费超过预算金额，则最终服务费按本项目预算金额结算。</w:t>
      </w:r>
    </w:p>
    <w:p w14:paraId="0D9151C9">
      <w:pPr>
        <w:adjustRightInd w:val="0"/>
        <w:snapToGrid w:val="0"/>
        <w:spacing w:line="560" w:lineRule="exact"/>
        <w:ind w:firstLine="638" w:firstLineChars="228"/>
        <w:jc w:val="left"/>
        <w:rPr>
          <w:rFonts w:hint="eastAsia" w:ascii="宋体" w:hAnsi="宋体"/>
          <w:b w:val="0"/>
          <w:bCs/>
          <w:sz w:val="28"/>
          <w:szCs w:val="28"/>
          <w:lang w:val="en-US" w:eastAsia="zh-CN"/>
        </w:rPr>
      </w:pPr>
      <w:r>
        <w:rPr>
          <w:rFonts w:hint="eastAsia" w:ascii="宋体" w:hAnsi="宋体"/>
          <w:b w:val="0"/>
          <w:bCs/>
          <w:sz w:val="28"/>
          <w:szCs w:val="28"/>
          <w:lang w:val="en-US" w:eastAsia="zh-CN"/>
        </w:rPr>
        <w:t>温馨提示：本项目是在工程管理职能部门已经完成第一次结算审核的基础上开展的结算审核评价服务，审核难度高，审核时间紧，投标人应综合多方面考虑，做出合理报价，以保证对受托项目提供充足的资源和时间保障，确保受托项目高效、高质量完成。</w:t>
      </w:r>
    </w:p>
    <w:p w14:paraId="5DE2F783">
      <w:pPr>
        <w:adjustRightInd w:val="0"/>
        <w:snapToGrid w:val="0"/>
        <w:spacing w:line="560" w:lineRule="exact"/>
        <w:ind w:firstLine="638" w:firstLineChars="228"/>
        <w:jc w:val="left"/>
        <w:rPr>
          <w:rFonts w:hint="eastAsia" w:ascii="宋体" w:hAnsi="宋体"/>
          <w:b w:val="0"/>
          <w:bCs/>
          <w:sz w:val="28"/>
          <w:szCs w:val="28"/>
          <w:lang w:val="en-US" w:eastAsia="zh-CN"/>
        </w:rPr>
      </w:pPr>
      <w:r>
        <w:rPr>
          <w:rFonts w:hint="eastAsia" w:ascii="宋体" w:hAnsi="宋体"/>
          <w:b w:val="0"/>
          <w:bCs/>
          <w:sz w:val="28"/>
          <w:szCs w:val="28"/>
          <w:lang w:val="en-US" w:eastAsia="zh-CN"/>
        </w:rPr>
        <w:t>投标人投标报价时应对结算审核期间的各类风险和不确定因素对审核评价工作的影响有充分的考虑，投标人的报价包含完成审核评价服务的所有费用，投标人一旦中标，不得以任何理由再向招标人收取任何其他费用。</w:t>
      </w:r>
    </w:p>
    <w:p w14:paraId="4F735955">
      <w:pPr>
        <w:adjustRightInd w:val="0"/>
        <w:snapToGrid w:val="0"/>
        <w:spacing w:line="560" w:lineRule="exact"/>
        <w:ind w:firstLine="638" w:firstLineChars="228"/>
        <w:jc w:val="left"/>
        <w:rPr>
          <w:rFonts w:hint="eastAsia" w:ascii="宋体" w:hAnsi="宋体"/>
          <w:b w:val="0"/>
          <w:bCs/>
          <w:sz w:val="28"/>
          <w:szCs w:val="28"/>
          <w:lang w:val="en-US" w:eastAsia="zh-CN"/>
        </w:rPr>
      </w:pPr>
      <w:r>
        <w:rPr>
          <w:rFonts w:hint="eastAsia" w:ascii="宋体" w:hAnsi="宋体"/>
          <w:b w:val="0"/>
          <w:bCs/>
          <w:sz w:val="28"/>
          <w:szCs w:val="28"/>
          <w:lang w:val="en-US" w:eastAsia="zh-CN"/>
        </w:rPr>
        <w:t>若本项目服务费超过预算金额的，则最终的服务费按本项目预算金额结算。</w:t>
      </w:r>
    </w:p>
    <w:p w14:paraId="2FCBE11B">
      <w:pPr>
        <w:adjustRightInd w:val="0"/>
        <w:snapToGrid w:val="0"/>
        <w:spacing w:line="560" w:lineRule="exact"/>
        <w:ind w:firstLine="638" w:firstLineChars="228"/>
        <w:jc w:val="left"/>
        <w:rPr>
          <w:rFonts w:hint="eastAsia" w:ascii="宋体" w:hAnsi="宋体"/>
          <w:b w:val="0"/>
          <w:bCs/>
          <w:sz w:val="28"/>
          <w:szCs w:val="28"/>
          <w:lang w:val="en-US" w:eastAsia="zh-CN"/>
        </w:rPr>
      </w:pPr>
      <w:r>
        <w:rPr>
          <w:rFonts w:hint="eastAsia" w:ascii="宋体" w:hAnsi="宋体"/>
          <w:b w:val="0"/>
          <w:bCs/>
          <w:sz w:val="28"/>
          <w:szCs w:val="28"/>
          <w:lang w:val="en-US" w:eastAsia="zh-CN"/>
        </w:rPr>
        <w:t>（二）中标人提交完整、合格的结算审核报告后结束（若需复审，则复审完成后结束）。受托项目完成三方审核定案后30天内，中标人向采购方提出请款申请，并提供合法有效的服务费发票,采购方向中标方一次性支付服务费。</w:t>
      </w:r>
    </w:p>
    <w:p w14:paraId="0F9C74DC">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lang w:eastAsia="zh-CN"/>
        </w:rPr>
        <w:t>五、</w:t>
      </w:r>
      <w:r>
        <w:rPr>
          <w:rFonts w:hint="eastAsia" w:ascii="宋体" w:hAnsi="宋体"/>
          <w:b/>
          <w:sz w:val="28"/>
          <w:szCs w:val="28"/>
        </w:rPr>
        <w:t>违约处罚</w:t>
      </w:r>
    </w:p>
    <w:p w14:paraId="4F6787AD">
      <w:pPr>
        <w:adjustRightInd w:val="0"/>
        <w:snapToGrid w:val="0"/>
        <w:spacing w:line="560" w:lineRule="exact"/>
        <w:ind w:firstLine="638" w:firstLineChars="228"/>
        <w:rPr>
          <w:rFonts w:ascii="宋体" w:hAnsi="宋体"/>
          <w:sz w:val="28"/>
          <w:szCs w:val="28"/>
        </w:rPr>
      </w:pPr>
      <w:r>
        <w:rPr>
          <w:rFonts w:hint="eastAsia" w:ascii="宋体" w:hAnsi="宋体"/>
          <w:sz w:val="28"/>
          <w:szCs w:val="28"/>
          <w:lang w:eastAsia="zh-CN"/>
        </w:rPr>
        <w:t>（一）中标</w:t>
      </w:r>
      <w:r>
        <w:rPr>
          <w:rFonts w:hint="eastAsia" w:ascii="宋体" w:hAnsi="宋体"/>
          <w:sz w:val="28"/>
          <w:szCs w:val="28"/>
        </w:rPr>
        <w:t>人的违约责任：</w:t>
      </w:r>
    </w:p>
    <w:p w14:paraId="11667254">
      <w:pPr>
        <w:adjustRightInd w:val="0"/>
        <w:snapToGrid w:val="0"/>
        <w:spacing w:line="560" w:lineRule="exact"/>
        <w:ind w:firstLine="638" w:firstLineChars="228"/>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.中标</w:t>
      </w:r>
      <w:r>
        <w:rPr>
          <w:rFonts w:hint="eastAsia" w:ascii="宋体" w:hAnsi="宋体"/>
          <w:sz w:val="28"/>
          <w:szCs w:val="28"/>
        </w:rPr>
        <w:t>人逾期交付使用的，从逾期之日起每日按合同总价3‰的数额向采购单位支付违约金；逾期15日以上的，采购单位有权终止合同，由此造成的采购单位经济损失由</w:t>
      </w:r>
      <w:r>
        <w:rPr>
          <w:rFonts w:hint="eastAsia" w:ascii="宋体" w:hAnsi="宋体"/>
          <w:sz w:val="28"/>
          <w:szCs w:val="28"/>
          <w:lang w:eastAsia="zh-CN"/>
        </w:rPr>
        <w:t>中标人</w:t>
      </w:r>
      <w:r>
        <w:rPr>
          <w:rFonts w:hint="eastAsia" w:ascii="宋体" w:hAnsi="宋体"/>
          <w:sz w:val="28"/>
          <w:szCs w:val="28"/>
        </w:rPr>
        <w:t>承担。</w:t>
      </w:r>
      <w:r>
        <w:rPr>
          <w:rFonts w:hint="eastAsia" w:ascii="宋体" w:hAnsi="宋体"/>
          <w:sz w:val="28"/>
          <w:szCs w:val="28"/>
          <w:lang w:eastAsia="zh-CN"/>
        </w:rPr>
        <w:t>中标</w:t>
      </w:r>
      <w:r>
        <w:rPr>
          <w:rFonts w:hint="eastAsia" w:ascii="宋体" w:hAnsi="宋体"/>
          <w:sz w:val="28"/>
          <w:szCs w:val="28"/>
        </w:rPr>
        <w:t>人支付合同金额30%的违约金。</w:t>
      </w:r>
    </w:p>
    <w:p w14:paraId="0C4E68EE">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.中标</w:t>
      </w:r>
      <w:r>
        <w:rPr>
          <w:rFonts w:hint="eastAsia" w:ascii="宋体" w:hAnsi="宋体"/>
          <w:sz w:val="28"/>
          <w:szCs w:val="28"/>
        </w:rPr>
        <w:t>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lang w:eastAsia="zh-CN"/>
        </w:rPr>
        <w:t>中标</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52957E79">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w:t>
      </w:r>
      <w:r>
        <w:rPr>
          <w:rFonts w:hint="eastAsia" w:ascii="宋体" w:hAnsi="宋体"/>
          <w:sz w:val="28"/>
          <w:szCs w:val="28"/>
        </w:rPr>
        <w:t>其它违约责任按《中华人民共和国民法典》处理。</w:t>
      </w:r>
    </w:p>
    <w:p w14:paraId="2C955A19">
      <w:pPr>
        <w:adjustRightInd w:val="0"/>
        <w:snapToGrid w:val="0"/>
        <w:spacing w:line="560" w:lineRule="exact"/>
        <w:ind w:firstLine="638" w:firstLineChars="228"/>
        <w:rPr>
          <w:rFonts w:ascii="宋体" w:hAnsi="宋体"/>
          <w:sz w:val="28"/>
          <w:szCs w:val="28"/>
        </w:rPr>
      </w:pPr>
      <w:r>
        <w:rPr>
          <w:rFonts w:hint="eastAsia" w:ascii="宋体" w:hAnsi="宋体"/>
          <w:sz w:val="28"/>
          <w:szCs w:val="28"/>
          <w:lang w:eastAsia="zh-CN"/>
        </w:rPr>
        <w:t>（二）</w:t>
      </w:r>
      <w:r>
        <w:rPr>
          <w:rFonts w:hint="eastAsia" w:ascii="宋体" w:hAnsi="宋体"/>
          <w:sz w:val="28"/>
          <w:szCs w:val="28"/>
        </w:rPr>
        <w:t>采购单位的违约责任：</w:t>
      </w:r>
    </w:p>
    <w:p w14:paraId="612EDBAF">
      <w:pPr>
        <w:adjustRightInd w:val="0"/>
        <w:snapToGrid w:val="0"/>
        <w:spacing w:line="560" w:lineRule="exact"/>
        <w:ind w:firstLine="638" w:firstLineChars="228"/>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w:t>
      </w:r>
      <w:r>
        <w:rPr>
          <w:rFonts w:hint="eastAsia" w:ascii="宋体" w:hAnsi="宋体"/>
          <w:sz w:val="28"/>
          <w:szCs w:val="28"/>
        </w:rPr>
        <w:t>采购单位逾期付款的，应按照每日合同总价的3‰的比例向</w:t>
      </w:r>
      <w:r>
        <w:rPr>
          <w:rFonts w:hint="eastAsia" w:ascii="宋体" w:hAnsi="宋体"/>
          <w:sz w:val="28"/>
          <w:szCs w:val="28"/>
          <w:lang w:eastAsia="zh-CN"/>
        </w:rPr>
        <w:t>中标人</w:t>
      </w:r>
      <w:r>
        <w:rPr>
          <w:rFonts w:hint="eastAsia" w:ascii="宋体" w:hAnsi="宋体"/>
          <w:sz w:val="28"/>
          <w:szCs w:val="28"/>
        </w:rPr>
        <w:t>偿付逾期付款的违约金；</w:t>
      </w:r>
    </w:p>
    <w:p w14:paraId="57929393">
      <w:pPr>
        <w:adjustRightInd w:val="0"/>
        <w:snapToGrid w:val="0"/>
        <w:spacing w:line="560" w:lineRule="exact"/>
        <w:ind w:firstLine="638" w:firstLineChars="228"/>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w:t>
      </w:r>
      <w:r>
        <w:rPr>
          <w:rFonts w:hint="eastAsia" w:ascii="宋体" w:hAnsi="宋体"/>
          <w:sz w:val="28"/>
          <w:szCs w:val="28"/>
        </w:rPr>
        <w:t>采购单位违反合同规定拒绝接受服务的，应当承担由此对</w:t>
      </w:r>
      <w:r>
        <w:rPr>
          <w:rFonts w:hint="eastAsia" w:ascii="宋体" w:hAnsi="宋体"/>
          <w:sz w:val="28"/>
          <w:szCs w:val="28"/>
          <w:lang w:eastAsia="zh-CN"/>
        </w:rPr>
        <w:t>中标人</w:t>
      </w:r>
      <w:r>
        <w:rPr>
          <w:rFonts w:hint="eastAsia" w:ascii="宋体" w:hAnsi="宋体"/>
          <w:sz w:val="28"/>
          <w:szCs w:val="28"/>
        </w:rPr>
        <w:t>造成的损失。</w:t>
      </w:r>
    </w:p>
    <w:p w14:paraId="67D07501">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lang w:eastAsia="zh-CN"/>
        </w:rPr>
        <w:t>六、</w:t>
      </w:r>
      <w:r>
        <w:rPr>
          <w:rFonts w:hint="eastAsia" w:ascii="宋体" w:hAnsi="宋体"/>
          <w:b/>
          <w:sz w:val="28"/>
          <w:szCs w:val="28"/>
        </w:rPr>
        <w:t>其他要求</w:t>
      </w:r>
    </w:p>
    <w:p w14:paraId="544266A4">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6FC97B12">
      <w:pPr>
        <w:numPr>
          <w:ilvl w:val="0"/>
          <w:numId w:val="0"/>
        </w:numPr>
        <w:tabs>
          <w:tab w:val="left" w:pos="0"/>
          <w:tab w:val="left" w:pos="210"/>
          <w:tab w:val="left" w:pos="420"/>
        </w:tabs>
        <w:spacing w:line="560" w:lineRule="exact"/>
        <w:ind w:firstLine="560" w:firstLineChars="200"/>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采购方在履行合同过程中提供给</w:t>
      </w:r>
      <w:r>
        <w:rPr>
          <w:rFonts w:hint="eastAsia" w:ascii="宋体" w:hAnsi="宋体"/>
          <w:sz w:val="28"/>
          <w:szCs w:val="28"/>
          <w:lang w:eastAsia="zh-CN"/>
        </w:rPr>
        <w:t>中标</w:t>
      </w:r>
      <w:r>
        <w:rPr>
          <w:rFonts w:hint="eastAsia" w:ascii="宋体" w:hAnsi="宋体"/>
          <w:sz w:val="28"/>
          <w:szCs w:val="28"/>
        </w:rPr>
        <w:t>人使用保管的全部图纸、文件和其他含有数据和信息的资料，其知识产权属于采购方。</w:t>
      </w:r>
    </w:p>
    <w:p w14:paraId="711B3543">
      <w:pPr>
        <w:numPr>
          <w:ilvl w:val="0"/>
          <w:numId w:val="0"/>
        </w:numPr>
        <w:tabs>
          <w:tab w:val="left" w:pos="0"/>
          <w:tab w:val="left" w:pos="210"/>
          <w:tab w:val="left" w:pos="420"/>
        </w:tabs>
        <w:spacing w:line="560" w:lineRule="exact"/>
        <w:ind w:firstLine="560" w:firstLineChars="200"/>
        <w:rPr>
          <w:rFonts w:ascii="宋体" w:hAnsi="宋体"/>
          <w:sz w:val="28"/>
          <w:szCs w:val="28"/>
        </w:rPr>
      </w:pPr>
      <w:r>
        <w:rPr>
          <w:rFonts w:hint="eastAsia" w:ascii="宋体" w:hAnsi="宋体"/>
          <w:sz w:val="28"/>
          <w:szCs w:val="28"/>
          <w:lang w:val="en-US" w:eastAsia="zh-CN"/>
        </w:rPr>
        <w:t>2.</w:t>
      </w:r>
      <w:r>
        <w:rPr>
          <w:rFonts w:hint="eastAsia" w:ascii="宋体" w:hAnsi="宋体"/>
          <w:sz w:val="28"/>
          <w:szCs w:val="28"/>
          <w:lang w:eastAsia="zh-CN"/>
        </w:rPr>
        <w:t>中标</w:t>
      </w:r>
      <w:r>
        <w:rPr>
          <w:rFonts w:hint="eastAsia" w:ascii="宋体" w:hAnsi="宋体"/>
          <w:sz w:val="28"/>
          <w:szCs w:val="28"/>
        </w:rPr>
        <w:t>人提供的合同项目涉及知识产权、专利权、软件著作权的，则</w:t>
      </w:r>
      <w:r>
        <w:rPr>
          <w:rFonts w:hint="eastAsia" w:ascii="宋体" w:hAnsi="宋体"/>
          <w:sz w:val="28"/>
          <w:szCs w:val="28"/>
          <w:lang w:eastAsia="zh-CN"/>
        </w:rPr>
        <w:t>中标</w:t>
      </w:r>
      <w:r>
        <w:rPr>
          <w:rFonts w:hint="eastAsia" w:ascii="宋体" w:hAnsi="宋体"/>
          <w:sz w:val="28"/>
          <w:szCs w:val="28"/>
        </w:rPr>
        <w:t>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w:t>
      </w:r>
      <w:r>
        <w:rPr>
          <w:rFonts w:hint="eastAsia" w:ascii="宋体" w:hAnsi="宋体"/>
          <w:sz w:val="28"/>
          <w:szCs w:val="28"/>
          <w:lang w:eastAsia="zh-CN"/>
        </w:rPr>
        <w:t>中标</w:t>
      </w:r>
      <w:r>
        <w:rPr>
          <w:rFonts w:hint="eastAsia" w:ascii="宋体" w:hAnsi="宋体"/>
          <w:sz w:val="28"/>
          <w:szCs w:val="28"/>
        </w:rPr>
        <w:t>人资格。</w:t>
      </w:r>
    </w:p>
    <w:p w14:paraId="145103C5">
      <w:pPr>
        <w:numPr>
          <w:ilvl w:val="0"/>
          <w:numId w:val="0"/>
        </w:numPr>
        <w:tabs>
          <w:tab w:val="left" w:pos="0"/>
          <w:tab w:val="left" w:pos="210"/>
          <w:tab w:val="left" w:pos="420"/>
        </w:tabs>
        <w:spacing w:line="560" w:lineRule="exact"/>
        <w:ind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如果采购方收到任何第三方有关知识产权、专利权、软件著作权等的主张、索赔或诉讼，</w:t>
      </w:r>
      <w:r>
        <w:rPr>
          <w:rFonts w:hint="eastAsia" w:ascii="宋体" w:hAnsi="宋体"/>
          <w:sz w:val="28"/>
          <w:szCs w:val="28"/>
          <w:lang w:eastAsia="zh-CN"/>
        </w:rPr>
        <w:t>中标</w:t>
      </w:r>
      <w:r>
        <w:rPr>
          <w:rFonts w:hint="eastAsia" w:ascii="宋体" w:hAnsi="宋体"/>
          <w:sz w:val="28"/>
          <w:szCs w:val="28"/>
        </w:rPr>
        <w:t>人在收到采购方通知后，应当自负费用处理与第三方的索赔或诉讼，并赔偿采购方因此发生的费用和遭受的损失。</w:t>
      </w:r>
    </w:p>
    <w:p w14:paraId="2A16D1B0">
      <w:pPr>
        <w:spacing w:line="560" w:lineRule="exact"/>
        <w:ind w:firstLine="641" w:firstLineChars="228"/>
        <w:rPr>
          <w:rFonts w:hint="eastAsia" w:ascii="宋体" w:hAnsi="宋体"/>
          <w:sz w:val="28"/>
          <w:szCs w:val="28"/>
        </w:rPr>
      </w:pPr>
      <w:r>
        <w:rPr>
          <w:rFonts w:hint="eastAsia" w:ascii="宋体" w:hAnsi="宋体"/>
          <w:b/>
          <w:bCs/>
          <w:sz w:val="28"/>
          <w:szCs w:val="28"/>
          <w:lang w:eastAsia="zh-CN"/>
        </w:rPr>
        <w:t>七、</w:t>
      </w:r>
      <w:r>
        <w:rPr>
          <w:rFonts w:hint="eastAsia" w:ascii="宋体" w:hAnsi="宋体"/>
          <w:b/>
          <w:bCs/>
          <w:sz w:val="28"/>
          <w:szCs w:val="28"/>
        </w:rPr>
        <w:t>争议解决</w:t>
      </w:r>
      <w:r>
        <w:rPr>
          <w:rFonts w:hint="eastAsia" w:ascii="宋体" w:hAnsi="宋体"/>
          <w:sz w:val="28"/>
          <w:szCs w:val="28"/>
        </w:rPr>
        <w:t>：双方因合同发生争议，应在采购方的主持下进行调解，协商不成，可按合同约定向人民法院起诉。</w:t>
      </w:r>
    </w:p>
    <w:p w14:paraId="0CC70B27">
      <w:pPr>
        <w:rPr>
          <w:rFonts w:hint="eastAsia" w:ascii="宋体" w:hAnsi="宋体"/>
          <w:sz w:val="28"/>
          <w:szCs w:val="28"/>
        </w:rPr>
      </w:pPr>
      <w:r>
        <w:rPr>
          <w:rFonts w:hint="eastAsia" w:ascii="宋体" w:hAnsi="宋体"/>
          <w:sz w:val="28"/>
          <w:szCs w:val="28"/>
        </w:rPr>
        <w:br w:type="page"/>
      </w:r>
    </w:p>
    <w:p w14:paraId="78354449">
      <w:pPr>
        <w:spacing w:line="360" w:lineRule="auto"/>
        <w:ind w:firstLine="482" w:firstLineChars="200"/>
        <w:rPr>
          <w:rFonts w:hint="eastAsia" w:ascii="宋体" w:hAnsi="宋体" w:eastAsia="宋体" w:cs="Times New Roman"/>
          <w:color w:val="FF0000"/>
          <w:sz w:val="24"/>
          <w:szCs w:val="24"/>
        </w:rPr>
      </w:pPr>
      <w:r>
        <w:rPr>
          <w:rFonts w:hint="eastAsia" w:ascii="宋体" w:hAnsi="宋体" w:eastAsia="宋体" w:cs="Times New Roman"/>
          <w:b/>
          <w:bCs/>
          <w:color w:val="000000"/>
          <w:sz w:val="24"/>
          <w:szCs w:val="24"/>
        </w:rPr>
        <w:t>附件：</w:t>
      </w:r>
    </w:p>
    <w:tbl>
      <w:tblPr>
        <w:tblStyle w:val="29"/>
        <w:tblW w:w="5000" w:type="pct"/>
        <w:jc w:val="center"/>
        <w:tblLayout w:type="fixed"/>
        <w:tblCellMar>
          <w:top w:w="0" w:type="dxa"/>
          <w:left w:w="108" w:type="dxa"/>
          <w:bottom w:w="0" w:type="dxa"/>
          <w:right w:w="108" w:type="dxa"/>
        </w:tblCellMar>
      </w:tblPr>
      <w:tblGrid>
        <w:gridCol w:w="642"/>
        <w:gridCol w:w="887"/>
        <w:gridCol w:w="746"/>
        <w:gridCol w:w="980"/>
        <w:gridCol w:w="298"/>
        <w:gridCol w:w="534"/>
        <w:gridCol w:w="4057"/>
        <w:gridCol w:w="917"/>
      </w:tblGrid>
      <w:tr w14:paraId="4B84DE02">
        <w:tblPrEx>
          <w:tblCellMar>
            <w:top w:w="0" w:type="dxa"/>
            <w:left w:w="108" w:type="dxa"/>
            <w:bottom w:w="0" w:type="dxa"/>
            <w:right w:w="108" w:type="dxa"/>
          </w:tblCellMar>
        </w:tblPrEx>
        <w:trPr>
          <w:trHeight w:val="780" w:hRule="atLeast"/>
          <w:jc w:val="center"/>
        </w:trPr>
        <w:tc>
          <w:tcPr>
            <w:tcW w:w="8616" w:type="dxa"/>
            <w:gridSpan w:val="8"/>
            <w:tcBorders>
              <w:top w:val="nil"/>
              <w:left w:val="nil"/>
              <w:bottom w:val="nil"/>
              <w:right w:val="nil"/>
            </w:tcBorders>
            <w:vAlign w:val="center"/>
          </w:tcPr>
          <w:p w14:paraId="52641D01">
            <w:pPr>
              <w:widowControl/>
              <w:jc w:val="center"/>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广东财经大学工程结算服务审核外聘服务机构服务项目质量评价表</w:t>
            </w:r>
          </w:p>
        </w:tc>
      </w:tr>
      <w:tr w14:paraId="6DE74FF2">
        <w:tblPrEx>
          <w:tblCellMar>
            <w:top w:w="0" w:type="dxa"/>
            <w:left w:w="108" w:type="dxa"/>
            <w:bottom w:w="0" w:type="dxa"/>
            <w:right w:w="108" w:type="dxa"/>
          </w:tblCellMar>
        </w:tblPrEx>
        <w:trPr>
          <w:trHeight w:val="600" w:hRule="atLeast"/>
          <w:jc w:val="center"/>
        </w:trPr>
        <w:tc>
          <w:tcPr>
            <w:tcW w:w="1451" w:type="dxa"/>
            <w:gridSpan w:val="2"/>
            <w:tcBorders>
              <w:top w:val="single" w:color="auto" w:sz="8" w:space="0"/>
              <w:left w:val="single" w:color="auto" w:sz="8" w:space="0"/>
              <w:bottom w:val="single" w:color="auto" w:sz="4" w:space="0"/>
              <w:right w:val="single" w:color="auto" w:sz="4" w:space="0"/>
            </w:tcBorders>
            <w:vAlign w:val="center"/>
          </w:tcPr>
          <w:p w14:paraId="5107F545">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被评价单位</w:t>
            </w:r>
          </w:p>
        </w:tc>
        <w:tc>
          <w:tcPr>
            <w:tcW w:w="1642" w:type="dxa"/>
            <w:gridSpan w:val="2"/>
            <w:tcBorders>
              <w:top w:val="single" w:color="auto" w:sz="8" w:space="0"/>
              <w:left w:val="nil"/>
              <w:bottom w:val="single" w:color="auto" w:sz="4" w:space="0"/>
              <w:right w:val="single" w:color="auto" w:sz="4" w:space="0"/>
            </w:tcBorders>
            <w:vAlign w:val="center"/>
          </w:tcPr>
          <w:p w14:paraId="01E7B552">
            <w:pPr>
              <w:widowControl/>
              <w:rPr>
                <w:rFonts w:hint="eastAsia" w:ascii="宋体" w:hAnsi="宋体" w:eastAsia="宋体" w:cs="Times New Roman"/>
                <w:kern w:val="0"/>
                <w:sz w:val="24"/>
                <w:szCs w:val="24"/>
              </w:rPr>
            </w:pPr>
          </w:p>
        </w:tc>
        <w:tc>
          <w:tcPr>
            <w:tcW w:w="791" w:type="dxa"/>
            <w:gridSpan w:val="2"/>
            <w:tcBorders>
              <w:top w:val="single" w:color="auto" w:sz="8" w:space="0"/>
              <w:left w:val="nil"/>
              <w:bottom w:val="single" w:color="auto" w:sz="4" w:space="0"/>
              <w:right w:val="single" w:color="auto" w:sz="4" w:space="0"/>
            </w:tcBorders>
            <w:vAlign w:val="center"/>
          </w:tcPr>
          <w:p w14:paraId="1A7F062E">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服务项目</w:t>
            </w:r>
          </w:p>
        </w:tc>
        <w:tc>
          <w:tcPr>
            <w:tcW w:w="4732" w:type="dxa"/>
            <w:gridSpan w:val="2"/>
            <w:tcBorders>
              <w:top w:val="single" w:color="auto" w:sz="8" w:space="0"/>
              <w:left w:val="nil"/>
              <w:bottom w:val="single" w:color="auto" w:sz="4" w:space="0"/>
              <w:right w:val="single" w:color="000000" w:sz="8" w:space="0"/>
            </w:tcBorders>
            <w:vAlign w:val="center"/>
          </w:tcPr>
          <w:p w14:paraId="3E771315">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　</w:t>
            </w:r>
          </w:p>
        </w:tc>
      </w:tr>
      <w:tr w14:paraId="6F1045D6">
        <w:tblPrEx>
          <w:tblCellMar>
            <w:top w:w="0" w:type="dxa"/>
            <w:left w:w="108" w:type="dxa"/>
            <w:bottom w:w="0" w:type="dxa"/>
            <w:right w:w="108" w:type="dxa"/>
          </w:tblCellMar>
        </w:tblPrEx>
        <w:trPr>
          <w:trHeight w:val="870" w:hRule="atLeast"/>
          <w:jc w:val="center"/>
        </w:trPr>
        <w:tc>
          <w:tcPr>
            <w:tcW w:w="612" w:type="dxa"/>
            <w:tcBorders>
              <w:top w:val="nil"/>
              <w:left w:val="single" w:color="auto" w:sz="8" w:space="0"/>
              <w:bottom w:val="single" w:color="auto" w:sz="4" w:space="0"/>
              <w:right w:val="single" w:color="auto" w:sz="4" w:space="0"/>
            </w:tcBorders>
            <w:vAlign w:val="center"/>
          </w:tcPr>
          <w:p w14:paraId="3682D9B9">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评价组织部门</w:t>
            </w:r>
          </w:p>
        </w:tc>
        <w:tc>
          <w:tcPr>
            <w:tcW w:w="839" w:type="dxa"/>
            <w:tcBorders>
              <w:top w:val="nil"/>
              <w:left w:val="nil"/>
              <w:bottom w:val="single" w:color="auto" w:sz="4" w:space="0"/>
              <w:right w:val="single" w:color="auto" w:sz="4" w:space="0"/>
            </w:tcBorders>
            <w:vAlign w:val="center"/>
          </w:tcPr>
          <w:p w14:paraId="304650DF">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一级指标</w:t>
            </w:r>
          </w:p>
        </w:tc>
        <w:tc>
          <w:tcPr>
            <w:tcW w:w="710" w:type="dxa"/>
            <w:tcBorders>
              <w:top w:val="nil"/>
              <w:left w:val="nil"/>
              <w:bottom w:val="single" w:color="auto" w:sz="4" w:space="0"/>
              <w:right w:val="single" w:color="auto" w:sz="4" w:space="0"/>
            </w:tcBorders>
            <w:vAlign w:val="center"/>
          </w:tcPr>
          <w:p w14:paraId="3BBF7756">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权重</w:t>
            </w:r>
          </w:p>
        </w:tc>
        <w:tc>
          <w:tcPr>
            <w:tcW w:w="932" w:type="dxa"/>
            <w:tcBorders>
              <w:top w:val="nil"/>
              <w:left w:val="nil"/>
              <w:bottom w:val="single" w:color="auto" w:sz="4" w:space="0"/>
              <w:right w:val="single" w:color="auto" w:sz="4" w:space="0"/>
            </w:tcBorders>
            <w:vAlign w:val="center"/>
          </w:tcPr>
          <w:p w14:paraId="600CCA5B">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二级指标</w:t>
            </w:r>
          </w:p>
        </w:tc>
        <w:tc>
          <w:tcPr>
            <w:tcW w:w="791" w:type="dxa"/>
            <w:gridSpan w:val="2"/>
            <w:tcBorders>
              <w:top w:val="nil"/>
              <w:left w:val="nil"/>
              <w:bottom w:val="single" w:color="auto" w:sz="4" w:space="0"/>
              <w:right w:val="single" w:color="auto" w:sz="4" w:space="0"/>
            </w:tcBorders>
            <w:vAlign w:val="center"/>
          </w:tcPr>
          <w:p w14:paraId="398FA763">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分值</w:t>
            </w:r>
          </w:p>
        </w:tc>
        <w:tc>
          <w:tcPr>
            <w:tcW w:w="3860" w:type="dxa"/>
            <w:tcBorders>
              <w:top w:val="nil"/>
              <w:left w:val="nil"/>
              <w:bottom w:val="single" w:color="auto" w:sz="4" w:space="0"/>
              <w:right w:val="single" w:color="auto" w:sz="4" w:space="0"/>
            </w:tcBorders>
            <w:vAlign w:val="center"/>
          </w:tcPr>
          <w:p w14:paraId="2FD4C1FF">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评价标准</w:t>
            </w:r>
          </w:p>
        </w:tc>
        <w:tc>
          <w:tcPr>
            <w:tcW w:w="872" w:type="dxa"/>
            <w:tcBorders>
              <w:top w:val="nil"/>
              <w:left w:val="nil"/>
              <w:bottom w:val="single" w:color="auto" w:sz="4" w:space="0"/>
              <w:right w:val="single" w:color="auto" w:sz="8" w:space="0"/>
            </w:tcBorders>
            <w:vAlign w:val="center"/>
          </w:tcPr>
          <w:p w14:paraId="6D44F4C2">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得分</w:t>
            </w:r>
          </w:p>
        </w:tc>
      </w:tr>
      <w:tr w14:paraId="250D33AC">
        <w:tblPrEx>
          <w:tblCellMar>
            <w:top w:w="0" w:type="dxa"/>
            <w:left w:w="108" w:type="dxa"/>
            <w:bottom w:w="0" w:type="dxa"/>
            <w:right w:w="108" w:type="dxa"/>
          </w:tblCellMar>
        </w:tblPrEx>
        <w:trPr>
          <w:trHeight w:val="1290" w:hRule="atLeast"/>
          <w:jc w:val="center"/>
        </w:trPr>
        <w:tc>
          <w:tcPr>
            <w:tcW w:w="612" w:type="dxa"/>
            <w:vMerge w:val="restart"/>
            <w:tcBorders>
              <w:top w:val="nil"/>
              <w:left w:val="single" w:color="auto" w:sz="4" w:space="0"/>
              <w:bottom w:val="single" w:color="auto" w:sz="4" w:space="0"/>
              <w:right w:val="single" w:color="auto" w:sz="4" w:space="0"/>
            </w:tcBorders>
            <w:vAlign w:val="center"/>
          </w:tcPr>
          <w:p w14:paraId="4E0F4746">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业务部门</w:t>
            </w:r>
          </w:p>
        </w:tc>
        <w:tc>
          <w:tcPr>
            <w:tcW w:w="839" w:type="dxa"/>
            <w:vMerge w:val="restart"/>
            <w:tcBorders>
              <w:top w:val="nil"/>
              <w:left w:val="nil"/>
              <w:bottom w:val="nil"/>
              <w:right w:val="single" w:color="auto" w:sz="4" w:space="0"/>
            </w:tcBorders>
            <w:vAlign w:val="center"/>
          </w:tcPr>
          <w:p w14:paraId="2F9F827D">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项目计划阶段</w:t>
            </w:r>
          </w:p>
        </w:tc>
        <w:tc>
          <w:tcPr>
            <w:tcW w:w="710" w:type="dxa"/>
            <w:vMerge w:val="restart"/>
            <w:tcBorders>
              <w:top w:val="nil"/>
              <w:left w:val="nil"/>
              <w:bottom w:val="nil"/>
              <w:right w:val="single" w:color="auto" w:sz="4" w:space="0"/>
            </w:tcBorders>
            <w:vAlign w:val="center"/>
          </w:tcPr>
          <w:p w14:paraId="3A78EFD4">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20%</w:t>
            </w:r>
          </w:p>
        </w:tc>
        <w:tc>
          <w:tcPr>
            <w:tcW w:w="932" w:type="dxa"/>
            <w:tcBorders>
              <w:top w:val="nil"/>
              <w:left w:val="nil"/>
              <w:bottom w:val="single" w:color="auto" w:sz="4" w:space="0"/>
              <w:right w:val="single" w:color="auto" w:sz="4" w:space="0"/>
            </w:tcBorders>
            <w:vAlign w:val="center"/>
          </w:tcPr>
          <w:p w14:paraId="0A4E3B7C">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人员配备</w:t>
            </w:r>
          </w:p>
        </w:tc>
        <w:tc>
          <w:tcPr>
            <w:tcW w:w="791" w:type="dxa"/>
            <w:gridSpan w:val="2"/>
            <w:tcBorders>
              <w:top w:val="nil"/>
              <w:left w:val="nil"/>
              <w:bottom w:val="single" w:color="auto" w:sz="4" w:space="0"/>
              <w:right w:val="single" w:color="auto" w:sz="4" w:space="0"/>
            </w:tcBorders>
            <w:vAlign w:val="center"/>
          </w:tcPr>
          <w:p w14:paraId="28CCF7FE">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10</w:t>
            </w:r>
          </w:p>
        </w:tc>
        <w:tc>
          <w:tcPr>
            <w:tcW w:w="3860" w:type="dxa"/>
            <w:tcBorders>
              <w:top w:val="nil"/>
              <w:left w:val="nil"/>
              <w:bottom w:val="single" w:color="auto" w:sz="4" w:space="0"/>
              <w:right w:val="single" w:color="auto" w:sz="4" w:space="0"/>
            </w:tcBorders>
            <w:vAlign w:val="center"/>
          </w:tcPr>
          <w:p w14:paraId="40E7CA7B">
            <w:pPr>
              <w:widowControl/>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基准分8分。项目负责人一级造价工程师注册证书的连续注册时间超过10年者加1分，执业年限超过5年者加0.5分；组员均具备对应专业执业资格且中级以上职称的得1分；如人员不固定，更换频繁的，扣5分。</w:t>
            </w:r>
          </w:p>
        </w:tc>
        <w:tc>
          <w:tcPr>
            <w:tcW w:w="872" w:type="dxa"/>
            <w:tcBorders>
              <w:top w:val="nil"/>
              <w:left w:val="nil"/>
              <w:bottom w:val="single" w:color="auto" w:sz="4" w:space="0"/>
              <w:right w:val="single" w:color="auto" w:sz="8" w:space="0"/>
            </w:tcBorders>
            <w:vAlign w:val="center"/>
          </w:tcPr>
          <w:p w14:paraId="4F9E05A0">
            <w:pPr>
              <w:widowControl/>
              <w:jc w:val="center"/>
              <w:rPr>
                <w:rFonts w:hint="eastAsia" w:ascii="宋体" w:hAnsi="宋体" w:eastAsia="宋体" w:cs="Times New Roman"/>
                <w:kern w:val="0"/>
                <w:sz w:val="24"/>
                <w:szCs w:val="24"/>
              </w:rPr>
            </w:pPr>
          </w:p>
        </w:tc>
      </w:tr>
      <w:tr w14:paraId="0CE94E8D">
        <w:tblPrEx>
          <w:tblCellMar>
            <w:top w:w="0" w:type="dxa"/>
            <w:left w:w="108" w:type="dxa"/>
            <w:bottom w:w="0" w:type="dxa"/>
            <w:right w:w="108" w:type="dxa"/>
          </w:tblCellMar>
        </w:tblPrEx>
        <w:trPr>
          <w:trHeight w:val="705"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007DFB6F">
            <w:pPr>
              <w:widowControl/>
              <w:jc w:val="left"/>
              <w:rPr>
                <w:rFonts w:ascii="宋体" w:hAnsi="宋体" w:eastAsia="宋体" w:cs="Times New Roman"/>
                <w:kern w:val="0"/>
                <w:sz w:val="24"/>
                <w:szCs w:val="24"/>
              </w:rPr>
            </w:pPr>
          </w:p>
        </w:tc>
        <w:tc>
          <w:tcPr>
            <w:tcW w:w="300" w:type="dxa"/>
            <w:vMerge w:val="continue"/>
            <w:tcBorders>
              <w:top w:val="nil"/>
              <w:left w:val="nil"/>
              <w:bottom w:val="nil"/>
              <w:right w:val="single" w:color="auto" w:sz="4" w:space="0"/>
            </w:tcBorders>
            <w:vAlign w:val="center"/>
          </w:tcPr>
          <w:p w14:paraId="69359DEF">
            <w:pPr>
              <w:widowControl/>
              <w:jc w:val="left"/>
              <w:rPr>
                <w:rFonts w:ascii="宋体" w:hAnsi="宋体" w:eastAsia="宋体" w:cs="Times New Roman"/>
                <w:kern w:val="0"/>
                <w:sz w:val="24"/>
                <w:szCs w:val="24"/>
              </w:rPr>
            </w:pPr>
          </w:p>
        </w:tc>
        <w:tc>
          <w:tcPr>
            <w:tcW w:w="600" w:type="dxa"/>
            <w:vMerge w:val="continue"/>
            <w:tcBorders>
              <w:top w:val="nil"/>
              <w:left w:val="nil"/>
              <w:bottom w:val="nil"/>
              <w:right w:val="single" w:color="auto" w:sz="4" w:space="0"/>
            </w:tcBorders>
            <w:vAlign w:val="center"/>
          </w:tcPr>
          <w:p w14:paraId="5C208B7A">
            <w:pPr>
              <w:widowControl/>
              <w:jc w:val="left"/>
              <w:rPr>
                <w:rFonts w:ascii="宋体" w:hAnsi="宋体" w:eastAsia="宋体" w:cs="Times New Roman"/>
                <w:kern w:val="0"/>
                <w:sz w:val="24"/>
                <w:szCs w:val="24"/>
              </w:rPr>
            </w:pPr>
          </w:p>
        </w:tc>
        <w:tc>
          <w:tcPr>
            <w:tcW w:w="932" w:type="dxa"/>
            <w:tcBorders>
              <w:top w:val="nil"/>
              <w:left w:val="nil"/>
              <w:bottom w:val="single" w:color="auto" w:sz="4" w:space="0"/>
              <w:right w:val="single" w:color="auto" w:sz="4" w:space="0"/>
            </w:tcBorders>
            <w:vAlign w:val="center"/>
          </w:tcPr>
          <w:p w14:paraId="11A2E0DF">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工作方案</w:t>
            </w:r>
          </w:p>
        </w:tc>
        <w:tc>
          <w:tcPr>
            <w:tcW w:w="791" w:type="dxa"/>
            <w:gridSpan w:val="2"/>
            <w:tcBorders>
              <w:top w:val="nil"/>
              <w:left w:val="nil"/>
              <w:bottom w:val="single" w:color="auto" w:sz="4" w:space="0"/>
              <w:right w:val="single" w:color="auto" w:sz="4" w:space="0"/>
            </w:tcBorders>
            <w:vAlign w:val="center"/>
          </w:tcPr>
          <w:p w14:paraId="58CFD075">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10</w:t>
            </w:r>
          </w:p>
        </w:tc>
        <w:tc>
          <w:tcPr>
            <w:tcW w:w="3860" w:type="dxa"/>
            <w:tcBorders>
              <w:top w:val="nil"/>
              <w:left w:val="nil"/>
              <w:bottom w:val="single" w:color="auto" w:sz="4" w:space="0"/>
              <w:right w:val="single" w:color="auto" w:sz="4" w:space="0"/>
            </w:tcBorders>
            <w:vAlign w:val="center"/>
          </w:tcPr>
          <w:p w14:paraId="15B23BF9">
            <w:pPr>
              <w:widowControl/>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基准分10分。视计划详略得当程度以及人员时间安排的合理性评定。</w:t>
            </w:r>
          </w:p>
        </w:tc>
        <w:tc>
          <w:tcPr>
            <w:tcW w:w="872" w:type="dxa"/>
            <w:tcBorders>
              <w:top w:val="nil"/>
              <w:left w:val="nil"/>
              <w:bottom w:val="single" w:color="auto" w:sz="4" w:space="0"/>
              <w:right w:val="single" w:color="auto" w:sz="8" w:space="0"/>
            </w:tcBorders>
            <w:vAlign w:val="center"/>
          </w:tcPr>
          <w:p w14:paraId="70D37557">
            <w:pPr>
              <w:widowControl/>
              <w:jc w:val="center"/>
              <w:rPr>
                <w:rFonts w:hint="eastAsia" w:ascii="宋体" w:hAnsi="宋体" w:eastAsia="宋体" w:cs="Times New Roman"/>
                <w:kern w:val="0"/>
                <w:sz w:val="24"/>
                <w:szCs w:val="24"/>
              </w:rPr>
            </w:pPr>
          </w:p>
        </w:tc>
      </w:tr>
      <w:tr w14:paraId="0FA0AC2F">
        <w:tblPrEx>
          <w:tblCellMar>
            <w:top w:w="0" w:type="dxa"/>
            <w:left w:w="108" w:type="dxa"/>
            <w:bottom w:w="0" w:type="dxa"/>
            <w:right w:w="108" w:type="dxa"/>
          </w:tblCellMar>
        </w:tblPrEx>
        <w:trPr>
          <w:trHeight w:val="645"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7B5BEEBC">
            <w:pPr>
              <w:widowControl/>
              <w:jc w:val="left"/>
              <w:rPr>
                <w:rFonts w:ascii="宋体" w:hAnsi="宋体" w:eastAsia="宋体" w:cs="Times New Roman"/>
                <w:kern w:val="0"/>
                <w:sz w:val="24"/>
                <w:szCs w:val="24"/>
              </w:rPr>
            </w:pPr>
          </w:p>
        </w:tc>
        <w:tc>
          <w:tcPr>
            <w:tcW w:w="839" w:type="dxa"/>
            <w:vMerge w:val="restart"/>
            <w:tcBorders>
              <w:top w:val="single" w:color="auto" w:sz="4" w:space="0"/>
              <w:left w:val="nil"/>
              <w:bottom w:val="single" w:color="000000" w:sz="4" w:space="0"/>
              <w:right w:val="single" w:color="auto" w:sz="4" w:space="0"/>
            </w:tcBorders>
            <w:vAlign w:val="center"/>
          </w:tcPr>
          <w:p w14:paraId="508CE35F">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项目实施阶段</w:t>
            </w:r>
          </w:p>
        </w:tc>
        <w:tc>
          <w:tcPr>
            <w:tcW w:w="710" w:type="dxa"/>
            <w:vMerge w:val="restart"/>
            <w:tcBorders>
              <w:top w:val="single" w:color="auto" w:sz="4" w:space="0"/>
              <w:left w:val="nil"/>
              <w:bottom w:val="single" w:color="000000" w:sz="4" w:space="0"/>
              <w:right w:val="single" w:color="auto" w:sz="4" w:space="0"/>
            </w:tcBorders>
            <w:vAlign w:val="center"/>
          </w:tcPr>
          <w:p w14:paraId="2B21E57B">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45%</w:t>
            </w:r>
          </w:p>
        </w:tc>
        <w:tc>
          <w:tcPr>
            <w:tcW w:w="932" w:type="dxa"/>
            <w:tcBorders>
              <w:top w:val="nil"/>
              <w:left w:val="nil"/>
              <w:bottom w:val="single" w:color="auto" w:sz="4" w:space="0"/>
              <w:right w:val="single" w:color="auto" w:sz="4" w:space="0"/>
            </w:tcBorders>
            <w:vAlign w:val="center"/>
          </w:tcPr>
          <w:p w14:paraId="7F908F9C">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配合程度</w:t>
            </w:r>
          </w:p>
        </w:tc>
        <w:tc>
          <w:tcPr>
            <w:tcW w:w="791" w:type="dxa"/>
            <w:gridSpan w:val="2"/>
            <w:tcBorders>
              <w:top w:val="nil"/>
              <w:left w:val="nil"/>
              <w:bottom w:val="single" w:color="auto" w:sz="4" w:space="0"/>
              <w:right w:val="single" w:color="auto" w:sz="4" w:space="0"/>
            </w:tcBorders>
            <w:vAlign w:val="center"/>
          </w:tcPr>
          <w:p w14:paraId="4A49701E">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10</w:t>
            </w:r>
          </w:p>
        </w:tc>
        <w:tc>
          <w:tcPr>
            <w:tcW w:w="3860" w:type="dxa"/>
            <w:tcBorders>
              <w:top w:val="nil"/>
              <w:left w:val="nil"/>
              <w:bottom w:val="single" w:color="auto" w:sz="4" w:space="0"/>
              <w:right w:val="single" w:color="auto" w:sz="4" w:space="0"/>
            </w:tcBorders>
            <w:vAlign w:val="center"/>
          </w:tcPr>
          <w:p w14:paraId="16A4B06E">
            <w:pPr>
              <w:widowControl/>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基准分8分。视协调工作落实程度加1分，视每周工作汇报情况及时程度加1分。</w:t>
            </w:r>
          </w:p>
        </w:tc>
        <w:tc>
          <w:tcPr>
            <w:tcW w:w="872" w:type="dxa"/>
            <w:tcBorders>
              <w:top w:val="nil"/>
              <w:left w:val="nil"/>
              <w:bottom w:val="single" w:color="auto" w:sz="4" w:space="0"/>
              <w:right w:val="single" w:color="auto" w:sz="8" w:space="0"/>
            </w:tcBorders>
            <w:vAlign w:val="center"/>
          </w:tcPr>
          <w:p w14:paraId="2E47A769">
            <w:pPr>
              <w:widowControl/>
              <w:jc w:val="center"/>
              <w:rPr>
                <w:rFonts w:hint="eastAsia" w:ascii="宋体" w:hAnsi="宋体" w:eastAsia="宋体" w:cs="Times New Roman"/>
                <w:kern w:val="0"/>
                <w:sz w:val="24"/>
                <w:szCs w:val="24"/>
              </w:rPr>
            </w:pPr>
          </w:p>
        </w:tc>
      </w:tr>
      <w:tr w14:paraId="66DB3495">
        <w:tblPrEx>
          <w:tblCellMar>
            <w:top w:w="0" w:type="dxa"/>
            <w:left w:w="108" w:type="dxa"/>
            <w:bottom w:w="0" w:type="dxa"/>
            <w:right w:w="108" w:type="dxa"/>
          </w:tblCellMar>
        </w:tblPrEx>
        <w:trPr>
          <w:trHeight w:val="750"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473B198D">
            <w:pPr>
              <w:widowControl/>
              <w:jc w:val="left"/>
              <w:rPr>
                <w:rFonts w:ascii="宋体" w:hAnsi="宋体" w:eastAsia="宋体" w:cs="Times New Roman"/>
                <w:kern w:val="0"/>
                <w:sz w:val="24"/>
                <w:szCs w:val="24"/>
              </w:rPr>
            </w:pPr>
          </w:p>
        </w:tc>
        <w:tc>
          <w:tcPr>
            <w:tcW w:w="300" w:type="dxa"/>
            <w:vMerge w:val="continue"/>
            <w:tcBorders>
              <w:top w:val="single" w:color="auto" w:sz="4" w:space="0"/>
              <w:left w:val="nil"/>
              <w:bottom w:val="single" w:color="000000" w:sz="4" w:space="0"/>
              <w:right w:val="single" w:color="auto" w:sz="4" w:space="0"/>
            </w:tcBorders>
            <w:vAlign w:val="center"/>
          </w:tcPr>
          <w:p w14:paraId="461DD2DA">
            <w:pPr>
              <w:widowControl/>
              <w:jc w:val="left"/>
              <w:rPr>
                <w:rFonts w:ascii="宋体" w:hAnsi="宋体" w:eastAsia="宋体" w:cs="Times New Roman"/>
                <w:kern w:val="0"/>
                <w:sz w:val="24"/>
                <w:szCs w:val="24"/>
              </w:rPr>
            </w:pPr>
          </w:p>
        </w:tc>
        <w:tc>
          <w:tcPr>
            <w:tcW w:w="600" w:type="dxa"/>
            <w:vMerge w:val="continue"/>
            <w:tcBorders>
              <w:top w:val="single" w:color="auto" w:sz="4" w:space="0"/>
              <w:left w:val="nil"/>
              <w:bottom w:val="single" w:color="000000" w:sz="4" w:space="0"/>
              <w:right w:val="single" w:color="auto" w:sz="4" w:space="0"/>
            </w:tcBorders>
            <w:vAlign w:val="center"/>
          </w:tcPr>
          <w:p w14:paraId="7DA9331D">
            <w:pPr>
              <w:widowControl/>
              <w:jc w:val="left"/>
              <w:rPr>
                <w:rFonts w:ascii="宋体" w:hAnsi="宋体" w:eastAsia="宋体" w:cs="Times New Roman"/>
                <w:kern w:val="0"/>
                <w:sz w:val="24"/>
                <w:szCs w:val="24"/>
              </w:rPr>
            </w:pPr>
          </w:p>
        </w:tc>
        <w:tc>
          <w:tcPr>
            <w:tcW w:w="932" w:type="dxa"/>
            <w:tcBorders>
              <w:top w:val="nil"/>
              <w:left w:val="nil"/>
              <w:bottom w:val="single" w:color="auto" w:sz="4" w:space="0"/>
              <w:right w:val="single" w:color="auto" w:sz="4" w:space="0"/>
            </w:tcBorders>
            <w:vAlign w:val="center"/>
          </w:tcPr>
          <w:p w14:paraId="374413C0">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沟通程度</w:t>
            </w:r>
          </w:p>
        </w:tc>
        <w:tc>
          <w:tcPr>
            <w:tcW w:w="791" w:type="dxa"/>
            <w:gridSpan w:val="2"/>
            <w:tcBorders>
              <w:top w:val="nil"/>
              <w:left w:val="nil"/>
              <w:bottom w:val="single" w:color="auto" w:sz="4" w:space="0"/>
              <w:right w:val="single" w:color="auto" w:sz="4" w:space="0"/>
            </w:tcBorders>
            <w:vAlign w:val="center"/>
          </w:tcPr>
          <w:p w14:paraId="43FBFB12">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10</w:t>
            </w:r>
          </w:p>
        </w:tc>
        <w:tc>
          <w:tcPr>
            <w:tcW w:w="3860" w:type="dxa"/>
            <w:tcBorders>
              <w:top w:val="nil"/>
              <w:left w:val="nil"/>
              <w:bottom w:val="single" w:color="auto" w:sz="4" w:space="0"/>
              <w:right w:val="single" w:color="auto" w:sz="4" w:space="0"/>
            </w:tcBorders>
            <w:vAlign w:val="center"/>
          </w:tcPr>
          <w:p w14:paraId="67BC0E53">
            <w:pPr>
              <w:widowControl/>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基准分10分。视沟通主动性、及时性及信息传达的清晰度评定。</w:t>
            </w:r>
          </w:p>
        </w:tc>
        <w:tc>
          <w:tcPr>
            <w:tcW w:w="872" w:type="dxa"/>
            <w:tcBorders>
              <w:top w:val="nil"/>
              <w:left w:val="nil"/>
              <w:bottom w:val="single" w:color="auto" w:sz="4" w:space="0"/>
              <w:right w:val="single" w:color="auto" w:sz="8" w:space="0"/>
            </w:tcBorders>
            <w:vAlign w:val="center"/>
          </w:tcPr>
          <w:p w14:paraId="665B8A89">
            <w:pPr>
              <w:widowControl/>
              <w:jc w:val="center"/>
              <w:rPr>
                <w:rFonts w:hint="eastAsia" w:ascii="宋体" w:hAnsi="宋体" w:eastAsia="宋体" w:cs="Times New Roman"/>
                <w:kern w:val="0"/>
                <w:sz w:val="24"/>
                <w:szCs w:val="24"/>
              </w:rPr>
            </w:pPr>
          </w:p>
        </w:tc>
      </w:tr>
      <w:tr w14:paraId="43C95E5E">
        <w:tblPrEx>
          <w:tblCellMar>
            <w:top w:w="0" w:type="dxa"/>
            <w:left w:w="108" w:type="dxa"/>
            <w:bottom w:w="0" w:type="dxa"/>
            <w:right w:w="108" w:type="dxa"/>
          </w:tblCellMar>
        </w:tblPrEx>
        <w:trPr>
          <w:trHeight w:val="720"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35324C8A">
            <w:pPr>
              <w:widowControl/>
              <w:jc w:val="left"/>
              <w:rPr>
                <w:rFonts w:ascii="宋体" w:hAnsi="宋体" w:eastAsia="宋体" w:cs="Times New Roman"/>
                <w:kern w:val="0"/>
                <w:sz w:val="24"/>
                <w:szCs w:val="24"/>
              </w:rPr>
            </w:pPr>
          </w:p>
        </w:tc>
        <w:tc>
          <w:tcPr>
            <w:tcW w:w="300" w:type="dxa"/>
            <w:vMerge w:val="continue"/>
            <w:tcBorders>
              <w:top w:val="single" w:color="auto" w:sz="4" w:space="0"/>
              <w:left w:val="nil"/>
              <w:bottom w:val="single" w:color="000000" w:sz="4" w:space="0"/>
              <w:right w:val="single" w:color="auto" w:sz="4" w:space="0"/>
            </w:tcBorders>
            <w:vAlign w:val="center"/>
          </w:tcPr>
          <w:p w14:paraId="587543FE">
            <w:pPr>
              <w:widowControl/>
              <w:jc w:val="left"/>
              <w:rPr>
                <w:rFonts w:ascii="宋体" w:hAnsi="宋体" w:eastAsia="宋体" w:cs="Times New Roman"/>
                <w:kern w:val="0"/>
                <w:sz w:val="24"/>
                <w:szCs w:val="24"/>
              </w:rPr>
            </w:pPr>
          </w:p>
        </w:tc>
        <w:tc>
          <w:tcPr>
            <w:tcW w:w="600" w:type="dxa"/>
            <w:vMerge w:val="continue"/>
            <w:tcBorders>
              <w:top w:val="single" w:color="auto" w:sz="4" w:space="0"/>
              <w:left w:val="nil"/>
              <w:bottom w:val="single" w:color="000000" w:sz="4" w:space="0"/>
              <w:right w:val="single" w:color="auto" w:sz="4" w:space="0"/>
            </w:tcBorders>
            <w:vAlign w:val="center"/>
          </w:tcPr>
          <w:p w14:paraId="185CCC95">
            <w:pPr>
              <w:widowControl/>
              <w:jc w:val="left"/>
              <w:rPr>
                <w:rFonts w:ascii="宋体" w:hAnsi="宋体" w:eastAsia="宋体" w:cs="Times New Roman"/>
                <w:kern w:val="0"/>
                <w:sz w:val="24"/>
                <w:szCs w:val="24"/>
              </w:rPr>
            </w:pPr>
          </w:p>
        </w:tc>
        <w:tc>
          <w:tcPr>
            <w:tcW w:w="932" w:type="dxa"/>
            <w:tcBorders>
              <w:top w:val="nil"/>
              <w:left w:val="nil"/>
              <w:bottom w:val="single" w:color="auto" w:sz="4" w:space="0"/>
              <w:right w:val="single" w:color="auto" w:sz="4" w:space="0"/>
            </w:tcBorders>
            <w:vAlign w:val="center"/>
          </w:tcPr>
          <w:p w14:paraId="17EDE6C6">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承诺兑现程度</w:t>
            </w:r>
          </w:p>
        </w:tc>
        <w:tc>
          <w:tcPr>
            <w:tcW w:w="791" w:type="dxa"/>
            <w:gridSpan w:val="2"/>
            <w:tcBorders>
              <w:top w:val="nil"/>
              <w:left w:val="nil"/>
              <w:bottom w:val="single" w:color="auto" w:sz="4" w:space="0"/>
              <w:right w:val="single" w:color="auto" w:sz="4" w:space="0"/>
            </w:tcBorders>
            <w:vAlign w:val="center"/>
          </w:tcPr>
          <w:p w14:paraId="1DAE1746">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15</w:t>
            </w:r>
          </w:p>
        </w:tc>
        <w:tc>
          <w:tcPr>
            <w:tcW w:w="3860" w:type="dxa"/>
            <w:tcBorders>
              <w:top w:val="nil"/>
              <w:left w:val="nil"/>
              <w:bottom w:val="single" w:color="auto" w:sz="4" w:space="0"/>
              <w:right w:val="single" w:color="auto" w:sz="4" w:space="0"/>
            </w:tcBorders>
            <w:vAlign w:val="center"/>
          </w:tcPr>
          <w:p w14:paraId="5F4353D0">
            <w:pPr>
              <w:widowControl/>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基准分15分。视对采购合同中的要求及采购时承诺的兑现程度评定。</w:t>
            </w:r>
          </w:p>
        </w:tc>
        <w:tc>
          <w:tcPr>
            <w:tcW w:w="872" w:type="dxa"/>
            <w:tcBorders>
              <w:top w:val="nil"/>
              <w:left w:val="nil"/>
              <w:bottom w:val="single" w:color="auto" w:sz="4" w:space="0"/>
              <w:right w:val="single" w:color="auto" w:sz="8" w:space="0"/>
            </w:tcBorders>
            <w:vAlign w:val="center"/>
          </w:tcPr>
          <w:p w14:paraId="34BAAA88">
            <w:pPr>
              <w:widowControl/>
              <w:jc w:val="center"/>
              <w:rPr>
                <w:rFonts w:hint="eastAsia" w:ascii="宋体" w:hAnsi="宋体" w:eastAsia="宋体" w:cs="Times New Roman"/>
                <w:kern w:val="0"/>
                <w:sz w:val="24"/>
                <w:szCs w:val="24"/>
              </w:rPr>
            </w:pPr>
          </w:p>
        </w:tc>
      </w:tr>
      <w:tr w14:paraId="110B1E68">
        <w:tblPrEx>
          <w:tblCellMar>
            <w:top w:w="0" w:type="dxa"/>
            <w:left w:w="108" w:type="dxa"/>
            <w:bottom w:w="0" w:type="dxa"/>
            <w:right w:w="108" w:type="dxa"/>
          </w:tblCellMar>
        </w:tblPrEx>
        <w:trPr>
          <w:trHeight w:val="1005"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1A87CF71">
            <w:pPr>
              <w:widowControl/>
              <w:jc w:val="left"/>
              <w:rPr>
                <w:rFonts w:ascii="宋体" w:hAnsi="宋体" w:eastAsia="宋体" w:cs="Times New Roman"/>
                <w:kern w:val="0"/>
                <w:sz w:val="24"/>
                <w:szCs w:val="24"/>
              </w:rPr>
            </w:pPr>
          </w:p>
        </w:tc>
        <w:tc>
          <w:tcPr>
            <w:tcW w:w="300" w:type="dxa"/>
            <w:vMerge w:val="continue"/>
            <w:tcBorders>
              <w:top w:val="single" w:color="auto" w:sz="4" w:space="0"/>
              <w:left w:val="nil"/>
              <w:bottom w:val="single" w:color="000000" w:sz="4" w:space="0"/>
              <w:right w:val="single" w:color="auto" w:sz="4" w:space="0"/>
            </w:tcBorders>
            <w:vAlign w:val="center"/>
          </w:tcPr>
          <w:p w14:paraId="6954E3B5">
            <w:pPr>
              <w:widowControl/>
              <w:jc w:val="left"/>
              <w:rPr>
                <w:rFonts w:ascii="宋体" w:hAnsi="宋体" w:eastAsia="宋体" w:cs="Times New Roman"/>
                <w:kern w:val="0"/>
                <w:sz w:val="24"/>
                <w:szCs w:val="24"/>
              </w:rPr>
            </w:pPr>
          </w:p>
        </w:tc>
        <w:tc>
          <w:tcPr>
            <w:tcW w:w="600" w:type="dxa"/>
            <w:vMerge w:val="continue"/>
            <w:tcBorders>
              <w:top w:val="single" w:color="auto" w:sz="4" w:space="0"/>
              <w:left w:val="nil"/>
              <w:bottom w:val="single" w:color="000000" w:sz="4" w:space="0"/>
              <w:right w:val="single" w:color="auto" w:sz="4" w:space="0"/>
            </w:tcBorders>
            <w:vAlign w:val="center"/>
          </w:tcPr>
          <w:p w14:paraId="285D1BF7">
            <w:pPr>
              <w:widowControl/>
              <w:jc w:val="left"/>
              <w:rPr>
                <w:rFonts w:ascii="宋体" w:hAnsi="宋体" w:eastAsia="宋体" w:cs="Times New Roman"/>
                <w:kern w:val="0"/>
                <w:sz w:val="24"/>
                <w:szCs w:val="24"/>
              </w:rPr>
            </w:pPr>
          </w:p>
        </w:tc>
        <w:tc>
          <w:tcPr>
            <w:tcW w:w="932" w:type="dxa"/>
            <w:tcBorders>
              <w:top w:val="nil"/>
              <w:left w:val="nil"/>
              <w:bottom w:val="single" w:color="auto" w:sz="4" w:space="0"/>
              <w:right w:val="single" w:color="auto" w:sz="4" w:space="0"/>
            </w:tcBorders>
            <w:vAlign w:val="center"/>
          </w:tcPr>
          <w:p w14:paraId="0FB15E6D">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工作底稿</w:t>
            </w:r>
          </w:p>
        </w:tc>
        <w:tc>
          <w:tcPr>
            <w:tcW w:w="791" w:type="dxa"/>
            <w:gridSpan w:val="2"/>
            <w:tcBorders>
              <w:top w:val="nil"/>
              <w:left w:val="nil"/>
              <w:bottom w:val="single" w:color="auto" w:sz="4" w:space="0"/>
              <w:right w:val="single" w:color="auto" w:sz="4" w:space="0"/>
            </w:tcBorders>
            <w:vAlign w:val="center"/>
          </w:tcPr>
          <w:p w14:paraId="1510F0CD">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10</w:t>
            </w:r>
          </w:p>
        </w:tc>
        <w:tc>
          <w:tcPr>
            <w:tcW w:w="3860" w:type="dxa"/>
            <w:tcBorders>
              <w:top w:val="nil"/>
              <w:left w:val="nil"/>
              <w:bottom w:val="single" w:color="auto" w:sz="4" w:space="0"/>
              <w:right w:val="single" w:color="auto" w:sz="4" w:space="0"/>
            </w:tcBorders>
            <w:vAlign w:val="center"/>
          </w:tcPr>
          <w:p w14:paraId="3D1870B8">
            <w:pPr>
              <w:widowControl/>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基准分10分。视工作底稿的规范性、完整性，以及佐证材料的充分性、适当性评定。 </w:t>
            </w:r>
          </w:p>
        </w:tc>
        <w:tc>
          <w:tcPr>
            <w:tcW w:w="872" w:type="dxa"/>
            <w:tcBorders>
              <w:top w:val="nil"/>
              <w:left w:val="nil"/>
              <w:bottom w:val="single" w:color="auto" w:sz="4" w:space="0"/>
              <w:right w:val="single" w:color="auto" w:sz="8" w:space="0"/>
            </w:tcBorders>
            <w:vAlign w:val="center"/>
          </w:tcPr>
          <w:p w14:paraId="345D12C0">
            <w:pPr>
              <w:widowControl/>
              <w:jc w:val="center"/>
              <w:rPr>
                <w:rFonts w:hint="eastAsia" w:ascii="宋体" w:hAnsi="宋体" w:eastAsia="宋体" w:cs="Times New Roman"/>
                <w:kern w:val="0"/>
                <w:sz w:val="24"/>
                <w:szCs w:val="24"/>
              </w:rPr>
            </w:pPr>
          </w:p>
        </w:tc>
      </w:tr>
      <w:tr w14:paraId="4263A32D">
        <w:tblPrEx>
          <w:tblCellMar>
            <w:top w:w="0" w:type="dxa"/>
            <w:left w:w="108" w:type="dxa"/>
            <w:bottom w:w="0" w:type="dxa"/>
            <w:right w:w="108" w:type="dxa"/>
          </w:tblCellMar>
        </w:tblPrEx>
        <w:trPr>
          <w:trHeight w:val="975"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511EA400">
            <w:pPr>
              <w:widowControl/>
              <w:jc w:val="left"/>
              <w:rPr>
                <w:rFonts w:ascii="宋体" w:hAnsi="宋体" w:eastAsia="宋体" w:cs="Times New Roman"/>
                <w:kern w:val="0"/>
                <w:sz w:val="24"/>
                <w:szCs w:val="24"/>
              </w:rPr>
            </w:pPr>
          </w:p>
        </w:tc>
        <w:tc>
          <w:tcPr>
            <w:tcW w:w="839" w:type="dxa"/>
            <w:vMerge w:val="restart"/>
            <w:tcBorders>
              <w:top w:val="nil"/>
              <w:left w:val="nil"/>
              <w:bottom w:val="single" w:color="auto" w:sz="4" w:space="0"/>
              <w:right w:val="single" w:color="auto" w:sz="4" w:space="0"/>
            </w:tcBorders>
            <w:vAlign w:val="center"/>
          </w:tcPr>
          <w:p w14:paraId="1EAAD837">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项目完成阶段</w:t>
            </w:r>
          </w:p>
        </w:tc>
        <w:tc>
          <w:tcPr>
            <w:tcW w:w="710" w:type="dxa"/>
            <w:vMerge w:val="restart"/>
            <w:tcBorders>
              <w:top w:val="nil"/>
              <w:left w:val="nil"/>
              <w:bottom w:val="single" w:color="auto" w:sz="4" w:space="0"/>
              <w:right w:val="single" w:color="auto" w:sz="4" w:space="0"/>
            </w:tcBorders>
            <w:vAlign w:val="center"/>
          </w:tcPr>
          <w:p w14:paraId="636F401A">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35%</w:t>
            </w:r>
          </w:p>
        </w:tc>
        <w:tc>
          <w:tcPr>
            <w:tcW w:w="932" w:type="dxa"/>
            <w:tcBorders>
              <w:top w:val="nil"/>
              <w:left w:val="nil"/>
              <w:bottom w:val="single" w:color="auto" w:sz="4" w:space="0"/>
              <w:right w:val="single" w:color="auto" w:sz="4" w:space="0"/>
            </w:tcBorders>
            <w:vAlign w:val="center"/>
          </w:tcPr>
          <w:p w14:paraId="4CDEEB6C">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完成及时性</w:t>
            </w:r>
          </w:p>
        </w:tc>
        <w:tc>
          <w:tcPr>
            <w:tcW w:w="791" w:type="dxa"/>
            <w:gridSpan w:val="2"/>
            <w:tcBorders>
              <w:top w:val="nil"/>
              <w:left w:val="nil"/>
              <w:bottom w:val="single" w:color="auto" w:sz="4" w:space="0"/>
              <w:right w:val="single" w:color="auto" w:sz="4" w:space="0"/>
            </w:tcBorders>
            <w:vAlign w:val="center"/>
          </w:tcPr>
          <w:p w14:paraId="010E900C">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10</w:t>
            </w:r>
          </w:p>
        </w:tc>
        <w:tc>
          <w:tcPr>
            <w:tcW w:w="3860" w:type="dxa"/>
            <w:tcBorders>
              <w:top w:val="nil"/>
              <w:left w:val="nil"/>
              <w:bottom w:val="single" w:color="auto" w:sz="4" w:space="0"/>
              <w:right w:val="single" w:color="auto" w:sz="4" w:space="0"/>
            </w:tcBorders>
            <w:vAlign w:val="center"/>
          </w:tcPr>
          <w:p w14:paraId="201F7CA5">
            <w:pPr>
              <w:widowControl/>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按时完成得10分。延迟1-2工作日减1分，延迟3-4个工作日减3分，延迟5-6个工作日减5分延迟7-9个工作日减7分，延迟10个工作日及以上减10分。</w:t>
            </w:r>
          </w:p>
        </w:tc>
        <w:tc>
          <w:tcPr>
            <w:tcW w:w="872" w:type="dxa"/>
            <w:tcBorders>
              <w:top w:val="nil"/>
              <w:left w:val="nil"/>
              <w:bottom w:val="single" w:color="auto" w:sz="4" w:space="0"/>
              <w:right w:val="single" w:color="auto" w:sz="8" w:space="0"/>
            </w:tcBorders>
            <w:vAlign w:val="center"/>
          </w:tcPr>
          <w:p w14:paraId="282F2EF9">
            <w:pPr>
              <w:widowControl/>
              <w:jc w:val="center"/>
              <w:rPr>
                <w:rFonts w:hint="eastAsia" w:ascii="宋体" w:hAnsi="宋体" w:eastAsia="宋体" w:cs="Times New Roman"/>
                <w:kern w:val="0"/>
                <w:sz w:val="24"/>
                <w:szCs w:val="24"/>
              </w:rPr>
            </w:pPr>
          </w:p>
        </w:tc>
      </w:tr>
      <w:tr w14:paraId="1E79A222">
        <w:tblPrEx>
          <w:tblCellMar>
            <w:top w:w="0" w:type="dxa"/>
            <w:left w:w="108" w:type="dxa"/>
            <w:bottom w:w="0" w:type="dxa"/>
            <w:right w:w="108" w:type="dxa"/>
          </w:tblCellMar>
        </w:tblPrEx>
        <w:trPr>
          <w:trHeight w:val="975"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65EE5A78">
            <w:pPr>
              <w:widowControl/>
              <w:jc w:val="left"/>
              <w:rPr>
                <w:rFonts w:ascii="宋体" w:hAnsi="宋体" w:eastAsia="宋体" w:cs="Times New Roman"/>
                <w:kern w:val="0"/>
                <w:sz w:val="24"/>
                <w:szCs w:val="24"/>
              </w:rPr>
            </w:pPr>
          </w:p>
        </w:tc>
        <w:tc>
          <w:tcPr>
            <w:tcW w:w="300" w:type="dxa"/>
            <w:vMerge w:val="continue"/>
            <w:tcBorders>
              <w:top w:val="nil"/>
              <w:left w:val="nil"/>
              <w:bottom w:val="single" w:color="auto" w:sz="4" w:space="0"/>
              <w:right w:val="single" w:color="auto" w:sz="4" w:space="0"/>
            </w:tcBorders>
            <w:vAlign w:val="center"/>
          </w:tcPr>
          <w:p w14:paraId="7F8200C5">
            <w:pPr>
              <w:widowControl/>
              <w:jc w:val="left"/>
              <w:rPr>
                <w:rFonts w:ascii="宋体" w:hAnsi="宋体" w:eastAsia="宋体" w:cs="Times New Roman"/>
                <w:kern w:val="0"/>
                <w:sz w:val="24"/>
                <w:szCs w:val="24"/>
              </w:rPr>
            </w:pPr>
          </w:p>
        </w:tc>
        <w:tc>
          <w:tcPr>
            <w:tcW w:w="600" w:type="dxa"/>
            <w:vMerge w:val="continue"/>
            <w:tcBorders>
              <w:top w:val="nil"/>
              <w:left w:val="nil"/>
              <w:bottom w:val="single" w:color="auto" w:sz="4" w:space="0"/>
              <w:right w:val="single" w:color="auto" w:sz="4" w:space="0"/>
            </w:tcBorders>
            <w:vAlign w:val="center"/>
          </w:tcPr>
          <w:p w14:paraId="207F3A1F">
            <w:pPr>
              <w:widowControl/>
              <w:jc w:val="left"/>
              <w:rPr>
                <w:rFonts w:ascii="宋体" w:hAnsi="宋体" w:eastAsia="宋体" w:cs="Times New Roman"/>
                <w:kern w:val="0"/>
                <w:sz w:val="24"/>
                <w:szCs w:val="24"/>
              </w:rPr>
            </w:pPr>
          </w:p>
        </w:tc>
        <w:tc>
          <w:tcPr>
            <w:tcW w:w="932" w:type="dxa"/>
            <w:tcBorders>
              <w:top w:val="nil"/>
              <w:left w:val="nil"/>
              <w:bottom w:val="single" w:color="auto" w:sz="4" w:space="0"/>
              <w:right w:val="single" w:color="auto" w:sz="4" w:space="0"/>
            </w:tcBorders>
            <w:vAlign w:val="center"/>
          </w:tcPr>
          <w:p w14:paraId="6393A1ED">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报告内容</w:t>
            </w:r>
          </w:p>
        </w:tc>
        <w:tc>
          <w:tcPr>
            <w:tcW w:w="791" w:type="dxa"/>
            <w:gridSpan w:val="2"/>
            <w:tcBorders>
              <w:top w:val="nil"/>
              <w:left w:val="nil"/>
              <w:bottom w:val="single" w:color="auto" w:sz="4" w:space="0"/>
              <w:right w:val="single" w:color="auto" w:sz="4" w:space="0"/>
            </w:tcBorders>
            <w:vAlign w:val="center"/>
          </w:tcPr>
          <w:p w14:paraId="1A50FDDC">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10</w:t>
            </w:r>
          </w:p>
        </w:tc>
        <w:tc>
          <w:tcPr>
            <w:tcW w:w="3860" w:type="dxa"/>
            <w:tcBorders>
              <w:top w:val="nil"/>
              <w:left w:val="nil"/>
              <w:bottom w:val="single" w:color="auto" w:sz="4" w:space="0"/>
              <w:right w:val="single" w:color="auto" w:sz="4" w:space="0"/>
            </w:tcBorders>
            <w:vAlign w:val="center"/>
          </w:tcPr>
          <w:p w14:paraId="53A4A729">
            <w:pPr>
              <w:widowControl/>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基准分10分。报告文字是否清楚、通顺；报告逻辑是否清楚，是否详略得当，是否表达精准。</w:t>
            </w:r>
          </w:p>
        </w:tc>
        <w:tc>
          <w:tcPr>
            <w:tcW w:w="872" w:type="dxa"/>
            <w:tcBorders>
              <w:top w:val="nil"/>
              <w:left w:val="nil"/>
              <w:bottom w:val="single" w:color="auto" w:sz="4" w:space="0"/>
              <w:right w:val="single" w:color="auto" w:sz="8" w:space="0"/>
            </w:tcBorders>
            <w:vAlign w:val="center"/>
          </w:tcPr>
          <w:p w14:paraId="0F070F07">
            <w:pPr>
              <w:widowControl/>
              <w:jc w:val="center"/>
              <w:rPr>
                <w:rFonts w:hint="eastAsia" w:ascii="宋体" w:hAnsi="宋体" w:eastAsia="宋体" w:cs="Times New Roman"/>
                <w:kern w:val="0"/>
                <w:sz w:val="24"/>
                <w:szCs w:val="24"/>
              </w:rPr>
            </w:pPr>
          </w:p>
        </w:tc>
      </w:tr>
      <w:tr w14:paraId="7DC6318F">
        <w:tblPrEx>
          <w:tblCellMar>
            <w:top w:w="0" w:type="dxa"/>
            <w:left w:w="108" w:type="dxa"/>
            <w:bottom w:w="0" w:type="dxa"/>
            <w:right w:w="108" w:type="dxa"/>
          </w:tblCellMar>
        </w:tblPrEx>
        <w:trPr>
          <w:trHeight w:val="990"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503857AC">
            <w:pPr>
              <w:widowControl/>
              <w:jc w:val="left"/>
              <w:rPr>
                <w:rFonts w:ascii="宋体" w:hAnsi="宋体" w:eastAsia="宋体" w:cs="Times New Roman"/>
                <w:kern w:val="0"/>
                <w:sz w:val="24"/>
                <w:szCs w:val="24"/>
              </w:rPr>
            </w:pPr>
          </w:p>
        </w:tc>
        <w:tc>
          <w:tcPr>
            <w:tcW w:w="300" w:type="dxa"/>
            <w:vMerge w:val="continue"/>
            <w:tcBorders>
              <w:top w:val="nil"/>
              <w:left w:val="nil"/>
              <w:bottom w:val="single" w:color="auto" w:sz="4" w:space="0"/>
              <w:right w:val="single" w:color="auto" w:sz="4" w:space="0"/>
            </w:tcBorders>
            <w:vAlign w:val="center"/>
          </w:tcPr>
          <w:p w14:paraId="5B089D53">
            <w:pPr>
              <w:widowControl/>
              <w:jc w:val="left"/>
              <w:rPr>
                <w:rFonts w:ascii="宋体" w:hAnsi="宋体" w:eastAsia="宋体" w:cs="Times New Roman"/>
                <w:kern w:val="0"/>
                <w:sz w:val="24"/>
                <w:szCs w:val="24"/>
              </w:rPr>
            </w:pPr>
          </w:p>
        </w:tc>
        <w:tc>
          <w:tcPr>
            <w:tcW w:w="600" w:type="dxa"/>
            <w:vMerge w:val="continue"/>
            <w:tcBorders>
              <w:top w:val="nil"/>
              <w:left w:val="nil"/>
              <w:bottom w:val="single" w:color="auto" w:sz="4" w:space="0"/>
              <w:right w:val="single" w:color="auto" w:sz="4" w:space="0"/>
            </w:tcBorders>
            <w:vAlign w:val="center"/>
          </w:tcPr>
          <w:p w14:paraId="227007F2">
            <w:pPr>
              <w:widowControl/>
              <w:jc w:val="left"/>
              <w:rPr>
                <w:rFonts w:ascii="宋体" w:hAnsi="宋体" w:eastAsia="宋体" w:cs="Times New Roman"/>
                <w:kern w:val="0"/>
                <w:sz w:val="24"/>
                <w:szCs w:val="24"/>
              </w:rPr>
            </w:pPr>
          </w:p>
        </w:tc>
        <w:tc>
          <w:tcPr>
            <w:tcW w:w="932" w:type="dxa"/>
            <w:tcBorders>
              <w:top w:val="nil"/>
              <w:left w:val="nil"/>
              <w:bottom w:val="single" w:color="auto" w:sz="4" w:space="0"/>
              <w:right w:val="single" w:color="auto" w:sz="4" w:space="0"/>
            </w:tcBorders>
            <w:vAlign w:val="center"/>
          </w:tcPr>
          <w:p w14:paraId="42DC3E8A">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报告质量</w:t>
            </w:r>
          </w:p>
        </w:tc>
        <w:tc>
          <w:tcPr>
            <w:tcW w:w="791" w:type="dxa"/>
            <w:gridSpan w:val="2"/>
            <w:tcBorders>
              <w:top w:val="nil"/>
              <w:left w:val="nil"/>
              <w:bottom w:val="single" w:color="auto" w:sz="4" w:space="0"/>
              <w:right w:val="single" w:color="auto" w:sz="4" w:space="0"/>
            </w:tcBorders>
            <w:vAlign w:val="center"/>
          </w:tcPr>
          <w:p w14:paraId="307DA44D">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15</w:t>
            </w:r>
          </w:p>
        </w:tc>
        <w:tc>
          <w:tcPr>
            <w:tcW w:w="3860" w:type="dxa"/>
            <w:tcBorders>
              <w:top w:val="nil"/>
              <w:left w:val="nil"/>
              <w:bottom w:val="single" w:color="auto" w:sz="4" w:space="0"/>
              <w:right w:val="single" w:color="auto" w:sz="4" w:space="0"/>
            </w:tcBorders>
            <w:vAlign w:val="center"/>
          </w:tcPr>
          <w:p w14:paraId="149CD6B2">
            <w:pPr>
              <w:widowControl/>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基准分9分，程序及方法适当加2分；所采用依据有效性加2分；所获取证据相关性、可靠性和充分性2分。累计加分最高6分。</w:t>
            </w:r>
          </w:p>
        </w:tc>
        <w:tc>
          <w:tcPr>
            <w:tcW w:w="872" w:type="dxa"/>
            <w:tcBorders>
              <w:top w:val="nil"/>
              <w:left w:val="nil"/>
              <w:bottom w:val="single" w:color="auto" w:sz="4" w:space="0"/>
              <w:right w:val="single" w:color="auto" w:sz="8" w:space="0"/>
            </w:tcBorders>
            <w:vAlign w:val="center"/>
          </w:tcPr>
          <w:p w14:paraId="5BE96BCB">
            <w:pPr>
              <w:widowControl/>
              <w:jc w:val="center"/>
              <w:rPr>
                <w:rFonts w:hint="eastAsia" w:ascii="宋体" w:hAnsi="宋体" w:eastAsia="宋体" w:cs="Times New Roman"/>
                <w:kern w:val="0"/>
                <w:sz w:val="24"/>
                <w:szCs w:val="24"/>
              </w:rPr>
            </w:pPr>
          </w:p>
        </w:tc>
      </w:tr>
      <w:tr w14:paraId="57AC4D35">
        <w:tblPrEx>
          <w:tblCellMar>
            <w:top w:w="0" w:type="dxa"/>
            <w:left w:w="108" w:type="dxa"/>
            <w:bottom w:w="0" w:type="dxa"/>
            <w:right w:w="108" w:type="dxa"/>
          </w:tblCellMar>
        </w:tblPrEx>
        <w:trPr>
          <w:trHeight w:val="435"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0552C756">
            <w:pPr>
              <w:widowControl/>
              <w:jc w:val="left"/>
              <w:rPr>
                <w:rFonts w:ascii="宋体" w:hAnsi="宋体" w:eastAsia="宋体" w:cs="Times New Roman"/>
                <w:kern w:val="0"/>
                <w:sz w:val="24"/>
                <w:szCs w:val="24"/>
              </w:rPr>
            </w:pPr>
          </w:p>
        </w:tc>
        <w:tc>
          <w:tcPr>
            <w:tcW w:w="7132" w:type="dxa"/>
            <w:gridSpan w:val="6"/>
            <w:tcBorders>
              <w:top w:val="single" w:color="auto" w:sz="4" w:space="0"/>
              <w:left w:val="nil"/>
              <w:bottom w:val="single" w:color="auto" w:sz="4" w:space="0"/>
              <w:right w:val="single" w:color="000000" w:sz="4" w:space="0"/>
            </w:tcBorders>
            <w:vAlign w:val="center"/>
          </w:tcPr>
          <w:p w14:paraId="681399B3">
            <w:pPr>
              <w:widowControl/>
              <w:ind w:left="-199" w:leftChars="-95"/>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基本服务评分</w:t>
            </w:r>
          </w:p>
        </w:tc>
        <w:tc>
          <w:tcPr>
            <w:tcW w:w="872" w:type="dxa"/>
            <w:tcBorders>
              <w:top w:val="single" w:color="auto" w:sz="4" w:space="0"/>
              <w:left w:val="nil"/>
              <w:bottom w:val="single" w:color="auto" w:sz="4" w:space="0"/>
              <w:right w:val="single" w:color="auto" w:sz="4" w:space="0"/>
            </w:tcBorders>
            <w:vAlign w:val="center"/>
          </w:tcPr>
          <w:p w14:paraId="10721B8F">
            <w:pPr>
              <w:widowControl/>
              <w:jc w:val="center"/>
              <w:rPr>
                <w:rFonts w:hint="eastAsia" w:ascii="宋体" w:hAnsi="宋体" w:eastAsia="宋体" w:cs="Times New Roman"/>
                <w:kern w:val="0"/>
                <w:sz w:val="24"/>
                <w:szCs w:val="24"/>
              </w:rPr>
            </w:pPr>
          </w:p>
        </w:tc>
      </w:tr>
      <w:tr w14:paraId="67240AD8">
        <w:tblPrEx>
          <w:tblCellMar>
            <w:top w:w="0" w:type="dxa"/>
            <w:left w:w="108" w:type="dxa"/>
            <w:bottom w:w="0" w:type="dxa"/>
            <w:right w:w="108" w:type="dxa"/>
          </w:tblCellMar>
        </w:tblPrEx>
        <w:trPr>
          <w:trHeight w:val="735"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41242478">
            <w:pPr>
              <w:widowControl/>
              <w:jc w:val="left"/>
              <w:rPr>
                <w:rFonts w:ascii="宋体" w:hAnsi="宋体" w:eastAsia="宋体" w:cs="Times New Roman"/>
                <w:kern w:val="0"/>
                <w:sz w:val="24"/>
                <w:szCs w:val="24"/>
              </w:rPr>
            </w:pPr>
          </w:p>
        </w:tc>
        <w:tc>
          <w:tcPr>
            <w:tcW w:w="844" w:type="dxa"/>
            <w:tcBorders>
              <w:top w:val="single" w:color="auto" w:sz="4" w:space="0"/>
              <w:left w:val="nil"/>
              <w:bottom w:val="single" w:color="auto" w:sz="4" w:space="0"/>
              <w:right w:val="single" w:color="auto" w:sz="4" w:space="0"/>
            </w:tcBorders>
            <w:vAlign w:val="center"/>
          </w:tcPr>
          <w:p w14:paraId="6CA71DE1">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评价人员签名</w:t>
            </w:r>
          </w:p>
        </w:tc>
        <w:tc>
          <w:tcPr>
            <w:tcW w:w="7160" w:type="dxa"/>
            <w:gridSpan w:val="6"/>
            <w:tcBorders>
              <w:top w:val="single" w:color="auto" w:sz="4" w:space="0"/>
              <w:left w:val="nil"/>
              <w:bottom w:val="single" w:color="auto" w:sz="4" w:space="0"/>
              <w:right w:val="single" w:color="auto" w:sz="4" w:space="0"/>
            </w:tcBorders>
            <w:vAlign w:val="center"/>
          </w:tcPr>
          <w:p w14:paraId="5F19BF97">
            <w:pPr>
              <w:widowControl/>
              <w:jc w:val="center"/>
              <w:rPr>
                <w:rFonts w:hint="eastAsia" w:ascii="宋体" w:hAnsi="宋体" w:eastAsia="宋体" w:cs="Times New Roman"/>
                <w:kern w:val="0"/>
                <w:sz w:val="24"/>
                <w:szCs w:val="24"/>
              </w:rPr>
            </w:pPr>
          </w:p>
        </w:tc>
      </w:tr>
      <w:tr w14:paraId="61071CC5">
        <w:tblPrEx>
          <w:tblCellMar>
            <w:top w:w="0" w:type="dxa"/>
            <w:left w:w="108" w:type="dxa"/>
            <w:bottom w:w="0" w:type="dxa"/>
            <w:right w:w="108" w:type="dxa"/>
          </w:tblCellMar>
        </w:tblPrEx>
        <w:trPr>
          <w:trHeight w:val="660" w:hRule="atLeast"/>
          <w:jc w:val="center"/>
        </w:trPr>
        <w:tc>
          <w:tcPr>
            <w:tcW w:w="612" w:type="dxa"/>
            <w:vMerge w:val="restart"/>
            <w:tcBorders>
              <w:top w:val="nil"/>
              <w:left w:val="single" w:color="auto" w:sz="8" w:space="0"/>
              <w:bottom w:val="single" w:color="000000" w:sz="8" w:space="0"/>
              <w:right w:val="single" w:color="auto" w:sz="4" w:space="0"/>
            </w:tcBorders>
            <w:vAlign w:val="center"/>
          </w:tcPr>
          <w:p w14:paraId="7B4085BB">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部务会</w:t>
            </w:r>
          </w:p>
        </w:tc>
        <w:tc>
          <w:tcPr>
            <w:tcW w:w="844" w:type="dxa"/>
            <w:tcBorders>
              <w:top w:val="single" w:color="auto" w:sz="4" w:space="0"/>
              <w:left w:val="nil"/>
              <w:bottom w:val="single" w:color="auto" w:sz="4" w:space="0"/>
              <w:right w:val="single" w:color="auto" w:sz="4" w:space="0"/>
            </w:tcBorders>
            <w:vAlign w:val="center"/>
          </w:tcPr>
          <w:p w14:paraId="351ADFF7">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加分项</w:t>
            </w:r>
          </w:p>
        </w:tc>
        <w:tc>
          <w:tcPr>
            <w:tcW w:w="705" w:type="dxa"/>
            <w:tcBorders>
              <w:top w:val="single" w:color="auto" w:sz="4" w:space="0"/>
              <w:left w:val="nil"/>
              <w:bottom w:val="single" w:color="auto" w:sz="4" w:space="0"/>
              <w:right w:val="single" w:color="auto" w:sz="4" w:space="0"/>
            </w:tcBorders>
            <w:vAlign w:val="center"/>
          </w:tcPr>
          <w:p w14:paraId="20075C54">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　</w:t>
            </w:r>
          </w:p>
        </w:tc>
        <w:tc>
          <w:tcPr>
            <w:tcW w:w="1215" w:type="dxa"/>
            <w:gridSpan w:val="2"/>
            <w:tcBorders>
              <w:top w:val="single" w:color="auto" w:sz="4" w:space="0"/>
              <w:left w:val="nil"/>
              <w:bottom w:val="single" w:color="auto" w:sz="4" w:space="0"/>
              <w:right w:val="single" w:color="auto" w:sz="4" w:space="0"/>
            </w:tcBorders>
            <w:vAlign w:val="center"/>
          </w:tcPr>
          <w:p w14:paraId="42C4FD3A">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增值服务</w:t>
            </w:r>
          </w:p>
        </w:tc>
        <w:tc>
          <w:tcPr>
            <w:tcW w:w="508" w:type="dxa"/>
            <w:tcBorders>
              <w:top w:val="single" w:color="auto" w:sz="4" w:space="0"/>
              <w:left w:val="nil"/>
              <w:bottom w:val="single" w:color="auto" w:sz="4" w:space="0"/>
              <w:right w:val="single" w:color="auto" w:sz="4" w:space="0"/>
            </w:tcBorders>
            <w:vAlign w:val="center"/>
          </w:tcPr>
          <w:p w14:paraId="69A4A7D3">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10</w:t>
            </w:r>
          </w:p>
        </w:tc>
        <w:tc>
          <w:tcPr>
            <w:tcW w:w="3860" w:type="dxa"/>
            <w:tcBorders>
              <w:top w:val="single" w:color="auto" w:sz="4" w:space="0"/>
              <w:left w:val="nil"/>
              <w:bottom w:val="single" w:color="auto" w:sz="4" w:space="0"/>
              <w:right w:val="single" w:color="auto" w:sz="4" w:space="0"/>
            </w:tcBorders>
            <w:vAlign w:val="center"/>
          </w:tcPr>
          <w:p w14:paraId="6F743C7C">
            <w:pPr>
              <w:widowControl/>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在业务合作过程中提供咨询、培训、管理建议等增值服务者酌情加5-10分</w:t>
            </w:r>
          </w:p>
        </w:tc>
        <w:tc>
          <w:tcPr>
            <w:tcW w:w="872" w:type="dxa"/>
            <w:tcBorders>
              <w:top w:val="single" w:color="auto" w:sz="4" w:space="0"/>
              <w:left w:val="nil"/>
              <w:bottom w:val="single" w:color="auto" w:sz="4" w:space="0"/>
              <w:right w:val="single" w:color="auto" w:sz="8" w:space="0"/>
            </w:tcBorders>
            <w:vAlign w:val="center"/>
          </w:tcPr>
          <w:p w14:paraId="53968D34">
            <w:pPr>
              <w:widowControl/>
              <w:jc w:val="right"/>
              <w:rPr>
                <w:rFonts w:hint="eastAsia" w:ascii="宋体" w:hAnsi="宋体" w:eastAsia="宋体" w:cs="Times New Roman"/>
                <w:kern w:val="0"/>
                <w:sz w:val="24"/>
                <w:szCs w:val="24"/>
              </w:rPr>
            </w:pPr>
          </w:p>
        </w:tc>
      </w:tr>
      <w:tr w14:paraId="17C6EF5A">
        <w:tblPrEx>
          <w:tblCellMar>
            <w:top w:w="0" w:type="dxa"/>
            <w:left w:w="108" w:type="dxa"/>
            <w:bottom w:w="0" w:type="dxa"/>
            <w:right w:w="108" w:type="dxa"/>
          </w:tblCellMar>
        </w:tblPrEx>
        <w:trPr>
          <w:trHeight w:val="975" w:hRule="atLeast"/>
          <w:jc w:val="center"/>
        </w:trPr>
        <w:tc>
          <w:tcPr>
            <w:tcW w:w="300" w:type="dxa"/>
            <w:vMerge w:val="continue"/>
            <w:tcBorders>
              <w:top w:val="nil"/>
              <w:left w:val="single" w:color="auto" w:sz="8" w:space="0"/>
              <w:bottom w:val="single" w:color="000000" w:sz="8" w:space="0"/>
              <w:right w:val="single" w:color="auto" w:sz="4" w:space="0"/>
            </w:tcBorders>
            <w:vAlign w:val="center"/>
          </w:tcPr>
          <w:p w14:paraId="42DC211F">
            <w:pPr>
              <w:widowControl/>
              <w:jc w:val="left"/>
              <w:rPr>
                <w:rFonts w:ascii="宋体" w:hAnsi="宋体" w:eastAsia="宋体" w:cs="Times New Roman"/>
                <w:kern w:val="0"/>
                <w:sz w:val="24"/>
                <w:szCs w:val="24"/>
              </w:rPr>
            </w:pPr>
          </w:p>
        </w:tc>
        <w:tc>
          <w:tcPr>
            <w:tcW w:w="844" w:type="dxa"/>
            <w:vMerge w:val="restart"/>
            <w:tcBorders>
              <w:top w:val="nil"/>
              <w:left w:val="nil"/>
              <w:bottom w:val="single" w:color="auto" w:sz="4" w:space="0"/>
              <w:right w:val="single" w:color="auto" w:sz="4" w:space="0"/>
            </w:tcBorders>
            <w:vAlign w:val="center"/>
          </w:tcPr>
          <w:p w14:paraId="3C9B4DE6">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减分项</w:t>
            </w:r>
          </w:p>
        </w:tc>
        <w:tc>
          <w:tcPr>
            <w:tcW w:w="705" w:type="dxa"/>
            <w:vMerge w:val="restart"/>
            <w:tcBorders>
              <w:top w:val="nil"/>
              <w:left w:val="nil"/>
              <w:bottom w:val="single" w:color="auto" w:sz="4" w:space="0"/>
              <w:right w:val="single" w:color="auto" w:sz="4" w:space="0"/>
            </w:tcBorders>
            <w:vAlign w:val="center"/>
          </w:tcPr>
          <w:p w14:paraId="1CD34905">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　</w:t>
            </w:r>
          </w:p>
        </w:tc>
        <w:tc>
          <w:tcPr>
            <w:tcW w:w="1215" w:type="dxa"/>
            <w:gridSpan w:val="2"/>
            <w:tcBorders>
              <w:top w:val="nil"/>
              <w:left w:val="nil"/>
              <w:bottom w:val="single" w:color="auto" w:sz="4" w:space="0"/>
              <w:right w:val="single" w:color="auto" w:sz="4" w:space="0"/>
            </w:tcBorders>
            <w:vAlign w:val="center"/>
          </w:tcPr>
          <w:p w14:paraId="1E277823">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后续发现服务质量问题</w:t>
            </w:r>
          </w:p>
        </w:tc>
        <w:tc>
          <w:tcPr>
            <w:tcW w:w="508" w:type="dxa"/>
            <w:tcBorders>
              <w:top w:val="nil"/>
              <w:left w:val="nil"/>
              <w:bottom w:val="single" w:color="auto" w:sz="4" w:space="0"/>
              <w:right w:val="single" w:color="auto" w:sz="4" w:space="0"/>
            </w:tcBorders>
            <w:vAlign w:val="center"/>
          </w:tcPr>
          <w:p w14:paraId="0E9F9CE1">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　</w:t>
            </w:r>
          </w:p>
        </w:tc>
        <w:tc>
          <w:tcPr>
            <w:tcW w:w="3860" w:type="dxa"/>
            <w:tcBorders>
              <w:top w:val="nil"/>
              <w:left w:val="nil"/>
              <w:bottom w:val="single" w:color="auto" w:sz="4" w:space="0"/>
              <w:right w:val="single" w:color="auto" w:sz="4" w:space="0"/>
            </w:tcBorders>
            <w:vAlign w:val="center"/>
          </w:tcPr>
          <w:p w14:paraId="6C4CBA0C">
            <w:pPr>
              <w:widowControl/>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在学校后续的各项审计、专项检查、验收等过程中发现中介服务机构服务质量问题，视情节轻重酌情扣分，至一票否决</w:t>
            </w:r>
          </w:p>
        </w:tc>
        <w:tc>
          <w:tcPr>
            <w:tcW w:w="872" w:type="dxa"/>
            <w:tcBorders>
              <w:top w:val="nil"/>
              <w:left w:val="nil"/>
              <w:bottom w:val="single" w:color="auto" w:sz="4" w:space="0"/>
              <w:right w:val="single" w:color="auto" w:sz="8" w:space="0"/>
            </w:tcBorders>
            <w:vAlign w:val="center"/>
          </w:tcPr>
          <w:p w14:paraId="287BB3ED">
            <w:pPr>
              <w:widowControl/>
              <w:jc w:val="right"/>
              <w:rPr>
                <w:rFonts w:hint="eastAsia" w:ascii="宋体" w:hAnsi="宋体" w:eastAsia="宋体" w:cs="Times New Roman"/>
                <w:kern w:val="0"/>
                <w:sz w:val="24"/>
                <w:szCs w:val="24"/>
              </w:rPr>
            </w:pPr>
          </w:p>
        </w:tc>
      </w:tr>
      <w:tr w14:paraId="0E97BFBB">
        <w:tblPrEx>
          <w:tblCellMar>
            <w:top w:w="0" w:type="dxa"/>
            <w:left w:w="108" w:type="dxa"/>
            <w:bottom w:w="0" w:type="dxa"/>
            <w:right w:w="108" w:type="dxa"/>
          </w:tblCellMar>
        </w:tblPrEx>
        <w:trPr>
          <w:trHeight w:val="540" w:hRule="atLeast"/>
          <w:jc w:val="center"/>
        </w:trPr>
        <w:tc>
          <w:tcPr>
            <w:tcW w:w="300" w:type="dxa"/>
            <w:vMerge w:val="continue"/>
            <w:tcBorders>
              <w:top w:val="nil"/>
              <w:left w:val="single" w:color="auto" w:sz="8" w:space="0"/>
              <w:bottom w:val="single" w:color="000000" w:sz="8" w:space="0"/>
              <w:right w:val="single" w:color="auto" w:sz="4" w:space="0"/>
            </w:tcBorders>
            <w:vAlign w:val="center"/>
          </w:tcPr>
          <w:p w14:paraId="111E3468">
            <w:pPr>
              <w:widowControl/>
              <w:jc w:val="left"/>
              <w:rPr>
                <w:rFonts w:ascii="宋体" w:hAnsi="宋体" w:eastAsia="宋体" w:cs="Times New Roman"/>
                <w:kern w:val="0"/>
                <w:sz w:val="24"/>
                <w:szCs w:val="24"/>
              </w:rPr>
            </w:pPr>
          </w:p>
        </w:tc>
        <w:tc>
          <w:tcPr>
            <w:tcW w:w="600" w:type="dxa"/>
            <w:vMerge w:val="continue"/>
            <w:tcBorders>
              <w:top w:val="nil"/>
              <w:left w:val="nil"/>
              <w:bottom w:val="single" w:color="auto" w:sz="4" w:space="0"/>
              <w:right w:val="single" w:color="auto" w:sz="4" w:space="0"/>
            </w:tcBorders>
            <w:vAlign w:val="center"/>
          </w:tcPr>
          <w:p w14:paraId="7482DFA7">
            <w:pPr>
              <w:widowControl/>
              <w:jc w:val="left"/>
              <w:rPr>
                <w:rFonts w:ascii="宋体" w:hAnsi="宋体" w:eastAsia="宋体" w:cs="Times New Roman"/>
                <w:kern w:val="0"/>
                <w:sz w:val="24"/>
                <w:szCs w:val="24"/>
              </w:rPr>
            </w:pPr>
          </w:p>
        </w:tc>
        <w:tc>
          <w:tcPr>
            <w:tcW w:w="300" w:type="dxa"/>
            <w:vMerge w:val="continue"/>
            <w:tcBorders>
              <w:top w:val="nil"/>
              <w:left w:val="nil"/>
              <w:bottom w:val="single" w:color="auto" w:sz="4" w:space="0"/>
              <w:right w:val="single" w:color="auto" w:sz="4" w:space="0"/>
            </w:tcBorders>
            <w:vAlign w:val="center"/>
          </w:tcPr>
          <w:p w14:paraId="6498DB1B">
            <w:pPr>
              <w:widowControl/>
              <w:jc w:val="left"/>
              <w:rPr>
                <w:rFonts w:ascii="宋体" w:hAnsi="宋体" w:eastAsia="宋体" w:cs="Times New Roman"/>
                <w:kern w:val="0"/>
                <w:sz w:val="24"/>
                <w:szCs w:val="24"/>
              </w:rPr>
            </w:pPr>
          </w:p>
        </w:tc>
        <w:tc>
          <w:tcPr>
            <w:tcW w:w="1215" w:type="dxa"/>
            <w:gridSpan w:val="2"/>
            <w:tcBorders>
              <w:top w:val="nil"/>
              <w:left w:val="nil"/>
              <w:bottom w:val="single" w:color="auto" w:sz="4" w:space="0"/>
              <w:right w:val="single" w:color="auto" w:sz="4" w:space="0"/>
            </w:tcBorders>
            <w:vAlign w:val="center"/>
          </w:tcPr>
          <w:p w14:paraId="562AF333">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资料保密问题</w:t>
            </w:r>
          </w:p>
        </w:tc>
        <w:tc>
          <w:tcPr>
            <w:tcW w:w="508" w:type="dxa"/>
            <w:tcBorders>
              <w:top w:val="nil"/>
              <w:left w:val="nil"/>
              <w:bottom w:val="single" w:color="auto" w:sz="4" w:space="0"/>
              <w:right w:val="single" w:color="auto" w:sz="4" w:space="0"/>
            </w:tcBorders>
            <w:vAlign w:val="bottom"/>
          </w:tcPr>
          <w:p w14:paraId="68922DD8">
            <w:pPr>
              <w:widowControl/>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　</w:t>
            </w:r>
          </w:p>
        </w:tc>
        <w:tc>
          <w:tcPr>
            <w:tcW w:w="3860" w:type="dxa"/>
            <w:tcBorders>
              <w:top w:val="nil"/>
              <w:left w:val="nil"/>
              <w:bottom w:val="single" w:color="auto" w:sz="4" w:space="0"/>
              <w:right w:val="single" w:color="auto" w:sz="4" w:space="0"/>
            </w:tcBorders>
            <w:vAlign w:val="center"/>
          </w:tcPr>
          <w:p w14:paraId="7F83C4D4">
            <w:pPr>
              <w:widowControl/>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未履行对学校资料保密的义务的，一票否决</w:t>
            </w:r>
          </w:p>
        </w:tc>
        <w:tc>
          <w:tcPr>
            <w:tcW w:w="872" w:type="dxa"/>
            <w:tcBorders>
              <w:top w:val="nil"/>
              <w:left w:val="nil"/>
              <w:bottom w:val="single" w:color="auto" w:sz="4" w:space="0"/>
              <w:right w:val="single" w:color="auto" w:sz="8" w:space="0"/>
            </w:tcBorders>
            <w:vAlign w:val="center"/>
          </w:tcPr>
          <w:p w14:paraId="373FC39A">
            <w:pPr>
              <w:widowControl/>
              <w:jc w:val="right"/>
              <w:rPr>
                <w:rFonts w:hint="eastAsia" w:ascii="宋体" w:hAnsi="宋体" w:eastAsia="宋体" w:cs="Times New Roman"/>
                <w:kern w:val="0"/>
                <w:sz w:val="24"/>
                <w:szCs w:val="24"/>
              </w:rPr>
            </w:pPr>
          </w:p>
        </w:tc>
      </w:tr>
      <w:tr w14:paraId="27F72FF5">
        <w:tblPrEx>
          <w:tblCellMar>
            <w:top w:w="0" w:type="dxa"/>
            <w:left w:w="108" w:type="dxa"/>
            <w:bottom w:w="0" w:type="dxa"/>
            <w:right w:w="108" w:type="dxa"/>
          </w:tblCellMar>
        </w:tblPrEx>
        <w:trPr>
          <w:trHeight w:val="330" w:hRule="atLeast"/>
          <w:jc w:val="center"/>
        </w:trPr>
        <w:tc>
          <w:tcPr>
            <w:tcW w:w="300" w:type="dxa"/>
            <w:vMerge w:val="continue"/>
            <w:tcBorders>
              <w:top w:val="nil"/>
              <w:left w:val="single" w:color="auto" w:sz="8" w:space="0"/>
              <w:bottom w:val="single" w:color="000000" w:sz="8" w:space="0"/>
              <w:right w:val="single" w:color="auto" w:sz="4" w:space="0"/>
            </w:tcBorders>
            <w:vAlign w:val="center"/>
          </w:tcPr>
          <w:p w14:paraId="05A51292">
            <w:pPr>
              <w:widowControl/>
              <w:jc w:val="left"/>
              <w:rPr>
                <w:rFonts w:ascii="宋体" w:hAnsi="宋体" w:eastAsia="宋体" w:cs="Times New Roman"/>
                <w:kern w:val="0"/>
                <w:sz w:val="24"/>
                <w:szCs w:val="24"/>
              </w:rPr>
            </w:pPr>
          </w:p>
        </w:tc>
        <w:tc>
          <w:tcPr>
            <w:tcW w:w="7132" w:type="dxa"/>
            <w:gridSpan w:val="6"/>
            <w:tcBorders>
              <w:top w:val="single" w:color="auto" w:sz="4" w:space="0"/>
              <w:left w:val="nil"/>
              <w:bottom w:val="single" w:color="auto" w:sz="4" w:space="0"/>
              <w:right w:val="single" w:color="000000" w:sz="4" w:space="0"/>
            </w:tcBorders>
            <w:vAlign w:val="center"/>
          </w:tcPr>
          <w:p w14:paraId="797D7B69">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总分</w:t>
            </w:r>
          </w:p>
        </w:tc>
        <w:tc>
          <w:tcPr>
            <w:tcW w:w="872" w:type="dxa"/>
            <w:tcBorders>
              <w:top w:val="nil"/>
              <w:left w:val="nil"/>
              <w:bottom w:val="single" w:color="auto" w:sz="4" w:space="0"/>
              <w:right w:val="single" w:color="auto" w:sz="8" w:space="0"/>
            </w:tcBorders>
            <w:vAlign w:val="center"/>
          </w:tcPr>
          <w:p w14:paraId="609F7A14">
            <w:pPr>
              <w:widowControl/>
              <w:jc w:val="right"/>
              <w:rPr>
                <w:rFonts w:hint="eastAsia" w:ascii="宋体" w:hAnsi="宋体" w:eastAsia="宋体" w:cs="Times New Roman"/>
                <w:kern w:val="0"/>
                <w:sz w:val="24"/>
                <w:szCs w:val="24"/>
              </w:rPr>
            </w:pPr>
            <w:r>
              <w:rPr>
                <w:rFonts w:hint="eastAsia" w:ascii="宋体" w:hAnsi="宋体" w:eastAsia="宋体" w:cs="Times New Roman"/>
                <w:kern w:val="0"/>
                <w:sz w:val="24"/>
                <w:szCs w:val="24"/>
              </w:rPr>
              <w:t>　</w:t>
            </w:r>
          </w:p>
        </w:tc>
      </w:tr>
      <w:tr w14:paraId="15897654">
        <w:tblPrEx>
          <w:tblCellMar>
            <w:top w:w="0" w:type="dxa"/>
            <w:left w:w="108" w:type="dxa"/>
            <w:bottom w:w="0" w:type="dxa"/>
            <w:right w:w="108" w:type="dxa"/>
          </w:tblCellMar>
        </w:tblPrEx>
        <w:trPr>
          <w:trHeight w:val="735" w:hRule="atLeast"/>
          <w:jc w:val="center"/>
        </w:trPr>
        <w:tc>
          <w:tcPr>
            <w:tcW w:w="300" w:type="dxa"/>
            <w:vMerge w:val="continue"/>
            <w:tcBorders>
              <w:top w:val="nil"/>
              <w:left w:val="single" w:color="auto" w:sz="8" w:space="0"/>
              <w:bottom w:val="single" w:color="000000" w:sz="8" w:space="0"/>
              <w:right w:val="single" w:color="auto" w:sz="4" w:space="0"/>
            </w:tcBorders>
            <w:vAlign w:val="center"/>
          </w:tcPr>
          <w:p w14:paraId="063342C5">
            <w:pPr>
              <w:widowControl/>
              <w:jc w:val="left"/>
              <w:rPr>
                <w:rFonts w:ascii="宋体" w:hAnsi="宋体" w:eastAsia="宋体" w:cs="Times New Roman"/>
                <w:kern w:val="0"/>
                <w:sz w:val="24"/>
                <w:szCs w:val="24"/>
              </w:rPr>
            </w:pPr>
          </w:p>
        </w:tc>
        <w:tc>
          <w:tcPr>
            <w:tcW w:w="844" w:type="dxa"/>
            <w:tcBorders>
              <w:top w:val="nil"/>
              <w:left w:val="nil"/>
              <w:bottom w:val="single" w:color="auto" w:sz="8" w:space="0"/>
              <w:right w:val="single" w:color="auto" w:sz="4" w:space="0"/>
            </w:tcBorders>
            <w:vAlign w:val="center"/>
          </w:tcPr>
          <w:p w14:paraId="7E46C844">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参评人员签名</w:t>
            </w:r>
          </w:p>
        </w:tc>
        <w:tc>
          <w:tcPr>
            <w:tcW w:w="7160" w:type="dxa"/>
            <w:gridSpan w:val="6"/>
            <w:tcBorders>
              <w:top w:val="single" w:color="auto" w:sz="4" w:space="0"/>
              <w:left w:val="nil"/>
              <w:bottom w:val="single" w:color="auto" w:sz="8" w:space="0"/>
              <w:right w:val="single" w:color="000000" w:sz="8" w:space="0"/>
            </w:tcBorders>
            <w:vAlign w:val="center"/>
          </w:tcPr>
          <w:p w14:paraId="035F2C27">
            <w:pPr>
              <w:widowControl/>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　</w:t>
            </w:r>
          </w:p>
        </w:tc>
      </w:tr>
    </w:tbl>
    <w:p w14:paraId="7EA65396">
      <w:pPr>
        <w:spacing w:line="560" w:lineRule="exact"/>
        <w:ind w:firstLine="638" w:firstLineChars="228"/>
        <w:rPr>
          <w:rFonts w:hint="eastAsia" w:ascii="宋体" w:hAnsi="宋体"/>
          <w:sz w:val="28"/>
          <w:szCs w:val="28"/>
        </w:rPr>
      </w:pPr>
    </w:p>
    <w:p w14:paraId="6B675DBC">
      <w:pPr>
        <w:spacing w:line="400" w:lineRule="exact"/>
        <w:ind w:firstLine="420" w:firstLineChars="200"/>
        <w:rPr>
          <w:rFonts w:ascii="宋体" w:hAnsi="宋体"/>
          <w:sz w:val="28"/>
          <w:szCs w:val="28"/>
        </w:rPr>
      </w:pPr>
      <w:bookmarkStart w:id="25" w:name="_Toc13543213"/>
      <w:bookmarkStart w:id="26" w:name="_Toc60236710"/>
      <w:r>
        <w:rPr>
          <w:rFonts w:hint="eastAsia"/>
        </w:rPr>
        <w:br w:type="page"/>
      </w:r>
      <w:bookmarkEnd w:id="25"/>
      <w:bookmarkEnd w:id="26"/>
    </w:p>
    <w:p w14:paraId="06124119">
      <w:pPr>
        <w:pStyle w:val="2"/>
      </w:pPr>
      <w:bookmarkStart w:id="27" w:name="_Toc14310"/>
      <w:r>
        <w:rPr>
          <w:rFonts w:hint="eastAsia"/>
        </w:rPr>
        <w:t>第三部分  报价文件格式</w:t>
      </w:r>
      <w:bookmarkEnd w:id="27"/>
    </w:p>
    <w:p w14:paraId="7670BE72">
      <w:pPr>
        <w:jc w:val="center"/>
        <w:rPr>
          <w:color w:val="000000"/>
          <w:sz w:val="18"/>
          <w:szCs w:val="18"/>
        </w:rPr>
      </w:pPr>
      <w:r>
        <w:rPr>
          <w:rFonts w:hint="eastAsia"/>
          <w:b/>
          <w:color w:val="000000"/>
          <w:sz w:val="28"/>
          <w:szCs w:val="28"/>
        </w:rPr>
        <w:t>校内分散采购报价文件封面</w:t>
      </w:r>
    </w:p>
    <w:p w14:paraId="6469D313">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651B6B54">
      <w:pPr>
        <w:jc w:val="center"/>
      </w:pPr>
    </w:p>
    <w:p w14:paraId="6B8BF639"/>
    <w:p w14:paraId="4A8D892A"/>
    <w:p w14:paraId="74894B7C"/>
    <w:p w14:paraId="34C44FB6">
      <w:pPr>
        <w:ind w:left="425"/>
        <w:jc w:val="center"/>
        <w:rPr>
          <w:rFonts w:eastAsia="黑体"/>
          <w:b/>
          <w:sz w:val="72"/>
          <w:szCs w:val="56"/>
        </w:rPr>
      </w:pPr>
      <w:r>
        <w:rPr>
          <w:rFonts w:hint="eastAsia" w:eastAsia="黑体"/>
          <w:b/>
          <w:sz w:val="72"/>
          <w:szCs w:val="56"/>
        </w:rPr>
        <w:t>校内分散采购报价文件</w:t>
      </w:r>
    </w:p>
    <w:p w14:paraId="0E50C21C">
      <w:pPr>
        <w:pStyle w:val="14"/>
        <w:rPr>
          <w:rFonts w:ascii="Calibri" w:hAnsi="Calibri"/>
          <w:b/>
          <w:sz w:val="32"/>
          <w:szCs w:val="32"/>
        </w:rPr>
      </w:pPr>
    </w:p>
    <w:p w14:paraId="1F6FCFB5">
      <w:pPr>
        <w:pStyle w:val="14"/>
        <w:ind w:firstLine="1084" w:firstLineChars="300"/>
        <w:rPr>
          <w:rFonts w:ascii="楷体_GB2312" w:hAnsi="楷体" w:eastAsia="楷体_GB2312"/>
          <w:sz w:val="32"/>
        </w:rPr>
      </w:pPr>
      <w:r>
        <w:rPr>
          <w:rFonts w:hint="eastAsia" w:ascii="楷体_GB2312" w:hAnsi="楷体" w:eastAsia="楷体_GB2312"/>
          <w:b/>
          <w:bCs/>
          <w:sz w:val="36"/>
        </w:rPr>
        <w:t>项目名称:</w:t>
      </w:r>
    </w:p>
    <w:p w14:paraId="18C2B003">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7A0F69F8">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39562A4F">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73EB5266">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394BE3E4">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5301A451">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7FD0CD6B">
      <w:pPr>
        <w:spacing w:line="600" w:lineRule="exact"/>
        <w:ind w:firstLine="1442" w:firstLineChars="399"/>
        <w:rPr>
          <w:rFonts w:ascii="楷体_GB2312" w:hAnsi="楷体" w:eastAsia="楷体_GB2312"/>
          <w:b/>
          <w:bCs/>
          <w:sz w:val="36"/>
          <w:u w:val="single"/>
        </w:rPr>
      </w:pPr>
    </w:p>
    <w:p w14:paraId="4C778F2F">
      <w:pPr>
        <w:spacing w:line="400" w:lineRule="exact"/>
        <w:ind w:firstLine="961" w:firstLineChars="399"/>
        <w:rPr>
          <w:rFonts w:ascii="楷体_GB2312" w:hAnsi="楷体" w:eastAsia="楷体_GB2312"/>
          <w:b/>
          <w:bCs/>
          <w:sz w:val="24"/>
          <w:u w:val="single"/>
        </w:rPr>
      </w:pPr>
    </w:p>
    <w:p w14:paraId="27B27EBF">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608AF22E">
      <w:pPr>
        <w:jc w:val="center"/>
        <w:rPr>
          <w:b/>
          <w:sz w:val="36"/>
          <w:szCs w:val="36"/>
        </w:rPr>
      </w:pPr>
    </w:p>
    <w:p w14:paraId="1E2A90F5">
      <w:pPr>
        <w:spacing w:line="400" w:lineRule="exact"/>
        <w:rPr>
          <w:rFonts w:ascii="宋体" w:hAnsi="宋体"/>
          <w:bCs/>
          <w:sz w:val="28"/>
          <w:szCs w:val="28"/>
        </w:rPr>
      </w:pPr>
    </w:p>
    <w:p w14:paraId="65F5EFD1">
      <w:pPr>
        <w:rPr>
          <w:rFonts w:ascii="宋体" w:hAnsi="宋体" w:cs="宋体"/>
          <w:b/>
          <w:bCs/>
          <w:spacing w:val="30"/>
          <w:sz w:val="44"/>
          <w:szCs w:val="44"/>
        </w:rPr>
      </w:pPr>
      <w:r>
        <w:rPr>
          <w:rFonts w:hint="eastAsia" w:ascii="宋体" w:hAnsi="宋体" w:cs="宋体"/>
          <w:b/>
          <w:bCs/>
          <w:spacing w:val="30"/>
          <w:sz w:val="44"/>
          <w:szCs w:val="44"/>
        </w:rPr>
        <w:br w:type="page"/>
      </w:r>
    </w:p>
    <w:p w14:paraId="3C96BF3D">
      <w:pPr>
        <w:jc w:val="center"/>
        <w:rPr>
          <w:b/>
          <w:sz w:val="44"/>
          <w:szCs w:val="44"/>
        </w:rPr>
      </w:pPr>
      <w:r>
        <w:rPr>
          <w:rFonts w:hint="eastAsia"/>
          <w:sz w:val="44"/>
          <w:szCs w:val="44"/>
        </w:rPr>
        <w:t>目录</w:t>
      </w:r>
    </w:p>
    <w:p w14:paraId="63EA9C1A">
      <w:pPr>
        <w:jc w:val="left"/>
        <w:rPr>
          <w:rFonts w:ascii="宋体" w:hAnsi="宋体"/>
          <w:sz w:val="28"/>
          <w:szCs w:val="28"/>
        </w:rPr>
      </w:pPr>
    </w:p>
    <w:p w14:paraId="4FED18F5">
      <w:pPr>
        <w:numPr>
          <w:ilvl w:val="0"/>
          <w:numId w:val="3"/>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3BEBBF96">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2FAE31FB">
      <w:pPr>
        <w:numPr>
          <w:ilvl w:val="0"/>
          <w:numId w:val="3"/>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601643B3">
      <w:pPr>
        <w:numPr>
          <w:ilvl w:val="0"/>
          <w:numId w:val="3"/>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5FD15E07">
      <w:pPr>
        <w:numPr>
          <w:ilvl w:val="0"/>
          <w:numId w:val="3"/>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7FF18631">
      <w:pPr>
        <w:numPr>
          <w:ilvl w:val="0"/>
          <w:numId w:val="3"/>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6327CE3F">
      <w:pPr>
        <w:numPr>
          <w:ilvl w:val="0"/>
          <w:numId w:val="3"/>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5DAC63F4">
      <w:pPr>
        <w:numPr>
          <w:ilvl w:val="0"/>
          <w:numId w:val="3"/>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0BF1D25D">
      <w:pPr>
        <w:numPr>
          <w:ilvl w:val="0"/>
          <w:numId w:val="3"/>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46A287A5">
      <w:pPr>
        <w:numPr>
          <w:ilvl w:val="0"/>
          <w:numId w:val="3"/>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553780E0">
      <w:pPr>
        <w:rPr>
          <w:rFonts w:ascii="宋体" w:hAnsi="宋体"/>
          <w:szCs w:val="21"/>
        </w:rPr>
      </w:pPr>
      <w:r>
        <w:rPr>
          <w:rFonts w:ascii="宋体" w:hAnsi="宋体"/>
          <w:szCs w:val="21"/>
        </w:rPr>
        <w:br w:type="page"/>
      </w:r>
    </w:p>
    <w:p w14:paraId="7F1CCE55">
      <w:pPr>
        <w:numPr>
          <w:ilvl w:val="0"/>
          <w:numId w:val="4"/>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52D494F1">
      <w:pPr>
        <w:rPr>
          <w:rFonts w:ascii="宋体" w:hAnsi="宋体" w:cs="宋体"/>
          <w:b/>
          <w:bCs/>
          <w:spacing w:val="30"/>
          <w:sz w:val="44"/>
          <w:szCs w:val="44"/>
        </w:rPr>
      </w:pPr>
      <w:r>
        <w:rPr>
          <w:rFonts w:hint="eastAsia" w:ascii="宋体" w:hAnsi="宋体" w:cs="宋体"/>
          <w:b/>
          <w:bCs/>
          <w:spacing w:val="30"/>
          <w:sz w:val="44"/>
          <w:szCs w:val="44"/>
        </w:rPr>
        <w:br w:type="page"/>
      </w:r>
    </w:p>
    <w:p w14:paraId="47A28613">
      <w:pPr>
        <w:numPr>
          <w:ilvl w:val="0"/>
          <w:numId w:val="4"/>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3D5F8B64">
      <w:pPr>
        <w:spacing w:line="520" w:lineRule="exact"/>
        <w:rPr>
          <w:rFonts w:ascii="宋体" w:hAnsi="宋体"/>
          <w:bCs/>
          <w:sz w:val="28"/>
          <w:szCs w:val="28"/>
        </w:rPr>
      </w:pPr>
    </w:p>
    <w:p w14:paraId="358B493A">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5B001555">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68CA2668">
      <w:pPr>
        <w:spacing w:line="520" w:lineRule="exact"/>
        <w:ind w:firstLine="560" w:firstLineChars="200"/>
        <w:rPr>
          <w:rFonts w:ascii="宋体" w:hAnsi="宋体"/>
          <w:bCs/>
          <w:sz w:val="28"/>
          <w:szCs w:val="28"/>
        </w:rPr>
      </w:pPr>
      <w:r>
        <w:rPr>
          <w:rFonts w:ascii="宋体" w:hAnsi="宋体"/>
          <w:bCs/>
          <w:sz w:val="28"/>
          <w:szCs w:val="28"/>
        </w:rPr>
        <w:t>联系方式：</w:t>
      </w:r>
    </w:p>
    <w:p w14:paraId="760671CD">
      <w:pPr>
        <w:spacing w:line="520" w:lineRule="exact"/>
        <w:ind w:firstLine="548" w:firstLineChars="196"/>
        <w:rPr>
          <w:rFonts w:ascii="宋体" w:hAnsi="宋体"/>
          <w:bCs/>
          <w:sz w:val="28"/>
          <w:szCs w:val="2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A0A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50C79A75">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7F051255">
            <w:pPr>
              <w:spacing w:line="520" w:lineRule="exact"/>
              <w:rPr>
                <w:rFonts w:ascii="宋体" w:hAnsi="宋体"/>
                <w:bCs/>
                <w:sz w:val="28"/>
                <w:szCs w:val="28"/>
              </w:rPr>
            </w:pPr>
          </w:p>
        </w:tc>
      </w:tr>
    </w:tbl>
    <w:p w14:paraId="6B3D6DE9">
      <w:pPr>
        <w:spacing w:line="520" w:lineRule="exact"/>
        <w:ind w:firstLine="548" w:firstLineChars="196"/>
        <w:rPr>
          <w:rFonts w:ascii="宋体" w:hAnsi="宋体"/>
          <w:bCs/>
          <w:sz w:val="28"/>
          <w:szCs w:val="28"/>
        </w:rPr>
      </w:pPr>
    </w:p>
    <w:p w14:paraId="551571C8">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141FDDF4">
      <w:pPr>
        <w:spacing w:line="520" w:lineRule="exact"/>
        <w:ind w:firstLine="548" w:firstLineChars="196"/>
        <w:rPr>
          <w:rFonts w:ascii="宋体" w:hAnsi="宋体"/>
          <w:bCs/>
          <w:sz w:val="28"/>
          <w:szCs w:val="28"/>
        </w:rPr>
      </w:pPr>
      <w:r>
        <w:rPr>
          <w:rFonts w:ascii="宋体" w:hAnsi="宋体"/>
          <w:bCs/>
          <w:sz w:val="28"/>
          <w:szCs w:val="28"/>
        </w:rPr>
        <w:t>年  月  日</w:t>
      </w:r>
    </w:p>
    <w:p w14:paraId="2BC31A23">
      <w:pPr>
        <w:spacing w:line="440" w:lineRule="exact"/>
        <w:ind w:firstLine="548" w:firstLineChars="196"/>
        <w:rPr>
          <w:rFonts w:ascii="宋体" w:hAnsi="宋体"/>
          <w:bCs/>
          <w:sz w:val="28"/>
          <w:szCs w:val="28"/>
        </w:rPr>
      </w:pPr>
    </w:p>
    <w:p w14:paraId="10A89E3A">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40071AB8">
      <w:pPr>
        <w:rPr>
          <w:b/>
          <w:bCs/>
          <w:sz w:val="32"/>
          <w:szCs w:val="21"/>
        </w:rPr>
      </w:pPr>
      <w:r>
        <w:rPr>
          <w:rFonts w:hint="eastAsia"/>
          <w:b/>
          <w:bCs/>
          <w:sz w:val="32"/>
          <w:szCs w:val="21"/>
        </w:rPr>
        <w:br w:type="page"/>
      </w:r>
    </w:p>
    <w:p w14:paraId="57D247F1">
      <w:pPr>
        <w:numPr>
          <w:ilvl w:val="0"/>
          <w:numId w:val="4"/>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479B6958">
      <w:pPr>
        <w:spacing w:line="520" w:lineRule="exact"/>
        <w:rPr>
          <w:bCs/>
          <w:szCs w:val="21"/>
        </w:rPr>
      </w:pPr>
    </w:p>
    <w:p w14:paraId="43B7454B">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772B45B">
      <w:pPr>
        <w:spacing w:line="520" w:lineRule="exact"/>
        <w:rPr>
          <w:rFonts w:ascii="宋体" w:hAnsi="宋体"/>
          <w:bCs/>
          <w:sz w:val="28"/>
          <w:szCs w:val="28"/>
        </w:rPr>
      </w:pPr>
      <w:r>
        <w:rPr>
          <w:rFonts w:ascii="宋体" w:hAnsi="宋体"/>
          <w:bCs/>
          <w:sz w:val="28"/>
          <w:szCs w:val="28"/>
        </w:rPr>
        <w:t>联系方式：</w:t>
      </w:r>
    </w:p>
    <w:p w14:paraId="6DD30697">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6986FB56">
      <w:pPr>
        <w:spacing w:line="520" w:lineRule="exact"/>
        <w:rPr>
          <w:rFonts w:ascii="宋体" w:hAnsi="宋体"/>
          <w:bCs/>
          <w:sz w:val="28"/>
          <w:szCs w:val="28"/>
        </w:rPr>
      </w:pPr>
      <w:r>
        <w:rPr>
          <w:rFonts w:ascii="宋体" w:hAnsi="宋体"/>
          <w:bCs/>
          <w:sz w:val="28"/>
          <w:szCs w:val="28"/>
        </w:rPr>
        <w:t>联系方式：</w:t>
      </w:r>
    </w:p>
    <w:p w14:paraId="1C65FABD">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21CD2EFA">
      <w:pPr>
        <w:spacing w:line="520" w:lineRule="exact"/>
        <w:rPr>
          <w:rFonts w:ascii="宋体" w:hAnsi="宋体"/>
          <w:bCs/>
          <w:sz w:val="28"/>
          <w:szCs w:val="28"/>
        </w:rPr>
      </w:pPr>
    </w:p>
    <w:p w14:paraId="043BCEB5">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6028C133">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2387203E">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42B76715">
      <w:pPr>
        <w:spacing w:line="520" w:lineRule="exact"/>
        <w:ind w:firstLine="548" w:firstLineChars="196"/>
        <w:rPr>
          <w:rFonts w:ascii="宋体" w:hAnsi="宋体"/>
          <w:bCs/>
          <w:sz w:val="28"/>
          <w:szCs w:val="28"/>
        </w:rPr>
      </w:pPr>
    </w:p>
    <w:p w14:paraId="49EE813B">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0C9F3D5B">
      <w:pPr>
        <w:spacing w:line="520" w:lineRule="exact"/>
        <w:ind w:firstLine="548" w:firstLineChars="196"/>
        <w:rPr>
          <w:rFonts w:ascii="宋体" w:hAnsi="宋体"/>
          <w:bCs/>
          <w:sz w:val="28"/>
          <w:szCs w:val="28"/>
        </w:rPr>
      </w:pPr>
      <w:r>
        <w:rPr>
          <w:rFonts w:ascii="宋体" w:hAnsi="宋体"/>
          <w:bCs/>
          <w:sz w:val="28"/>
          <w:szCs w:val="28"/>
        </w:rPr>
        <w:t>年  月 日</w:t>
      </w:r>
    </w:p>
    <w:p w14:paraId="07A0C3C6">
      <w:pPr>
        <w:spacing w:line="520" w:lineRule="exact"/>
        <w:ind w:firstLine="548" w:firstLineChars="196"/>
        <w:rPr>
          <w:rFonts w:ascii="宋体" w:hAnsi="宋体"/>
          <w:bCs/>
          <w:sz w:val="28"/>
          <w:szCs w:val="28"/>
        </w:rPr>
      </w:pPr>
    </w:p>
    <w:p w14:paraId="25D02FB2">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1C055468">
      <w:pPr>
        <w:spacing w:line="400" w:lineRule="exact"/>
        <w:ind w:firstLine="548" w:firstLineChars="196"/>
        <w:rPr>
          <w:rFonts w:ascii="宋体" w:hAnsi="宋体"/>
          <w:bCs/>
          <w:sz w:val="28"/>
          <w:szCs w:val="28"/>
        </w:rPr>
      </w:pPr>
    </w:p>
    <w:p w14:paraId="630AB41A">
      <w:pPr>
        <w:spacing w:line="400" w:lineRule="exact"/>
        <w:ind w:firstLine="548" w:firstLineChars="196"/>
        <w:rPr>
          <w:rFonts w:ascii="宋体" w:hAnsi="宋体"/>
          <w:bCs/>
          <w:sz w:val="28"/>
          <w:szCs w:val="28"/>
        </w:rPr>
      </w:pPr>
    </w:p>
    <w:p w14:paraId="690D9243">
      <w:pPr>
        <w:rPr>
          <w:rFonts w:ascii="宋体" w:hAnsi="宋体"/>
          <w:bCs/>
          <w:sz w:val="28"/>
          <w:szCs w:val="28"/>
        </w:rPr>
      </w:pPr>
      <w:r>
        <w:rPr>
          <w:rFonts w:hint="eastAsia" w:ascii="宋体" w:hAnsi="宋体"/>
          <w:bCs/>
          <w:sz w:val="28"/>
          <w:szCs w:val="28"/>
        </w:rPr>
        <w:br w:type="page"/>
      </w:r>
    </w:p>
    <w:p w14:paraId="234E9EB8">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2FAB0C7A">
      <w:pPr>
        <w:spacing w:line="520" w:lineRule="exact"/>
        <w:ind w:firstLine="548" w:firstLineChars="196"/>
        <w:rPr>
          <w:rFonts w:ascii="宋体" w:hAnsi="宋体"/>
          <w:bCs/>
          <w:sz w:val="28"/>
          <w:szCs w:val="2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BB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4962F192">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68C7291E">
            <w:pPr>
              <w:spacing w:line="520" w:lineRule="exact"/>
              <w:rPr>
                <w:rFonts w:ascii="宋体" w:hAnsi="宋体"/>
                <w:bCs/>
                <w:sz w:val="28"/>
                <w:szCs w:val="28"/>
              </w:rPr>
            </w:pPr>
          </w:p>
        </w:tc>
      </w:tr>
    </w:tbl>
    <w:p w14:paraId="24100CFA">
      <w:pPr>
        <w:spacing w:line="520" w:lineRule="exact"/>
        <w:ind w:firstLine="548" w:firstLineChars="196"/>
        <w:rPr>
          <w:rFonts w:ascii="宋体" w:hAnsi="宋体"/>
          <w:bCs/>
          <w:sz w:val="28"/>
          <w:szCs w:val="28"/>
        </w:rPr>
      </w:pPr>
    </w:p>
    <w:p w14:paraId="6F7351EB">
      <w:pPr>
        <w:spacing w:line="400" w:lineRule="exact"/>
        <w:ind w:firstLine="548" w:firstLineChars="196"/>
        <w:rPr>
          <w:rFonts w:ascii="宋体" w:hAnsi="宋体"/>
          <w:bCs/>
          <w:sz w:val="28"/>
          <w:szCs w:val="28"/>
        </w:rPr>
      </w:pPr>
    </w:p>
    <w:p w14:paraId="76B3970D">
      <w:pPr>
        <w:spacing w:line="400" w:lineRule="exact"/>
        <w:ind w:firstLine="548" w:firstLineChars="196"/>
        <w:rPr>
          <w:rFonts w:ascii="宋体" w:hAnsi="宋体"/>
          <w:bCs/>
          <w:sz w:val="28"/>
          <w:szCs w:val="28"/>
        </w:rPr>
      </w:pPr>
    </w:p>
    <w:p w14:paraId="0669CA42">
      <w:pPr>
        <w:spacing w:line="400" w:lineRule="exact"/>
        <w:ind w:firstLine="548" w:firstLineChars="196"/>
        <w:rPr>
          <w:rFonts w:ascii="宋体" w:hAnsi="宋体"/>
          <w:bCs/>
          <w:sz w:val="28"/>
          <w:szCs w:val="28"/>
        </w:rPr>
      </w:pPr>
    </w:p>
    <w:p w14:paraId="4422B2D5">
      <w:pPr>
        <w:spacing w:line="400" w:lineRule="exact"/>
        <w:ind w:firstLine="548" w:firstLineChars="196"/>
        <w:rPr>
          <w:rFonts w:ascii="宋体" w:hAnsi="宋体"/>
          <w:bCs/>
          <w:sz w:val="28"/>
          <w:szCs w:val="28"/>
        </w:rPr>
      </w:pPr>
    </w:p>
    <w:p w14:paraId="7AF04AA8">
      <w:pPr>
        <w:spacing w:line="400" w:lineRule="exact"/>
        <w:ind w:firstLine="548" w:firstLineChars="196"/>
        <w:rPr>
          <w:rFonts w:ascii="宋体" w:hAnsi="宋体"/>
          <w:bCs/>
          <w:sz w:val="28"/>
          <w:szCs w:val="28"/>
        </w:rPr>
      </w:pPr>
    </w:p>
    <w:p w14:paraId="41F7DB7B">
      <w:pPr>
        <w:spacing w:line="400" w:lineRule="exact"/>
        <w:ind w:firstLine="548" w:firstLineChars="196"/>
        <w:rPr>
          <w:rFonts w:ascii="宋体" w:hAnsi="宋体"/>
          <w:bCs/>
          <w:sz w:val="28"/>
          <w:szCs w:val="28"/>
        </w:rPr>
      </w:pPr>
    </w:p>
    <w:p w14:paraId="7FCB0552">
      <w:pPr>
        <w:spacing w:line="400" w:lineRule="exact"/>
        <w:ind w:firstLine="548" w:firstLineChars="196"/>
        <w:rPr>
          <w:rFonts w:ascii="宋体" w:hAnsi="宋体"/>
          <w:bCs/>
          <w:sz w:val="28"/>
          <w:szCs w:val="28"/>
        </w:rPr>
      </w:pPr>
    </w:p>
    <w:p w14:paraId="7EFD9D55">
      <w:pPr>
        <w:spacing w:line="400" w:lineRule="exact"/>
        <w:ind w:firstLine="548" w:firstLineChars="196"/>
        <w:rPr>
          <w:rFonts w:ascii="宋体" w:hAnsi="宋体"/>
          <w:bCs/>
          <w:sz w:val="28"/>
          <w:szCs w:val="28"/>
        </w:rPr>
      </w:pPr>
    </w:p>
    <w:p w14:paraId="56D116E7">
      <w:pPr>
        <w:spacing w:line="400" w:lineRule="exact"/>
        <w:ind w:firstLine="548" w:firstLineChars="196"/>
        <w:rPr>
          <w:rFonts w:ascii="宋体" w:hAnsi="宋体"/>
          <w:bCs/>
          <w:sz w:val="28"/>
          <w:szCs w:val="28"/>
        </w:rPr>
      </w:pPr>
    </w:p>
    <w:p w14:paraId="44CF7284">
      <w:pPr>
        <w:pStyle w:val="14"/>
        <w:jc w:val="left"/>
        <w:rPr>
          <w:rFonts w:hAnsi="宋体" w:cs="宋体"/>
          <w:bCs/>
          <w:color w:val="000000"/>
          <w:sz w:val="30"/>
          <w:szCs w:val="30"/>
        </w:rPr>
      </w:pPr>
    </w:p>
    <w:p w14:paraId="7137C3D8">
      <w:pPr>
        <w:pStyle w:val="14"/>
        <w:jc w:val="left"/>
        <w:rPr>
          <w:rFonts w:hAnsi="宋体" w:cs="宋体"/>
          <w:bCs/>
          <w:color w:val="000000"/>
          <w:sz w:val="30"/>
          <w:szCs w:val="30"/>
        </w:rPr>
      </w:pPr>
    </w:p>
    <w:p w14:paraId="0BB87A63">
      <w:pPr>
        <w:pStyle w:val="14"/>
        <w:jc w:val="left"/>
        <w:rPr>
          <w:rFonts w:hAnsi="宋体" w:cs="宋体"/>
          <w:bCs/>
          <w:color w:val="000000"/>
          <w:sz w:val="30"/>
          <w:szCs w:val="30"/>
        </w:rPr>
      </w:pPr>
    </w:p>
    <w:p w14:paraId="43E71977">
      <w:pPr>
        <w:pStyle w:val="14"/>
        <w:jc w:val="left"/>
        <w:rPr>
          <w:rFonts w:hAnsi="宋体" w:cs="宋体"/>
          <w:bCs/>
          <w:color w:val="000000"/>
          <w:sz w:val="30"/>
          <w:szCs w:val="30"/>
        </w:rPr>
      </w:pPr>
    </w:p>
    <w:p w14:paraId="0574568B">
      <w:pPr>
        <w:rPr>
          <w:rFonts w:ascii="宋体" w:hAnsi="宋体"/>
          <w:bCs/>
          <w:sz w:val="28"/>
          <w:szCs w:val="28"/>
        </w:rPr>
      </w:pPr>
      <w:r>
        <w:rPr>
          <w:rFonts w:hint="eastAsia" w:ascii="宋体" w:hAnsi="宋体"/>
          <w:bCs/>
          <w:sz w:val="28"/>
          <w:szCs w:val="28"/>
        </w:rPr>
        <w:br w:type="page"/>
      </w:r>
    </w:p>
    <w:p w14:paraId="23C8444F">
      <w:pPr>
        <w:numPr>
          <w:ilvl w:val="0"/>
          <w:numId w:val="4"/>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5A4ED37B">
      <w:pPr>
        <w:adjustRightInd w:val="0"/>
        <w:snapToGrid w:val="0"/>
        <w:jc w:val="right"/>
        <w:rPr>
          <w:rFonts w:ascii="宋体" w:hAnsi="宋体"/>
          <w:sz w:val="24"/>
        </w:rPr>
      </w:pPr>
      <w:r>
        <w:rPr>
          <w:rFonts w:hint="eastAsia" w:ascii="宋体" w:hAnsi="宋体"/>
          <w:sz w:val="24"/>
        </w:rPr>
        <w:t>货币单位：人民币元</w:t>
      </w:r>
    </w:p>
    <w:tbl>
      <w:tblPr>
        <w:tblStyle w:val="29"/>
        <w:tblW w:w="9348" w:type="dxa"/>
        <w:jc w:val="center"/>
        <w:tblLayout w:type="fixed"/>
        <w:tblCellMar>
          <w:top w:w="0" w:type="dxa"/>
          <w:left w:w="30" w:type="dxa"/>
          <w:bottom w:w="0" w:type="dxa"/>
          <w:right w:w="30" w:type="dxa"/>
        </w:tblCellMar>
      </w:tblPr>
      <w:tblGrid>
        <w:gridCol w:w="2229"/>
        <w:gridCol w:w="7119"/>
      </w:tblGrid>
      <w:tr w14:paraId="325960B2">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563C06DE">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32EE5A2F">
            <w:pPr>
              <w:autoSpaceDE w:val="0"/>
              <w:autoSpaceDN w:val="0"/>
              <w:adjustRightInd w:val="0"/>
              <w:spacing w:line="480" w:lineRule="exact"/>
              <w:jc w:val="center"/>
              <w:rPr>
                <w:rFonts w:ascii="宋体" w:hAnsi="宋体"/>
                <w:sz w:val="24"/>
              </w:rPr>
            </w:pPr>
          </w:p>
        </w:tc>
      </w:tr>
      <w:tr w14:paraId="1C4E90E0">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4D2AA41C">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46044702">
            <w:pPr>
              <w:autoSpaceDE w:val="0"/>
              <w:autoSpaceDN w:val="0"/>
              <w:adjustRightInd w:val="0"/>
              <w:spacing w:line="480" w:lineRule="exact"/>
              <w:rPr>
                <w:rFonts w:ascii="宋体" w:hAnsi="宋体"/>
                <w:b/>
                <w:sz w:val="24"/>
                <w:u w:val="single"/>
              </w:rPr>
            </w:pPr>
          </w:p>
          <w:p w14:paraId="79B49AEA">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29071CEC">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752D86F1">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4C1F6F6A">
            <w:pPr>
              <w:autoSpaceDE w:val="0"/>
              <w:autoSpaceDN w:val="0"/>
              <w:adjustRightInd w:val="0"/>
              <w:spacing w:line="480" w:lineRule="exact"/>
              <w:ind w:firstLine="843" w:firstLineChars="350"/>
              <w:rPr>
                <w:rFonts w:ascii="宋体"/>
                <w:b/>
                <w:sz w:val="24"/>
                <w:u w:val="single"/>
              </w:rPr>
            </w:pPr>
          </w:p>
          <w:p w14:paraId="64D5D748">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14E85D2A">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571C7815">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2681747D">
            <w:pPr>
              <w:autoSpaceDE w:val="0"/>
              <w:autoSpaceDN w:val="0"/>
              <w:adjustRightInd w:val="0"/>
              <w:spacing w:line="480" w:lineRule="exact"/>
              <w:jc w:val="center"/>
              <w:rPr>
                <w:rFonts w:ascii="宋体" w:hAnsi="宋体"/>
                <w:sz w:val="24"/>
              </w:rPr>
            </w:pPr>
          </w:p>
        </w:tc>
      </w:tr>
    </w:tbl>
    <w:p w14:paraId="4C739A81">
      <w:pPr>
        <w:pStyle w:val="14"/>
        <w:spacing w:line="480" w:lineRule="exact"/>
        <w:rPr>
          <w:rFonts w:hAnsi="宋体"/>
          <w:sz w:val="28"/>
          <w:szCs w:val="28"/>
        </w:rPr>
      </w:pPr>
      <w:r>
        <w:rPr>
          <w:rFonts w:hint="eastAsia" w:hAnsi="宋体"/>
          <w:sz w:val="28"/>
          <w:szCs w:val="28"/>
        </w:rPr>
        <w:t>注：</w:t>
      </w:r>
    </w:p>
    <w:p w14:paraId="3CDA5DFD">
      <w:pPr>
        <w:pStyle w:val="14"/>
        <w:numPr>
          <w:ilvl w:val="0"/>
          <w:numId w:val="5"/>
        </w:numPr>
        <w:spacing w:line="0" w:lineRule="atLeast"/>
        <w:rPr>
          <w:rFonts w:hAnsi="宋体"/>
          <w:sz w:val="28"/>
          <w:szCs w:val="28"/>
        </w:rPr>
      </w:pPr>
      <w:r>
        <w:rPr>
          <w:rFonts w:hint="eastAsia" w:hAnsi="宋体"/>
          <w:sz w:val="28"/>
          <w:szCs w:val="28"/>
        </w:rPr>
        <w:t>本表报价包含完成本项目应预见和不可预见的一切含税费用。</w:t>
      </w:r>
    </w:p>
    <w:p w14:paraId="16B05C18">
      <w:pPr>
        <w:pStyle w:val="14"/>
        <w:numPr>
          <w:ilvl w:val="0"/>
          <w:numId w:val="5"/>
        </w:numPr>
        <w:spacing w:line="0" w:lineRule="atLeast"/>
        <w:rPr>
          <w:rFonts w:hAnsi="宋体"/>
          <w:sz w:val="28"/>
          <w:szCs w:val="28"/>
        </w:rPr>
      </w:pPr>
      <w:r>
        <w:rPr>
          <w:rFonts w:hint="eastAsia" w:hAnsi="宋体"/>
          <w:sz w:val="28"/>
          <w:szCs w:val="28"/>
        </w:rPr>
        <w:t>表中报价总价小写金额与大写金额不一致的，以大写金额为准。</w:t>
      </w:r>
    </w:p>
    <w:p w14:paraId="74AC2EBC">
      <w:pPr>
        <w:pStyle w:val="14"/>
        <w:numPr>
          <w:ilvl w:val="0"/>
          <w:numId w:val="5"/>
        </w:numPr>
        <w:spacing w:line="0" w:lineRule="atLeast"/>
        <w:rPr>
          <w:rFonts w:hAnsi="宋体"/>
          <w:sz w:val="28"/>
          <w:szCs w:val="28"/>
        </w:rPr>
      </w:pPr>
      <w:r>
        <w:rPr>
          <w:rFonts w:hint="eastAsia"/>
          <w:sz w:val="28"/>
          <w:szCs w:val="28"/>
        </w:rPr>
        <w:t>填写此表时不得改变表格的形式。</w:t>
      </w:r>
    </w:p>
    <w:p w14:paraId="22E7EF73">
      <w:pPr>
        <w:pStyle w:val="14"/>
        <w:numPr>
          <w:ilvl w:val="0"/>
          <w:numId w:val="5"/>
        </w:numPr>
        <w:spacing w:line="0" w:lineRule="atLeast"/>
        <w:rPr>
          <w:rFonts w:hAnsi="宋体"/>
          <w:sz w:val="28"/>
          <w:szCs w:val="28"/>
        </w:rPr>
      </w:pPr>
      <w:r>
        <w:rPr>
          <w:rFonts w:hint="eastAsia"/>
          <w:sz w:val="28"/>
          <w:szCs w:val="28"/>
        </w:rPr>
        <w:t>以上表中内容必须计算机录入、填写、打印。手写按无效报价处理。</w:t>
      </w:r>
    </w:p>
    <w:p w14:paraId="33741BCC">
      <w:pPr>
        <w:adjustRightInd w:val="0"/>
        <w:snapToGrid w:val="0"/>
        <w:rPr>
          <w:rFonts w:ascii="宋体" w:hAnsi="宋体"/>
          <w:b/>
          <w:sz w:val="28"/>
          <w:szCs w:val="28"/>
        </w:rPr>
      </w:pPr>
    </w:p>
    <w:p w14:paraId="062D15CE">
      <w:pPr>
        <w:spacing w:line="400" w:lineRule="exact"/>
        <w:rPr>
          <w:rFonts w:ascii="宋体" w:hAnsi="宋体"/>
          <w:sz w:val="32"/>
          <w:szCs w:val="32"/>
        </w:rPr>
      </w:pPr>
    </w:p>
    <w:p w14:paraId="42EB899C">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060BBA14">
      <w:pPr>
        <w:spacing w:line="400" w:lineRule="exact"/>
        <w:rPr>
          <w:rFonts w:ascii="宋体" w:hAnsi="宋体"/>
          <w:sz w:val="32"/>
          <w:szCs w:val="32"/>
        </w:rPr>
      </w:pPr>
    </w:p>
    <w:p w14:paraId="5C4D7310">
      <w:pPr>
        <w:spacing w:afterLines="50" w:line="400" w:lineRule="exact"/>
        <w:rPr>
          <w:rFonts w:ascii="宋体" w:hAnsi="宋体"/>
          <w:sz w:val="32"/>
          <w:szCs w:val="32"/>
        </w:rPr>
      </w:pPr>
      <w:r>
        <w:rPr>
          <w:rFonts w:hint="eastAsia" w:ascii="宋体" w:hAnsi="宋体"/>
          <w:sz w:val="32"/>
          <w:szCs w:val="32"/>
        </w:rPr>
        <w:t>报价人单位（盖章）：</w:t>
      </w:r>
    </w:p>
    <w:p w14:paraId="7D2DD020">
      <w:pPr>
        <w:spacing w:line="480" w:lineRule="exact"/>
        <w:ind w:left="4599" w:leftChars="2190"/>
        <w:rPr>
          <w:rFonts w:ascii="宋体"/>
          <w:sz w:val="28"/>
          <w:szCs w:val="28"/>
        </w:rPr>
      </w:pPr>
    </w:p>
    <w:p w14:paraId="5A08CB28">
      <w:pPr>
        <w:rPr>
          <w:sz w:val="28"/>
          <w:szCs w:val="28"/>
        </w:rPr>
      </w:pPr>
    </w:p>
    <w:p w14:paraId="485B8CCB">
      <w:pPr>
        <w:rPr>
          <w:sz w:val="24"/>
        </w:rPr>
      </w:pPr>
    </w:p>
    <w:p w14:paraId="11423071">
      <w:pPr>
        <w:rPr>
          <w:sz w:val="24"/>
        </w:rPr>
      </w:pPr>
      <w:r>
        <w:rPr>
          <w:sz w:val="24"/>
        </w:rPr>
        <w:br w:type="page"/>
      </w:r>
    </w:p>
    <w:p w14:paraId="6020DFC9">
      <w:pPr>
        <w:numPr>
          <w:ilvl w:val="0"/>
          <w:numId w:val="4"/>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5C0C4E28">
      <w:pPr>
        <w:pStyle w:val="14"/>
        <w:jc w:val="both"/>
        <w:rPr>
          <w:rFonts w:ascii="Times New Roman" w:hAnsi="Times New Roman"/>
          <w:szCs w:val="21"/>
        </w:rPr>
      </w:pPr>
    </w:p>
    <w:p w14:paraId="056C8DEC">
      <w:pPr>
        <w:pStyle w:val="14"/>
        <w:jc w:val="left"/>
        <w:rPr>
          <w:rFonts w:ascii="Times New Roman" w:hAnsi="Times New Roman"/>
          <w:szCs w:val="21"/>
        </w:rPr>
      </w:pPr>
    </w:p>
    <w:tbl>
      <w:tblPr>
        <w:tblStyle w:val="29"/>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1816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20A4A50">
            <w:pPr>
              <w:pStyle w:val="14"/>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85B3C95">
            <w:pPr>
              <w:pStyle w:val="14"/>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1D89719">
            <w:pPr>
              <w:pStyle w:val="14"/>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287658A">
            <w:pPr>
              <w:pStyle w:val="14"/>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6A3E11E">
            <w:pPr>
              <w:pStyle w:val="14"/>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D6C1718">
            <w:pPr>
              <w:pStyle w:val="14"/>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06D02F7">
            <w:pPr>
              <w:pStyle w:val="14"/>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86BDBA4">
            <w:pPr>
              <w:pStyle w:val="14"/>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F41E2D6">
            <w:pPr>
              <w:pStyle w:val="14"/>
              <w:jc w:val="left"/>
              <w:rPr>
                <w:rFonts w:hAnsi="宋体"/>
                <w:b/>
                <w:kern w:val="2"/>
                <w:sz w:val="24"/>
              </w:rPr>
            </w:pPr>
            <w:r>
              <w:rPr>
                <w:rFonts w:hint="eastAsia" w:hAnsi="宋体"/>
                <w:b/>
                <w:kern w:val="2"/>
                <w:sz w:val="24"/>
              </w:rPr>
              <w:t>备注</w:t>
            </w:r>
          </w:p>
        </w:tc>
      </w:tr>
      <w:tr w14:paraId="151D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2A3A804">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7547D12">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B64F398">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ABBABEE">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E6D0C7F">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149FCF6">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9BBE966">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728578A">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0BFF163">
            <w:pPr>
              <w:pStyle w:val="14"/>
              <w:jc w:val="left"/>
              <w:rPr>
                <w:rFonts w:hAnsi="宋体"/>
                <w:kern w:val="2"/>
                <w:sz w:val="24"/>
              </w:rPr>
            </w:pPr>
          </w:p>
        </w:tc>
      </w:tr>
      <w:tr w14:paraId="6DEE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9449DDF">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CDC22BB">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204BFE9">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BF41FCD">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A72D9F6">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2568F67">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7E2AE77">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E712A8B">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AF0D4F8">
            <w:pPr>
              <w:pStyle w:val="14"/>
              <w:jc w:val="left"/>
              <w:rPr>
                <w:rFonts w:hAnsi="宋体"/>
                <w:kern w:val="2"/>
                <w:sz w:val="24"/>
              </w:rPr>
            </w:pPr>
          </w:p>
        </w:tc>
      </w:tr>
      <w:tr w14:paraId="15C9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E632D69">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CD7AD38">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FC3C903">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4DA895A">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48F744E">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07E9A85">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FE41F91">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720F0AB">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B9C7538">
            <w:pPr>
              <w:pStyle w:val="14"/>
              <w:jc w:val="left"/>
              <w:rPr>
                <w:rFonts w:hAnsi="宋体"/>
                <w:kern w:val="2"/>
                <w:sz w:val="24"/>
              </w:rPr>
            </w:pPr>
          </w:p>
        </w:tc>
      </w:tr>
      <w:tr w14:paraId="009C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0F7FF424">
            <w:pPr>
              <w:pStyle w:val="14"/>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E7A3310">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5233EF0">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C4C9895">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E17A1D3">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A870AF4">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D2BDC8B">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0097903">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D665EA4">
            <w:pPr>
              <w:pStyle w:val="14"/>
              <w:jc w:val="left"/>
              <w:rPr>
                <w:rFonts w:hAnsi="宋体"/>
                <w:kern w:val="2"/>
                <w:sz w:val="24"/>
              </w:rPr>
            </w:pPr>
          </w:p>
        </w:tc>
      </w:tr>
      <w:tr w14:paraId="5251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381CBDED">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79DC8A9">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232A496">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E665C7B">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9FCF48E">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7DDD5EC">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F7F3A40">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66B076E">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4FE94A1">
            <w:pPr>
              <w:pStyle w:val="14"/>
              <w:jc w:val="left"/>
              <w:rPr>
                <w:rFonts w:hAnsi="宋体"/>
                <w:kern w:val="2"/>
                <w:sz w:val="24"/>
              </w:rPr>
            </w:pPr>
          </w:p>
        </w:tc>
      </w:tr>
      <w:tr w14:paraId="7013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69283A3">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BB974E7">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6C4959C1">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9049012">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855A6D4">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065265B">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A2EBC04">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528DA07">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2099DF2">
            <w:pPr>
              <w:pStyle w:val="14"/>
              <w:jc w:val="left"/>
              <w:rPr>
                <w:rFonts w:hAnsi="宋体"/>
                <w:kern w:val="2"/>
                <w:sz w:val="24"/>
              </w:rPr>
            </w:pPr>
          </w:p>
        </w:tc>
      </w:tr>
      <w:tr w14:paraId="4289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6EAD23A9">
            <w:pPr>
              <w:pStyle w:val="14"/>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00291F">
            <w:pPr>
              <w:pStyle w:val="14"/>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5646256F">
            <w:pPr>
              <w:pStyle w:val="14"/>
              <w:ind w:firstLine="241" w:firstLineChars="100"/>
              <w:rPr>
                <w:rFonts w:hAnsi="宋体"/>
                <w:b/>
                <w:kern w:val="2"/>
                <w:sz w:val="24"/>
              </w:rPr>
            </w:pPr>
            <w:r>
              <w:rPr>
                <w:rFonts w:hint="eastAsia" w:hAnsi="宋体"/>
                <w:b/>
                <w:kern w:val="2"/>
                <w:sz w:val="24"/>
              </w:rPr>
              <w:t>¥：       元</w:t>
            </w:r>
          </w:p>
        </w:tc>
      </w:tr>
      <w:tr w14:paraId="7DF8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0F104D9C">
            <w:pPr>
              <w:pStyle w:val="14"/>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481289">
            <w:pPr>
              <w:pStyle w:val="14"/>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51F316E8">
            <w:pPr>
              <w:pStyle w:val="14"/>
              <w:jc w:val="left"/>
              <w:rPr>
                <w:rFonts w:hAnsi="宋体"/>
                <w:b/>
                <w:kern w:val="2"/>
                <w:sz w:val="24"/>
              </w:rPr>
            </w:pPr>
            <w:r>
              <w:rPr>
                <w:rFonts w:hint="eastAsia" w:hAnsi="宋体"/>
                <w:b/>
                <w:kern w:val="2"/>
                <w:sz w:val="24"/>
              </w:rPr>
              <w:t xml:space="preserve"> 人民币：</w:t>
            </w:r>
          </w:p>
        </w:tc>
      </w:tr>
    </w:tbl>
    <w:p w14:paraId="33C83BF6">
      <w:pPr>
        <w:pStyle w:val="14"/>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3CD05D64">
      <w:pPr>
        <w:pStyle w:val="14"/>
        <w:spacing w:line="0" w:lineRule="atLeast"/>
        <w:ind w:left="336"/>
        <w:rPr>
          <w:rFonts w:hAnsi="宋体"/>
          <w:sz w:val="28"/>
          <w:szCs w:val="28"/>
        </w:rPr>
      </w:pPr>
      <w:r>
        <w:rPr>
          <w:rFonts w:hint="eastAsia" w:hAnsi="宋体"/>
          <w:sz w:val="28"/>
          <w:szCs w:val="28"/>
        </w:rPr>
        <w:t>2、本表“报价总价”必须与《报价一览表》中的“报价总价”一致。</w:t>
      </w:r>
    </w:p>
    <w:p w14:paraId="02818981">
      <w:pPr>
        <w:pStyle w:val="14"/>
        <w:spacing w:line="0" w:lineRule="atLeast"/>
        <w:ind w:left="336"/>
        <w:rPr>
          <w:rFonts w:hAnsi="宋体"/>
          <w:sz w:val="28"/>
          <w:szCs w:val="28"/>
        </w:rPr>
      </w:pPr>
      <w:r>
        <w:rPr>
          <w:rFonts w:hint="eastAsia" w:hAnsi="宋体"/>
          <w:sz w:val="28"/>
          <w:szCs w:val="28"/>
        </w:rPr>
        <w:t>3、对于报价免费的项目必须标明“免费”。</w:t>
      </w:r>
    </w:p>
    <w:p w14:paraId="18974F43">
      <w:pPr>
        <w:pStyle w:val="14"/>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77B0810E">
      <w:pPr>
        <w:pStyle w:val="14"/>
        <w:jc w:val="left"/>
        <w:rPr>
          <w:rFonts w:ascii="Times New Roman" w:hAnsi="Times New Roman"/>
          <w:szCs w:val="21"/>
        </w:rPr>
      </w:pPr>
    </w:p>
    <w:p w14:paraId="25B2332D">
      <w:pPr>
        <w:pStyle w:val="14"/>
        <w:jc w:val="left"/>
        <w:rPr>
          <w:rFonts w:ascii="Times New Roman" w:hAnsi="Times New Roman"/>
          <w:szCs w:val="21"/>
        </w:rPr>
      </w:pPr>
    </w:p>
    <w:p w14:paraId="4502A60A">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3FBCA64">
      <w:pPr>
        <w:spacing w:line="400" w:lineRule="exact"/>
        <w:rPr>
          <w:rFonts w:ascii="宋体" w:hAnsi="宋体"/>
          <w:sz w:val="32"/>
          <w:szCs w:val="32"/>
        </w:rPr>
      </w:pPr>
    </w:p>
    <w:p w14:paraId="716A33D0">
      <w:pPr>
        <w:spacing w:afterLines="50" w:line="400" w:lineRule="exact"/>
        <w:rPr>
          <w:rFonts w:ascii="宋体" w:hAnsi="宋体" w:cs="宋体"/>
          <w:bCs/>
          <w:color w:val="000000"/>
          <w:szCs w:val="21"/>
        </w:rPr>
      </w:pPr>
      <w:r>
        <w:rPr>
          <w:rFonts w:hint="eastAsia" w:ascii="宋体" w:hAnsi="宋体"/>
          <w:sz w:val="32"/>
          <w:szCs w:val="32"/>
        </w:rPr>
        <w:t>报价人单位（盖章）：</w:t>
      </w:r>
    </w:p>
    <w:p w14:paraId="625CC17C">
      <w:pPr>
        <w:rPr>
          <w:rFonts w:ascii="宋体" w:hAnsi="宋体" w:cs="宋体"/>
          <w:bCs/>
          <w:color w:val="000000"/>
          <w:szCs w:val="21"/>
        </w:rPr>
      </w:pPr>
      <w:r>
        <w:rPr>
          <w:rFonts w:hint="eastAsia" w:ascii="宋体" w:hAnsi="宋体" w:cs="宋体"/>
          <w:bCs/>
          <w:color w:val="000000"/>
          <w:szCs w:val="21"/>
        </w:rPr>
        <w:br w:type="page"/>
      </w:r>
    </w:p>
    <w:p w14:paraId="2CF76E14">
      <w:pPr>
        <w:numPr>
          <w:ilvl w:val="0"/>
          <w:numId w:val="4"/>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50DE7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79CF956">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73DEEE">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2B71CBE8">
            <w:pPr>
              <w:widowControl/>
              <w:jc w:val="center"/>
              <w:rPr>
                <w:rFonts w:ascii="宋体" w:hAnsi="宋体"/>
                <w:b/>
                <w:kern w:val="0"/>
                <w:szCs w:val="21"/>
              </w:rPr>
            </w:pPr>
            <w:r>
              <w:rPr>
                <w:rFonts w:hint="eastAsia" w:ascii="宋体" w:hAnsi="宋体"/>
                <w:b/>
                <w:kern w:val="0"/>
                <w:szCs w:val="21"/>
              </w:rPr>
              <w:t>证明材料</w:t>
            </w:r>
          </w:p>
        </w:tc>
      </w:tr>
      <w:tr w14:paraId="33938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5B512B1">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404FB0F6">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76CEC3D7">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58AF3EF">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41B08B77">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2B96180A">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6867A5C3">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77255C36">
            <w:pPr>
              <w:jc w:val="center"/>
              <w:rPr>
                <w:rFonts w:ascii="宋体" w:hAnsi="宋体"/>
                <w:b/>
                <w:szCs w:val="21"/>
              </w:rPr>
            </w:pPr>
            <w:r>
              <w:rPr>
                <w:rFonts w:hint="eastAsia" w:ascii="宋体" w:hAnsi="宋体"/>
                <w:b/>
                <w:szCs w:val="21"/>
              </w:rPr>
              <w:t>见报价文件__页</w:t>
            </w:r>
          </w:p>
        </w:tc>
      </w:tr>
      <w:tr w14:paraId="5BAB2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EAC06FB">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14D9E97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2AC6A5">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4B8D92">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4C3AC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8CD4AE">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B82FBF">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94CAF3">
            <w:pPr>
              <w:jc w:val="center"/>
              <w:rPr>
                <w:rFonts w:ascii="宋体" w:hAnsi="宋体"/>
                <w:szCs w:val="21"/>
              </w:rPr>
            </w:pPr>
          </w:p>
        </w:tc>
      </w:tr>
      <w:tr w14:paraId="25BDB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01CA661">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7CA3D06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60591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6069D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FE527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52E95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1230F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C851C7">
            <w:pPr>
              <w:spacing w:line="240" w:lineRule="exact"/>
              <w:jc w:val="center"/>
              <w:rPr>
                <w:rFonts w:ascii="宋体" w:hAnsi="宋体"/>
                <w:szCs w:val="21"/>
              </w:rPr>
            </w:pPr>
          </w:p>
        </w:tc>
      </w:tr>
      <w:tr w14:paraId="182E3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5552239">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4676AB7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AE198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FE632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F4C03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35C88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0096D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2B735F">
            <w:pPr>
              <w:spacing w:line="240" w:lineRule="exact"/>
              <w:jc w:val="center"/>
              <w:rPr>
                <w:rFonts w:ascii="宋体" w:hAnsi="宋体"/>
                <w:szCs w:val="21"/>
              </w:rPr>
            </w:pPr>
          </w:p>
        </w:tc>
      </w:tr>
      <w:tr w14:paraId="7856C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3E8758B">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1E1AAB0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CCAA8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96406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831D7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E93CA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A270E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9D4835">
            <w:pPr>
              <w:spacing w:line="240" w:lineRule="exact"/>
              <w:jc w:val="center"/>
              <w:rPr>
                <w:rFonts w:ascii="宋体" w:hAnsi="宋体"/>
                <w:szCs w:val="21"/>
              </w:rPr>
            </w:pPr>
          </w:p>
        </w:tc>
      </w:tr>
      <w:tr w14:paraId="5ED0A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40B9AB">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2AF0334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E527A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9581B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8FAA9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ECBD8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B94C4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DF4301">
            <w:pPr>
              <w:spacing w:line="240" w:lineRule="exact"/>
              <w:jc w:val="center"/>
              <w:rPr>
                <w:rFonts w:ascii="宋体" w:hAnsi="宋体"/>
                <w:szCs w:val="21"/>
              </w:rPr>
            </w:pPr>
          </w:p>
        </w:tc>
      </w:tr>
      <w:tr w14:paraId="6972A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68C64CB">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27D0BD2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123AE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6E004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CAB27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532E2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B6E51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8A5707">
            <w:pPr>
              <w:spacing w:line="240" w:lineRule="exact"/>
              <w:jc w:val="center"/>
              <w:rPr>
                <w:rFonts w:ascii="宋体" w:hAnsi="宋体"/>
                <w:szCs w:val="21"/>
              </w:rPr>
            </w:pPr>
          </w:p>
        </w:tc>
      </w:tr>
      <w:tr w14:paraId="40100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529E83B">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614C1E9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B7E76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4181E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0CA30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4680B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B8E6E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26BADA">
            <w:pPr>
              <w:spacing w:line="240" w:lineRule="exact"/>
              <w:jc w:val="center"/>
              <w:rPr>
                <w:rFonts w:ascii="宋体" w:hAnsi="宋体"/>
                <w:szCs w:val="21"/>
              </w:rPr>
            </w:pPr>
          </w:p>
        </w:tc>
      </w:tr>
      <w:tr w14:paraId="41D52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AB3A80B">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22538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CBEE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6571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7DDFF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87090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786A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C5A821">
            <w:pPr>
              <w:spacing w:line="240" w:lineRule="exact"/>
              <w:jc w:val="center"/>
              <w:rPr>
                <w:rFonts w:ascii="宋体" w:hAnsi="宋体"/>
                <w:szCs w:val="21"/>
              </w:rPr>
            </w:pPr>
          </w:p>
        </w:tc>
      </w:tr>
      <w:tr w14:paraId="7621E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DBA23F8">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C5E92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8BFFB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B0590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E3964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0F08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1F609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9C799D">
            <w:pPr>
              <w:spacing w:line="240" w:lineRule="exact"/>
              <w:jc w:val="center"/>
              <w:rPr>
                <w:rFonts w:ascii="宋体" w:hAnsi="宋体"/>
                <w:szCs w:val="21"/>
              </w:rPr>
            </w:pPr>
          </w:p>
        </w:tc>
      </w:tr>
    </w:tbl>
    <w:p w14:paraId="3DF5FCEE">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74A3317C">
      <w:pPr>
        <w:rPr>
          <w:rFonts w:ascii="宋体" w:hAnsi="宋体"/>
          <w:sz w:val="24"/>
        </w:rPr>
      </w:pPr>
    </w:p>
    <w:p w14:paraId="5BF40A28">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636B0A62">
      <w:pPr>
        <w:spacing w:line="400" w:lineRule="exact"/>
        <w:rPr>
          <w:rFonts w:ascii="宋体" w:hAnsi="宋体"/>
          <w:sz w:val="32"/>
          <w:szCs w:val="32"/>
        </w:rPr>
      </w:pPr>
    </w:p>
    <w:p w14:paraId="225C3A2A">
      <w:pPr>
        <w:spacing w:line="400" w:lineRule="exact"/>
        <w:rPr>
          <w:rFonts w:ascii="宋体" w:hAnsi="宋体"/>
          <w:sz w:val="32"/>
          <w:szCs w:val="32"/>
        </w:rPr>
      </w:pPr>
      <w:r>
        <w:rPr>
          <w:rFonts w:hint="eastAsia" w:ascii="宋体" w:hAnsi="宋体"/>
          <w:sz w:val="32"/>
          <w:szCs w:val="32"/>
        </w:rPr>
        <w:t>报价人单位（盖章）：</w:t>
      </w:r>
    </w:p>
    <w:p w14:paraId="7A586A84">
      <w:pPr>
        <w:rPr>
          <w:b/>
          <w:bCs/>
          <w:sz w:val="32"/>
        </w:rPr>
      </w:pPr>
      <w:r>
        <w:rPr>
          <w:rFonts w:hint="eastAsia"/>
          <w:b/>
          <w:bCs/>
          <w:sz w:val="32"/>
        </w:rPr>
        <w:br w:type="page"/>
      </w:r>
    </w:p>
    <w:p w14:paraId="1F23A92D">
      <w:pPr>
        <w:numPr>
          <w:ilvl w:val="0"/>
          <w:numId w:val="4"/>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9"/>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0C304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F1AE81E">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679FB84B">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37ADAB31">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5A9B81C4">
            <w:pPr>
              <w:jc w:val="center"/>
              <w:rPr>
                <w:rFonts w:ascii="宋体" w:hAnsi="宋体"/>
                <w:b/>
                <w:bCs/>
                <w:szCs w:val="21"/>
              </w:rPr>
            </w:pPr>
            <w:r>
              <w:rPr>
                <w:rFonts w:hint="eastAsia" w:ascii="宋体" w:hAnsi="宋体"/>
                <w:b/>
                <w:bCs/>
                <w:szCs w:val="21"/>
              </w:rPr>
              <w:t>商务条款偏离情况</w:t>
            </w:r>
          </w:p>
        </w:tc>
      </w:tr>
      <w:tr w14:paraId="3E3FB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804A658">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5E8C917A">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E668A87">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E2C2714">
            <w:pPr>
              <w:jc w:val="center"/>
              <w:rPr>
                <w:rFonts w:ascii="宋体" w:hAnsi="宋体"/>
                <w:szCs w:val="21"/>
              </w:rPr>
            </w:pPr>
          </w:p>
        </w:tc>
      </w:tr>
      <w:tr w14:paraId="71244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384C116">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67E62C0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A87DAB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CAD0853">
            <w:pPr>
              <w:spacing w:line="240" w:lineRule="exact"/>
              <w:jc w:val="center"/>
              <w:rPr>
                <w:rFonts w:ascii="宋体" w:hAnsi="宋体"/>
                <w:szCs w:val="21"/>
              </w:rPr>
            </w:pPr>
          </w:p>
        </w:tc>
      </w:tr>
      <w:tr w14:paraId="5922A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D8E18C7">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07C99B8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3C1BCF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C83466C">
            <w:pPr>
              <w:spacing w:line="240" w:lineRule="exact"/>
              <w:jc w:val="center"/>
              <w:rPr>
                <w:rFonts w:ascii="宋体" w:hAnsi="宋体"/>
                <w:szCs w:val="21"/>
              </w:rPr>
            </w:pPr>
          </w:p>
        </w:tc>
      </w:tr>
      <w:tr w14:paraId="0FE8B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45098C8">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40AB536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AFE8DC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4D84908">
            <w:pPr>
              <w:spacing w:line="240" w:lineRule="exact"/>
              <w:jc w:val="center"/>
              <w:rPr>
                <w:rFonts w:ascii="宋体" w:hAnsi="宋体"/>
                <w:szCs w:val="21"/>
              </w:rPr>
            </w:pPr>
          </w:p>
        </w:tc>
      </w:tr>
      <w:tr w14:paraId="03FFD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E32278B">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50B3BEC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9B974D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8C63EDB">
            <w:pPr>
              <w:spacing w:line="240" w:lineRule="exact"/>
              <w:jc w:val="center"/>
              <w:rPr>
                <w:rFonts w:ascii="宋体" w:hAnsi="宋体"/>
                <w:szCs w:val="21"/>
              </w:rPr>
            </w:pPr>
          </w:p>
        </w:tc>
      </w:tr>
      <w:tr w14:paraId="7E713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FC7510D">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2AE437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2E4DAF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AE2EA06">
            <w:pPr>
              <w:spacing w:line="240" w:lineRule="exact"/>
              <w:jc w:val="center"/>
              <w:rPr>
                <w:rFonts w:ascii="宋体" w:hAnsi="宋体"/>
                <w:szCs w:val="21"/>
              </w:rPr>
            </w:pPr>
          </w:p>
        </w:tc>
      </w:tr>
      <w:tr w14:paraId="57B14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42B114C">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1BAF48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F77CC3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F457191">
            <w:pPr>
              <w:spacing w:line="240" w:lineRule="exact"/>
              <w:jc w:val="center"/>
              <w:rPr>
                <w:rFonts w:ascii="宋体" w:hAnsi="宋体"/>
                <w:szCs w:val="21"/>
              </w:rPr>
            </w:pPr>
          </w:p>
        </w:tc>
      </w:tr>
    </w:tbl>
    <w:p w14:paraId="1B1F841B">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5980F5FF"/>
    <w:p w14:paraId="71AA2A72">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4C772C31">
      <w:pPr>
        <w:spacing w:line="400" w:lineRule="exact"/>
        <w:rPr>
          <w:rFonts w:ascii="宋体" w:hAnsi="宋体"/>
          <w:sz w:val="32"/>
          <w:szCs w:val="32"/>
        </w:rPr>
      </w:pPr>
    </w:p>
    <w:p w14:paraId="07498AE0">
      <w:pPr>
        <w:spacing w:line="400" w:lineRule="exact"/>
        <w:rPr>
          <w:rFonts w:ascii="宋体" w:hAnsi="宋体"/>
          <w:sz w:val="32"/>
          <w:szCs w:val="32"/>
        </w:rPr>
      </w:pPr>
      <w:r>
        <w:rPr>
          <w:rFonts w:hint="eastAsia" w:ascii="宋体" w:hAnsi="宋体"/>
          <w:sz w:val="32"/>
          <w:szCs w:val="32"/>
        </w:rPr>
        <w:t>报价人单位（盖章）：</w:t>
      </w:r>
    </w:p>
    <w:p w14:paraId="4438B498">
      <w:pPr>
        <w:rPr>
          <w:rFonts w:ascii="宋体" w:hAnsi="宋体"/>
          <w:sz w:val="24"/>
        </w:rPr>
      </w:pPr>
      <w:r>
        <w:rPr>
          <w:rFonts w:hint="eastAsia" w:ascii="宋体" w:hAnsi="宋体"/>
          <w:sz w:val="24"/>
        </w:rPr>
        <w:br w:type="page"/>
      </w:r>
    </w:p>
    <w:p w14:paraId="36441D9D">
      <w:pPr>
        <w:numPr>
          <w:ilvl w:val="0"/>
          <w:numId w:val="4"/>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659A3E66">
      <w:pPr>
        <w:spacing w:line="560" w:lineRule="exact"/>
        <w:rPr>
          <w:rFonts w:ascii="宋体" w:hAnsi="宋体"/>
          <w:sz w:val="28"/>
          <w:szCs w:val="28"/>
        </w:rPr>
      </w:pPr>
    </w:p>
    <w:p w14:paraId="1310C432">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40F8434D">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5EBB4235">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0EB52D24">
      <w:pPr>
        <w:numPr>
          <w:ilvl w:val="0"/>
          <w:numId w:val="6"/>
        </w:numPr>
        <w:spacing w:line="400" w:lineRule="exact"/>
        <w:rPr>
          <w:rFonts w:ascii="宋体" w:hAnsi="宋体"/>
          <w:sz w:val="24"/>
        </w:rPr>
      </w:pPr>
      <w:r>
        <w:rPr>
          <w:rFonts w:hint="eastAsia" w:ascii="宋体" w:hAnsi="宋体"/>
          <w:sz w:val="24"/>
        </w:rPr>
        <w:t>按采购书要求提供的报价总价详见《报价一览表》。</w:t>
      </w:r>
    </w:p>
    <w:p w14:paraId="23C133D3">
      <w:pPr>
        <w:numPr>
          <w:ilvl w:val="0"/>
          <w:numId w:val="6"/>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79C96DAF">
      <w:pPr>
        <w:numPr>
          <w:ilvl w:val="0"/>
          <w:numId w:val="6"/>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08725647">
      <w:pPr>
        <w:numPr>
          <w:ilvl w:val="0"/>
          <w:numId w:val="6"/>
        </w:numPr>
        <w:spacing w:line="400" w:lineRule="exact"/>
        <w:rPr>
          <w:rFonts w:ascii="宋体" w:hAnsi="宋体"/>
          <w:sz w:val="24"/>
        </w:rPr>
      </w:pPr>
      <w:r>
        <w:rPr>
          <w:rFonts w:hint="eastAsia" w:ascii="宋体" w:hAnsi="宋体"/>
          <w:sz w:val="24"/>
        </w:rPr>
        <w:t>我方理解贵方不一定接受最低报价。</w:t>
      </w:r>
    </w:p>
    <w:p w14:paraId="49E80CBC">
      <w:pPr>
        <w:numPr>
          <w:ilvl w:val="0"/>
          <w:numId w:val="6"/>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03981B7F">
      <w:pPr>
        <w:numPr>
          <w:ilvl w:val="0"/>
          <w:numId w:val="6"/>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1B26492D">
      <w:pPr>
        <w:numPr>
          <w:ilvl w:val="0"/>
          <w:numId w:val="6"/>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0D14E64C">
      <w:pPr>
        <w:numPr>
          <w:ilvl w:val="0"/>
          <w:numId w:val="7"/>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5BFA43F3">
      <w:pPr>
        <w:numPr>
          <w:ilvl w:val="0"/>
          <w:numId w:val="6"/>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5FA9236A">
      <w:pPr>
        <w:numPr>
          <w:ilvl w:val="0"/>
          <w:numId w:val="6"/>
        </w:numPr>
        <w:spacing w:line="400" w:lineRule="exact"/>
        <w:rPr>
          <w:rFonts w:ascii="宋体" w:hAnsi="宋体"/>
          <w:sz w:val="24"/>
        </w:rPr>
      </w:pPr>
      <w:r>
        <w:rPr>
          <w:rFonts w:hint="eastAsia" w:ascii="宋体" w:hAnsi="宋体"/>
          <w:sz w:val="24"/>
        </w:rPr>
        <w:t>所有与本采购项目有关的函件请发往下列地址：</w:t>
      </w:r>
    </w:p>
    <w:p w14:paraId="2D143481">
      <w:pPr>
        <w:spacing w:line="400" w:lineRule="exact"/>
        <w:rPr>
          <w:rFonts w:ascii="宋体" w:hAnsi="宋体"/>
          <w:sz w:val="24"/>
        </w:rPr>
      </w:pPr>
    </w:p>
    <w:p w14:paraId="6503D4C5">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6DC754C2">
      <w:pPr>
        <w:spacing w:line="440" w:lineRule="exact"/>
        <w:ind w:firstLine="240" w:firstLineChars="100"/>
        <w:rPr>
          <w:rFonts w:ascii="宋体" w:hAnsi="宋体"/>
          <w:sz w:val="24"/>
          <w:u w:val="single"/>
        </w:rPr>
      </w:pPr>
      <w:r>
        <w:rPr>
          <w:rFonts w:hint="eastAsia" w:ascii="宋体" w:hAnsi="宋体"/>
          <w:sz w:val="24"/>
        </w:rPr>
        <w:t>地    址：.邮政编码：.</w:t>
      </w:r>
    </w:p>
    <w:p w14:paraId="4A9CBBD1">
      <w:pPr>
        <w:spacing w:line="440" w:lineRule="exact"/>
        <w:rPr>
          <w:rFonts w:ascii="宋体" w:hAnsi="宋体"/>
          <w:sz w:val="24"/>
          <w:u w:val="single"/>
        </w:rPr>
      </w:pPr>
      <w:r>
        <w:rPr>
          <w:rFonts w:hint="eastAsia" w:ascii="宋体" w:hAnsi="宋体"/>
          <w:sz w:val="24"/>
        </w:rPr>
        <w:t xml:space="preserve">  代表姓名：.职    务：.</w:t>
      </w:r>
    </w:p>
    <w:p w14:paraId="2634D19A">
      <w:pPr>
        <w:spacing w:line="560" w:lineRule="exact"/>
        <w:ind w:firstLine="280" w:firstLineChars="100"/>
        <w:rPr>
          <w:rFonts w:ascii="宋体" w:hAnsi="宋体"/>
          <w:sz w:val="28"/>
          <w:szCs w:val="28"/>
        </w:rPr>
      </w:pPr>
      <w:r>
        <w:rPr>
          <w:rFonts w:hint="eastAsia" w:ascii="宋体" w:hAnsi="宋体"/>
          <w:sz w:val="28"/>
          <w:szCs w:val="28"/>
        </w:rPr>
        <w:t>特此声明。</w:t>
      </w:r>
    </w:p>
    <w:p w14:paraId="4BEB532A">
      <w:pPr>
        <w:spacing w:line="480" w:lineRule="exact"/>
        <w:rPr>
          <w:rFonts w:ascii="宋体" w:hAnsi="宋体"/>
          <w:sz w:val="32"/>
          <w:szCs w:val="32"/>
        </w:rPr>
      </w:pPr>
    </w:p>
    <w:p w14:paraId="71FC9F4B">
      <w:pPr>
        <w:spacing w:line="480" w:lineRule="exact"/>
        <w:rPr>
          <w:rFonts w:ascii="宋体" w:hAnsi="宋体"/>
          <w:sz w:val="32"/>
          <w:szCs w:val="32"/>
        </w:rPr>
      </w:pPr>
    </w:p>
    <w:p w14:paraId="48E9B5AC">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2892228">
      <w:pPr>
        <w:spacing w:line="400" w:lineRule="exact"/>
        <w:rPr>
          <w:rFonts w:ascii="宋体" w:hAnsi="宋体"/>
          <w:sz w:val="32"/>
          <w:szCs w:val="32"/>
        </w:rPr>
      </w:pPr>
    </w:p>
    <w:p w14:paraId="242AD48B">
      <w:pPr>
        <w:spacing w:line="400" w:lineRule="exact"/>
        <w:rPr>
          <w:rFonts w:ascii="宋体" w:hAnsi="宋体"/>
          <w:sz w:val="32"/>
          <w:szCs w:val="32"/>
        </w:rPr>
      </w:pPr>
      <w:r>
        <w:rPr>
          <w:rFonts w:hint="eastAsia" w:ascii="宋体" w:hAnsi="宋体"/>
          <w:sz w:val="32"/>
          <w:szCs w:val="32"/>
        </w:rPr>
        <w:t>报价人单位（盖章）：</w:t>
      </w:r>
    </w:p>
    <w:p w14:paraId="5691E211">
      <w:pPr>
        <w:spacing w:line="400" w:lineRule="exact"/>
        <w:rPr>
          <w:rFonts w:ascii="宋体" w:hAnsi="宋体"/>
          <w:sz w:val="32"/>
          <w:szCs w:val="32"/>
        </w:rPr>
      </w:pPr>
    </w:p>
    <w:p w14:paraId="23E211FE">
      <w:pPr>
        <w:spacing w:line="400" w:lineRule="exact"/>
        <w:rPr>
          <w:rFonts w:ascii="宋体" w:hAnsi="宋体"/>
          <w:sz w:val="32"/>
          <w:szCs w:val="32"/>
        </w:rPr>
      </w:pPr>
      <w:r>
        <w:rPr>
          <w:rFonts w:hint="eastAsia" w:ascii="宋体" w:hAnsi="宋体"/>
          <w:sz w:val="32"/>
          <w:szCs w:val="32"/>
        </w:rPr>
        <w:t xml:space="preserve">                                    年  月  日</w:t>
      </w:r>
    </w:p>
    <w:p w14:paraId="5371B382">
      <w:pPr>
        <w:spacing w:line="320" w:lineRule="exact"/>
        <w:jc w:val="center"/>
        <w:rPr>
          <w:rFonts w:ascii="宋体" w:hAnsi="宋体"/>
          <w:b/>
          <w:sz w:val="28"/>
          <w:szCs w:val="28"/>
        </w:rPr>
      </w:pPr>
    </w:p>
    <w:p w14:paraId="50FE828E">
      <w:pPr>
        <w:spacing w:line="320" w:lineRule="exact"/>
        <w:jc w:val="center"/>
        <w:rPr>
          <w:rFonts w:ascii="宋体" w:hAnsi="宋体"/>
          <w:b/>
          <w:sz w:val="28"/>
          <w:szCs w:val="28"/>
        </w:rPr>
      </w:pPr>
    </w:p>
    <w:p w14:paraId="37EEE33D">
      <w:pPr>
        <w:rPr>
          <w:rFonts w:ascii="宋体" w:hAnsi="宋体"/>
          <w:b/>
          <w:sz w:val="44"/>
          <w:szCs w:val="44"/>
        </w:rPr>
      </w:pPr>
      <w:r>
        <w:rPr>
          <w:rFonts w:hint="eastAsia" w:ascii="宋体" w:hAnsi="宋体"/>
          <w:b/>
          <w:sz w:val="44"/>
          <w:szCs w:val="44"/>
        </w:rPr>
        <w:br w:type="page"/>
      </w:r>
    </w:p>
    <w:p w14:paraId="478133DB">
      <w:pPr>
        <w:numPr>
          <w:ilvl w:val="0"/>
          <w:numId w:val="4"/>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63BE0E66">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5B55E1B-4785-45B8-9AC0-2D9DEE76BDD4}"/>
  </w:font>
  <w:font w:name="黑体">
    <w:panose1 w:val="02010609060101010101"/>
    <w:charset w:val="86"/>
    <w:family w:val="auto"/>
    <w:pitch w:val="default"/>
    <w:sig w:usb0="800002BF" w:usb1="38CF7CFA" w:usb2="00000016" w:usb3="00000000" w:csb0="00040001" w:csb1="00000000"/>
    <w:embedRegular r:id="rId2" w:fontKey="{41125509-033D-4004-A33D-A85FCC3336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574B5C6D-4CBE-4EBE-8951-06A80A0510B3}"/>
  </w:font>
  <w:font w:name="Cambria">
    <w:panose1 w:val="02040503050406030204"/>
    <w:charset w:val="00"/>
    <w:family w:val="roman"/>
    <w:pitch w:val="default"/>
    <w:sig w:usb0="E00002FF" w:usb1="400004FF" w:usb2="00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A5A12854-0700-4041-B448-4D4EBD609A10}"/>
  </w:font>
  <w:font w:name="楷体_GB2312">
    <w:panose1 w:val="02010609030101010101"/>
    <w:charset w:val="86"/>
    <w:family w:val="modern"/>
    <w:pitch w:val="default"/>
    <w:sig w:usb0="00000001" w:usb1="080E0000" w:usb2="00000000" w:usb3="00000000" w:csb0="00040000" w:csb1="00000000"/>
    <w:embedRegular r:id="rId5" w:fontKey="{70A8C645-CC66-45E3-974A-B77E6011B9CA}"/>
  </w:font>
  <w:font w:name="楷体">
    <w:panose1 w:val="02010609060101010101"/>
    <w:charset w:val="86"/>
    <w:family w:val="auto"/>
    <w:pitch w:val="default"/>
    <w:sig w:usb0="800002BF" w:usb1="38CF7CFA" w:usb2="00000016" w:usb3="00000000" w:csb0="00040001" w:csb1="00000000"/>
    <w:embedRegular r:id="rId6" w:fontKey="{11595028-024B-4700-BC32-8065CB461EBE}"/>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E12A">
    <w:pPr>
      <w:pStyle w:val="17"/>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D70994">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7D70994">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FA718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BFA718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67931">
    <w:pPr>
      <w:pStyle w:val="1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1E1179">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81E1179">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0450F">
    <w:pPr>
      <w:pStyle w:val="17"/>
      <w:ind w:right="360"/>
      <w:rPr>
        <w:u w:val="single"/>
      </w:rPr>
    </w:pPr>
  </w:p>
  <w:p w14:paraId="0802C843">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DFA1">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33EA2">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6B84C">
    <w:pPr>
      <w:pStyle w:val="18"/>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D26E0B">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2D26E0B">
                    <w:pPr>
                      <w:pStyle w:val="18"/>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2">
    <w:nsid w:val="407E65F9"/>
    <w:multiLevelType w:val="multilevel"/>
    <w:tmpl w:val="407E65F9"/>
    <w:lvl w:ilvl="0" w:tentative="0">
      <w:start w:val="0"/>
      <w:numFmt w:val="decimal"/>
      <w:pStyle w:val="95"/>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C3C74AC"/>
    <w:multiLevelType w:val="singleLevel"/>
    <w:tmpl w:val="5C3C74AC"/>
    <w:lvl w:ilvl="0" w:tentative="0">
      <w:start w:val="1"/>
      <w:numFmt w:val="chineseCounting"/>
      <w:suff w:val="nothing"/>
      <w:lvlText w:val="%1、"/>
      <w:lvlJc w:val="left"/>
      <w:rPr>
        <w:rFonts w:hint="eastAsia"/>
      </w:rPr>
    </w:lvl>
  </w:abstractNum>
  <w:abstractNum w:abstractNumId="5">
    <w:nsid w:val="5D1ACA94"/>
    <w:multiLevelType w:val="singleLevel"/>
    <w:tmpl w:val="5D1ACA94"/>
    <w:lvl w:ilvl="0" w:tentative="0">
      <w:start w:val="3"/>
      <w:numFmt w:val="decimal"/>
      <w:suff w:val="nothing"/>
      <w:lvlText w:val="%1、"/>
      <w:lvlJc w:val="left"/>
    </w:lvl>
  </w:abstractNum>
  <w:num w:numId="1">
    <w:abstractNumId w:val="2"/>
  </w:num>
  <w:num w:numId="2">
    <w:abstractNumId w:val="5"/>
  </w:num>
  <w:num w:numId="3">
    <w:abstractNumId w:val="4"/>
  </w:num>
  <w:num w:numId="4">
    <w:abstractNumId w:val="0"/>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338148D"/>
    <w:rsid w:val="03AD1858"/>
    <w:rsid w:val="03D568F0"/>
    <w:rsid w:val="05940418"/>
    <w:rsid w:val="07654F6A"/>
    <w:rsid w:val="079E325C"/>
    <w:rsid w:val="0A2F4D76"/>
    <w:rsid w:val="0BEE41F8"/>
    <w:rsid w:val="0D0015C5"/>
    <w:rsid w:val="0E6949B3"/>
    <w:rsid w:val="0F666038"/>
    <w:rsid w:val="0FEF4AD0"/>
    <w:rsid w:val="11FA2096"/>
    <w:rsid w:val="12254861"/>
    <w:rsid w:val="12B4052F"/>
    <w:rsid w:val="12EC524A"/>
    <w:rsid w:val="13071F04"/>
    <w:rsid w:val="13C52591"/>
    <w:rsid w:val="14A66120"/>
    <w:rsid w:val="14E23522"/>
    <w:rsid w:val="168532DC"/>
    <w:rsid w:val="173373DC"/>
    <w:rsid w:val="1753107A"/>
    <w:rsid w:val="18DC1D83"/>
    <w:rsid w:val="18DD33E1"/>
    <w:rsid w:val="18EE0C00"/>
    <w:rsid w:val="1A8A22B6"/>
    <w:rsid w:val="1AE42B15"/>
    <w:rsid w:val="20BC39CA"/>
    <w:rsid w:val="213E5304"/>
    <w:rsid w:val="21E00F42"/>
    <w:rsid w:val="222039B6"/>
    <w:rsid w:val="245F6E0F"/>
    <w:rsid w:val="24905418"/>
    <w:rsid w:val="263B5217"/>
    <w:rsid w:val="27192484"/>
    <w:rsid w:val="27C423D8"/>
    <w:rsid w:val="28E13EA5"/>
    <w:rsid w:val="291150CE"/>
    <w:rsid w:val="2E2429AD"/>
    <w:rsid w:val="2E7F096C"/>
    <w:rsid w:val="2E950643"/>
    <w:rsid w:val="2EAF63F2"/>
    <w:rsid w:val="305B2BFC"/>
    <w:rsid w:val="311763F2"/>
    <w:rsid w:val="3237724D"/>
    <w:rsid w:val="32C61B83"/>
    <w:rsid w:val="33507888"/>
    <w:rsid w:val="344B05CF"/>
    <w:rsid w:val="34683033"/>
    <w:rsid w:val="35B77661"/>
    <w:rsid w:val="36583023"/>
    <w:rsid w:val="3713274F"/>
    <w:rsid w:val="39A6093D"/>
    <w:rsid w:val="39E83D16"/>
    <w:rsid w:val="3BE3477B"/>
    <w:rsid w:val="3BF75747"/>
    <w:rsid w:val="3C1314F2"/>
    <w:rsid w:val="3D832EB5"/>
    <w:rsid w:val="3EB43B95"/>
    <w:rsid w:val="3F0535D6"/>
    <w:rsid w:val="401A05CF"/>
    <w:rsid w:val="40652603"/>
    <w:rsid w:val="42532A81"/>
    <w:rsid w:val="442F0A64"/>
    <w:rsid w:val="44FE771E"/>
    <w:rsid w:val="453D2E2E"/>
    <w:rsid w:val="45445BFA"/>
    <w:rsid w:val="455B5F6E"/>
    <w:rsid w:val="4678338B"/>
    <w:rsid w:val="476B2D91"/>
    <w:rsid w:val="48833F13"/>
    <w:rsid w:val="48BA3564"/>
    <w:rsid w:val="4ADD6003"/>
    <w:rsid w:val="4BEB2A35"/>
    <w:rsid w:val="4C9204F0"/>
    <w:rsid w:val="4DBA5FA6"/>
    <w:rsid w:val="4DD5065C"/>
    <w:rsid w:val="4FC628D5"/>
    <w:rsid w:val="507A5425"/>
    <w:rsid w:val="50C30629"/>
    <w:rsid w:val="51577DD1"/>
    <w:rsid w:val="51AB09AF"/>
    <w:rsid w:val="520732F2"/>
    <w:rsid w:val="531269D1"/>
    <w:rsid w:val="54B4589B"/>
    <w:rsid w:val="55B90436"/>
    <w:rsid w:val="57434CFA"/>
    <w:rsid w:val="5A165665"/>
    <w:rsid w:val="5A965CB3"/>
    <w:rsid w:val="5ADC24CC"/>
    <w:rsid w:val="5C097FBF"/>
    <w:rsid w:val="5C837B0E"/>
    <w:rsid w:val="5CFE645C"/>
    <w:rsid w:val="5D901B4E"/>
    <w:rsid w:val="5DCB7EB6"/>
    <w:rsid w:val="5EB743B6"/>
    <w:rsid w:val="6194517C"/>
    <w:rsid w:val="62437726"/>
    <w:rsid w:val="628F0A4F"/>
    <w:rsid w:val="6296560A"/>
    <w:rsid w:val="62D60C04"/>
    <w:rsid w:val="62DB6DB3"/>
    <w:rsid w:val="63065FF8"/>
    <w:rsid w:val="63550335"/>
    <w:rsid w:val="68742FE5"/>
    <w:rsid w:val="697C1D6F"/>
    <w:rsid w:val="6A80153E"/>
    <w:rsid w:val="6F544E68"/>
    <w:rsid w:val="719242C5"/>
    <w:rsid w:val="72B62304"/>
    <w:rsid w:val="742D0AEA"/>
    <w:rsid w:val="750157C1"/>
    <w:rsid w:val="77F228DE"/>
    <w:rsid w:val="78851ED1"/>
    <w:rsid w:val="79C61CFF"/>
    <w:rsid w:val="7A562C05"/>
    <w:rsid w:val="7D1B6DAD"/>
    <w:rsid w:val="7DBD7DE5"/>
    <w:rsid w:val="7E740121"/>
    <w:rsid w:val="7FC6480C"/>
    <w:rsid w:val="7FF518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line="720" w:lineRule="exact"/>
      <w:jc w:val="center"/>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8"/>
    <w:qFormat/>
    <w:uiPriority w:val="0"/>
    <w:pPr>
      <w:ind w:firstLine="420"/>
    </w:pPr>
    <w:rPr>
      <w:rFonts w:ascii="Calibri" w:hAnsi="Calibri"/>
      <w:kern w:val="0"/>
      <w:sz w:val="20"/>
      <w:szCs w:val="20"/>
    </w:rPr>
  </w:style>
  <w:style w:type="paragraph" w:styleId="7">
    <w:name w:val="Document Map"/>
    <w:basedOn w:val="1"/>
    <w:link w:val="63"/>
    <w:semiHidden/>
    <w:qFormat/>
    <w:uiPriority w:val="0"/>
    <w:pPr>
      <w:shd w:val="clear" w:color="auto" w:fill="000080"/>
    </w:pPr>
    <w:rPr>
      <w:kern w:val="0"/>
      <w:sz w:val="20"/>
    </w:rPr>
  </w:style>
  <w:style w:type="paragraph" w:styleId="8">
    <w:name w:val="annotation text"/>
    <w:basedOn w:val="1"/>
    <w:next w:val="9"/>
    <w:link w:val="66"/>
    <w:qFormat/>
    <w:uiPriority w:val="0"/>
    <w:pPr>
      <w:spacing w:line="280" w:lineRule="exact"/>
      <w:jc w:val="left"/>
    </w:pPr>
    <w:rPr>
      <w:sz w:val="24"/>
    </w:rPr>
  </w:style>
  <w:style w:type="paragraph" w:styleId="9">
    <w:name w:val="Balloon Text"/>
    <w:basedOn w:val="1"/>
    <w:link w:val="42"/>
    <w:semiHidden/>
    <w:qFormat/>
    <w:uiPriority w:val="0"/>
    <w:pPr>
      <w:adjustRightInd w:val="0"/>
      <w:snapToGrid w:val="0"/>
    </w:pPr>
    <w:rPr>
      <w:sz w:val="28"/>
      <w:szCs w:val="18"/>
    </w:rPr>
  </w:style>
  <w:style w:type="paragraph" w:styleId="10">
    <w:name w:val="Body Text"/>
    <w:basedOn w:val="1"/>
    <w:qFormat/>
    <w:uiPriority w:val="0"/>
    <w:pPr>
      <w:spacing w:after="120"/>
    </w:pPr>
  </w:style>
  <w:style w:type="paragraph" w:styleId="11">
    <w:name w:val="Body Text Indent"/>
    <w:basedOn w:val="1"/>
    <w:link w:val="56"/>
    <w:qFormat/>
    <w:uiPriority w:val="0"/>
    <w:pPr>
      <w:ind w:firstLine="570"/>
    </w:pPr>
    <w:rPr>
      <w:rFonts w:ascii="宋体" w:hAnsi="宋体"/>
      <w:kern w:val="0"/>
      <w:sz w:val="24"/>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kern w:val="0"/>
      <w:sz w:val="20"/>
    </w:rPr>
  </w:style>
  <w:style w:type="paragraph" w:styleId="15">
    <w:name w:val="Date"/>
    <w:basedOn w:val="1"/>
    <w:next w:val="1"/>
    <w:link w:val="40"/>
    <w:qFormat/>
    <w:uiPriority w:val="0"/>
    <w:pPr>
      <w:ind w:left="100" w:leftChars="2500"/>
    </w:pPr>
    <w:rPr>
      <w:kern w:val="0"/>
      <w:sz w:val="28"/>
    </w:rPr>
  </w:style>
  <w:style w:type="paragraph" w:styleId="16">
    <w:name w:val="Body Text Indent 2"/>
    <w:basedOn w:val="1"/>
    <w:link w:val="61"/>
    <w:qFormat/>
    <w:uiPriority w:val="0"/>
    <w:pPr>
      <w:spacing w:line="300" w:lineRule="auto"/>
      <w:ind w:firstLine="540" w:firstLineChars="225"/>
    </w:pPr>
    <w:rPr>
      <w:rFonts w:ascii="宋体" w:hAnsi="宋体"/>
      <w:color w:val="000000"/>
      <w:kern w:val="0"/>
      <w:sz w:val="24"/>
    </w:rPr>
  </w:style>
  <w:style w:type="paragraph" w:styleId="17">
    <w:name w:val="footer"/>
    <w:basedOn w:val="1"/>
    <w:link w:val="57"/>
    <w:qFormat/>
    <w:uiPriority w:val="0"/>
    <w:pPr>
      <w:tabs>
        <w:tab w:val="center" w:pos="4153"/>
        <w:tab w:val="right" w:pos="8306"/>
      </w:tabs>
      <w:snapToGrid w:val="0"/>
      <w:jc w:val="left"/>
    </w:pPr>
    <w:rPr>
      <w:kern w:val="0"/>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1"/>
    <w:qFormat/>
    <w:uiPriority w:val="0"/>
    <w:pPr>
      <w:snapToGrid w:val="0"/>
      <w:jc w:val="left"/>
    </w:pPr>
    <w:rPr>
      <w:kern w:val="0"/>
      <w:sz w:val="18"/>
      <w:szCs w:val="18"/>
    </w:rPr>
  </w:style>
  <w:style w:type="paragraph" w:styleId="24">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8"/>
    <w:next w:val="8"/>
    <w:link w:val="64"/>
    <w:semiHidden/>
    <w:qFormat/>
    <w:uiPriority w:val="0"/>
    <w:rPr>
      <w:b/>
      <w:bCs/>
      <w:kern w:val="0"/>
      <w:sz w:val="20"/>
    </w:rPr>
  </w:style>
  <w:style w:type="paragraph" w:styleId="28">
    <w:name w:val="Body Text First Indent"/>
    <w:basedOn w:val="10"/>
    <w:qFormat/>
    <w:uiPriority w:val="0"/>
    <w:pPr>
      <w:ind w:firstLine="420" w:firstLineChars="100"/>
    </w:pPr>
    <w:rPr>
      <w:sz w:val="22"/>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Emphasis"/>
    <w:basedOn w:val="31"/>
    <w:qFormat/>
    <w:uiPriority w:val="20"/>
    <w:rPr>
      <w:color w:val="CC0000"/>
    </w:rPr>
  </w:style>
  <w:style w:type="character" w:styleId="36">
    <w:name w:val="Hyperlink"/>
    <w:qFormat/>
    <w:uiPriority w:val="99"/>
    <w:rPr>
      <w:color w:val="0000FF"/>
      <w:u w:val="single"/>
    </w:rPr>
  </w:style>
  <w:style w:type="character" w:styleId="37">
    <w:name w:val="annotation reference"/>
    <w:semiHidden/>
    <w:qFormat/>
    <w:uiPriority w:val="0"/>
    <w:rPr>
      <w:sz w:val="21"/>
      <w:szCs w:val="21"/>
    </w:rPr>
  </w:style>
  <w:style w:type="character" w:styleId="38">
    <w:name w:val="footnote reference"/>
    <w:qFormat/>
    <w:uiPriority w:val="0"/>
    <w:rPr>
      <w:vertAlign w:val="superscript"/>
    </w:rPr>
  </w:style>
  <w:style w:type="character" w:customStyle="1" w:styleId="39">
    <w:name w:val="副标题 Char"/>
    <w:link w:val="22"/>
    <w:qFormat/>
    <w:uiPriority w:val="0"/>
    <w:rPr>
      <w:rFonts w:ascii="Cambria" w:hAnsi="Cambria" w:eastAsia="宋体" w:cs="Times New Roman"/>
      <w:b/>
      <w:bCs/>
      <w:kern w:val="28"/>
      <w:sz w:val="32"/>
      <w:szCs w:val="32"/>
    </w:rPr>
  </w:style>
  <w:style w:type="character" w:customStyle="1" w:styleId="40">
    <w:name w:val="日期 Char"/>
    <w:link w:val="15"/>
    <w:qFormat/>
    <w:uiPriority w:val="0"/>
    <w:rPr>
      <w:rFonts w:ascii="Times New Roman" w:hAnsi="Times New Roman" w:eastAsia="宋体" w:cs="Times New Roman"/>
      <w:sz w:val="28"/>
      <w:szCs w:val="24"/>
    </w:rPr>
  </w:style>
  <w:style w:type="character" w:customStyle="1" w:styleId="41">
    <w:name w:val="脚注文本 Char"/>
    <w:link w:val="23"/>
    <w:qFormat/>
    <w:uiPriority w:val="0"/>
    <w:rPr>
      <w:rFonts w:ascii="Times New Roman" w:hAnsi="Times New Roman" w:eastAsia="宋体" w:cs="Times New Roman"/>
      <w:sz w:val="18"/>
      <w:szCs w:val="18"/>
    </w:rPr>
  </w:style>
  <w:style w:type="character" w:customStyle="1" w:styleId="42">
    <w:name w:val="批注框文本 Char"/>
    <w:link w:val="9"/>
    <w:semiHidden/>
    <w:qFormat/>
    <w:uiPriority w:val="0"/>
    <w:rPr>
      <w:rFonts w:ascii="Times New Roman" w:hAnsi="Times New Roman"/>
      <w:kern w:val="2"/>
      <w:sz w:val="28"/>
      <w:szCs w:val="18"/>
    </w:rPr>
  </w:style>
  <w:style w:type="character" w:customStyle="1" w:styleId="43">
    <w:name w:val="纯文本 Char"/>
    <w:link w:val="14"/>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4"/>
    <w:qFormat/>
    <w:uiPriority w:val="0"/>
    <w:rPr>
      <w:rFonts w:ascii="宋体" w:hAnsi="Times New Roman" w:eastAsia="宋体" w:cs="Times New Roman"/>
      <w:sz w:val="28"/>
      <w:szCs w:val="20"/>
    </w:rPr>
  </w:style>
  <w:style w:type="character" w:customStyle="1" w:styleId="48">
    <w:name w:val="正文缩进 Char"/>
    <w:link w:val="6"/>
    <w:qFormat/>
    <w:uiPriority w:val="0"/>
    <w:rPr>
      <w:rFonts w:eastAsia="宋体"/>
    </w:rPr>
  </w:style>
  <w:style w:type="character" w:customStyle="1" w:styleId="49">
    <w:name w:val="标题 2 Char"/>
    <w:link w:val="3"/>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8"/>
    <w:link w:val="50"/>
    <w:qFormat/>
    <w:uiPriority w:val="0"/>
    <w:pPr>
      <w:pBdr>
        <w:bottom w:val="none" w:color="auto" w:sz="0" w:space="0"/>
      </w:pBdr>
      <w:jc w:val="both"/>
    </w:pPr>
  </w:style>
  <w:style w:type="character" w:customStyle="1" w:styleId="52">
    <w:name w:val="页眉 Char"/>
    <w:link w:val="18"/>
    <w:qFormat/>
    <w:uiPriority w:val="0"/>
    <w:rPr>
      <w:sz w:val="18"/>
      <w:szCs w:val="18"/>
    </w:rPr>
  </w:style>
  <w:style w:type="character" w:customStyle="1" w:styleId="53">
    <w:name w:val="标题 3 Char"/>
    <w:link w:val="4"/>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1"/>
    <w:qFormat/>
    <w:uiPriority w:val="0"/>
  </w:style>
  <w:style w:type="character" w:customStyle="1" w:styleId="56">
    <w:name w:val="正文文本缩进 Char"/>
    <w:link w:val="11"/>
    <w:qFormat/>
    <w:uiPriority w:val="0"/>
    <w:rPr>
      <w:rFonts w:ascii="宋体" w:hAnsi="宋体" w:eastAsia="宋体" w:cs="Times New Roman"/>
      <w:sz w:val="24"/>
      <w:szCs w:val="24"/>
    </w:rPr>
  </w:style>
  <w:style w:type="character" w:customStyle="1" w:styleId="57">
    <w:name w:val="页脚 Char"/>
    <w:link w:val="17"/>
    <w:qFormat/>
    <w:uiPriority w:val="0"/>
    <w:rPr>
      <w:rFonts w:ascii="Times New Roman" w:hAnsi="Times New Roman" w:eastAsia="宋体" w:cs="Times New Roman"/>
      <w:sz w:val="18"/>
      <w:szCs w:val="18"/>
    </w:rPr>
  </w:style>
  <w:style w:type="character" w:customStyle="1" w:styleId="58">
    <w:name w:val="标题 4 Char"/>
    <w:link w:val="5"/>
    <w:semiHidden/>
    <w:qFormat/>
    <w:uiPriority w:val="9"/>
    <w:rPr>
      <w:rFonts w:ascii="Cambria" w:hAnsi="Cambria" w:eastAsia="宋体" w:cs="Times New Roman"/>
      <w:b/>
      <w:bCs/>
      <w:sz w:val="28"/>
      <w:szCs w:val="28"/>
    </w:rPr>
  </w:style>
  <w:style w:type="character" w:customStyle="1" w:styleId="59">
    <w:name w:val="font101"/>
    <w:qFormat/>
    <w:uiPriority w:val="0"/>
    <w:rPr>
      <w:rFonts w:hint="eastAsia" w:ascii="黑体" w:hAnsi="宋体" w:eastAsia="黑体" w:cs="黑体"/>
      <w:color w:val="000000"/>
      <w:sz w:val="20"/>
      <w:szCs w:val="20"/>
      <w:u w:val="none"/>
    </w:rPr>
  </w:style>
  <w:style w:type="character" w:customStyle="1" w:styleId="60">
    <w:name w:val="标题 1 Char"/>
    <w:link w:val="2"/>
    <w:qFormat/>
    <w:uiPriority w:val="0"/>
    <w:rPr>
      <w:rFonts w:ascii="Times New Roman" w:hAnsi="Times New Roman" w:eastAsia="宋体" w:cs="Times New Roman"/>
      <w:b/>
      <w:bCs/>
      <w:kern w:val="44"/>
      <w:sz w:val="44"/>
      <w:szCs w:val="44"/>
    </w:rPr>
  </w:style>
  <w:style w:type="character" w:customStyle="1" w:styleId="61">
    <w:name w:val="正文文本缩进 2 Char"/>
    <w:link w:val="16"/>
    <w:qFormat/>
    <w:uiPriority w:val="0"/>
    <w:rPr>
      <w:rFonts w:ascii="宋体" w:hAnsi="宋体" w:eastAsia="宋体" w:cs="Times New Roman"/>
      <w:color w:val="000000"/>
      <w:sz w:val="24"/>
      <w:szCs w:val="24"/>
    </w:rPr>
  </w:style>
  <w:style w:type="character" w:customStyle="1" w:styleId="62">
    <w:name w:val="font61"/>
    <w:qFormat/>
    <w:uiPriority w:val="0"/>
    <w:rPr>
      <w:rFonts w:hint="eastAsia" w:ascii="宋体" w:hAnsi="宋体" w:eastAsia="宋体" w:cs="宋体"/>
      <w:color w:val="000000"/>
      <w:sz w:val="20"/>
      <w:szCs w:val="20"/>
      <w:u w:val="none"/>
    </w:rPr>
  </w:style>
  <w:style w:type="character" w:customStyle="1" w:styleId="63">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4">
    <w:name w:val="批注主题 Char"/>
    <w:link w:val="27"/>
    <w:semiHidden/>
    <w:qFormat/>
    <w:uiPriority w:val="0"/>
    <w:rPr>
      <w:rFonts w:ascii="Times New Roman" w:hAnsi="Times New Roman" w:eastAsia="宋体" w:cs="Times New Roman"/>
      <w:b/>
      <w:bCs/>
      <w:szCs w:val="24"/>
    </w:rPr>
  </w:style>
  <w:style w:type="character" w:customStyle="1" w:styleId="65">
    <w:name w:val="页眉 Char1"/>
    <w:semiHidden/>
    <w:qFormat/>
    <w:uiPriority w:val="99"/>
    <w:rPr>
      <w:rFonts w:ascii="Times New Roman" w:hAnsi="Times New Roman" w:eastAsia="宋体" w:cs="Times New Roman"/>
      <w:sz w:val="18"/>
      <w:szCs w:val="18"/>
    </w:rPr>
  </w:style>
  <w:style w:type="character" w:customStyle="1" w:styleId="66">
    <w:name w:val="批注文字 Char"/>
    <w:link w:val="8"/>
    <w:qFormat/>
    <w:uiPriority w:val="0"/>
    <w:rPr>
      <w:rFonts w:ascii="Times New Roman" w:hAnsi="Times New Roman"/>
      <w:kern w:val="2"/>
      <w:sz w:val="24"/>
      <w:szCs w:val="24"/>
    </w:rPr>
  </w:style>
  <w:style w:type="character" w:customStyle="1" w:styleId="67">
    <w:name w:val="apple-converted-space"/>
    <w:qFormat/>
    <w:uiPriority w:val="99"/>
    <w:rPr>
      <w:rFonts w:cs="Times New Roman"/>
    </w:rPr>
  </w:style>
  <w:style w:type="paragraph" w:customStyle="1" w:styleId="68">
    <w:name w:val="1"/>
    <w:basedOn w:val="1"/>
    <w:qFormat/>
    <w:uiPriority w:val="0"/>
    <w:pPr>
      <w:widowControl/>
      <w:spacing w:after="160" w:line="240" w:lineRule="exact"/>
      <w:jc w:val="left"/>
    </w:pPr>
    <w:rPr>
      <w:rFonts w:ascii="Verdana" w:hAnsi="Verdana"/>
      <w:kern w:val="0"/>
      <w:szCs w:val="20"/>
      <w:lang w:eastAsia="en-US"/>
    </w:rPr>
  </w:style>
  <w:style w:type="paragraph" w:customStyle="1" w:styleId="69">
    <w:name w:val="Char Char Char"/>
    <w:basedOn w:val="1"/>
    <w:qFormat/>
    <w:uiPriority w:val="0"/>
    <w:rPr>
      <w:rFonts w:ascii="宋体" w:hAnsi="宋体"/>
      <w:b/>
      <w:sz w:val="28"/>
      <w:szCs w:val="28"/>
    </w:rPr>
  </w:style>
  <w:style w:type="paragraph" w:customStyle="1" w:styleId="70">
    <w:name w:val="Char Char Char Char"/>
    <w:basedOn w:val="1"/>
    <w:qFormat/>
    <w:uiPriority w:val="0"/>
    <w:rPr>
      <w:szCs w:val="20"/>
    </w:rPr>
  </w:style>
  <w:style w:type="paragraph" w:customStyle="1" w:styleId="71">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3">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列出段落1"/>
    <w:basedOn w:val="1"/>
    <w:qFormat/>
    <w:uiPriority w:val="0"/>
    <w:pPr>
      <w:ind w:firstLine="420" w:firstLineChars="200"/>
    </w:pPr>
    <w:rPr>
      <w:rFonts w:ascii="Calibri" w:hAnsi="Calibri"/>
      <w:szCs w:val="21"/>
    </w:rPr>
  </w:style>
  <w:style w:type="paragraph" w:customStyle="1" w:styleId="77">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8">
    <w:name w:val="Char1 Char Char Char"/>
    <w:basedOn w:val="1"/>
    <w:qFormat/>
    <w:uiPriority w:val="0"/>
    <w:pPr>
      <w:ind w:left="420" w:hanging="420"/>
    </w:pPr>
    <w:rPr>
      <w:sz w:val="24"/>
    </w:rPr>
  </w:style>
  <w:style w:type="paragraph" w:customStyle="1" w:styleId="79">
    <w:name w:val="_Style 1"/>
    <w:basedOn w:val="1"/>
    <w:qFormat/>
    <w:uiPriority w:val="99"/>
    <w:pPr>
      <w:ind w:firstLine="420" w:firstLineChars="200"/>
    </w:pPr>
  </w:style>
  <w:style w:type="paragraph" w:customStyle="1" w:styleId="80">
    <w:name w:val="样式2"/>
    <w:basedOn w:val="1"/>
    <w:qFormat/>
    <w:uiPriority w:val="0"/>
    <w:rPr>
      <w:b/>
      <w:sz w:val="24"/>
    </w:rPr>
  </w:style>
  <w:style w:type="paragraph" w:customStyle="1" w:styleId="81">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图"/>
    <w:basedOn w:val="1"/>
    <w:link w:val="94"/>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3">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4">
    <w:name w:val="Char"/>
    <w:basedOn w:val="1"/>
    <w:qFormat/>
    <w:uiPriority w:val="0"/>
    <w:pPr>
      <w:tabs>
        <w:tab w:val="left" w:pos="0"/>
      </w:tabs>
      <w:ind w:left="964" w:hanging="964"/>
    </w:pPr>
    <w:rPr>
      <w:sz w:val="24"/>
    </w:rPr>
  </w:style>
  <w:style w:type="paragraph" w:styleId="85">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6">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hwyang"/>
    <w:basedOn w:val="1"/>
    <w:qFormat/>
    <w:uiPriority w:val="0"/>
    <w:pPr>
      <w:widowControl/>
      <w:spacing w:line="360" w:lineRule="auto"/>
      <w:ind w:firstLine="480" w:firstLineChars="200"/>
      <w:jc w:val="left"/>
    </w:pPr>
    <w:rPr>
      <w:kern w:val="0"/>
      <w:sz w:val="24"/>
      <w:szCs w:val="20"/>
    </w:rPr>
  </w:style>
  <w:style w:type="paragraph" w:customStyle="1" w:styleId="90">
    <w:name w:val="列表段落1"/>
    <w:basedOn w:val="1"/>
    <w:qFormat/>
    <w:uiPriority w:val="0"/>
    <w:pPr>
      <w:ind w:firstLine="420" w:firstLineChars="200"/>
    </w:pPr>
    <w:rPr>
      <w:rFonts w:ascii="Calibri" w:hAnsi="Calibri"/>
      <w:szCs w:val="21"/>
    </w:rPr>
  </w:style>
  <w:style w:type="paragraph" w:customStyle="1" w:styleId="91">
    <w:name w:val="正文_0_1"/>
    <w:basedOn w:val="1"/>
    <w:qFormat/>
    <w:uiPriority w:val="0"/>
    <w:pPr>
      <w:spacing w:line="360" w:lineRule="auto"/>
    </w:pPr>
    <w:rPr>
      <w:rFonts w:ascii="Calibri" w:hAnsi="Calibri" w:eastAsia="仿宋" w:cs="宋体"/>
      <w:sz w:val="28"/>
      <w:szCs w:val="28"/>
    </w:rPr>
  </w:style>
  <w:style w:type="paragraph" w:customStyle="1" w:styleId="92">
    <w:name w:val="￥正文"/>
    <w:basedOn w:val="1"/>
    <w:qFormat/>
    <w:uiPriority w:val="0"/>
    <w:pPr>
      <w:spacing w:line="360" w:lineRule="auto"/>
    </w:pPr>
    <w:rPr>
      <w:rFonts w:ascii="Calibri" w:hAnsi="Calibri"/>
      <w:kern w:val="0"/>
      <w:sz w:val="24"/>
      <w:szCs w:val="20"/>
    </w:rPr>
  </w:style>
  <w:style w:type="paragraph" w:customStyle="1" w:styleId="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图 Char Char"/>
    <w:link w:val="82"/>
    <w:qFormat/>
    <w:locked/>
    <w:uiPriority w:val="0"/>
    <w:rPr>
      <w:rFonts w:ascii="Times New Roman" w:hAnsi="Times New Roman"/>
      <w:snapToGrid w:val="0"/>
      <w:spacing w:val="20"/>
      <w:sz w:val="24"/>
    </w:rPr>
  </w:style>
  <w:style w:type="paragraph" w:customStyle="1" w:styleId="95">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6">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List Paragraph Char"/>
    <w:qFormat/>
    <w:locked/>
    <w:uiPriority w:val="99"/>
    <w:rPr>
      <w:kern w:val="0"/>
      <w:sz w:val="20"/>
      <w:szCs w:val="20"/>
    </w:rPr>
  </w:style>
  <w:style w:type="paragraph" w:customStyle="1" w:styleId="100">
    <w:name w:val="_正文段落"/>
    <w:basedOn w:val="1"/>
    <w:link w:val="101"/>
    <w:qFormat/>
    <w:uiPriority w:val="0"/>
    <w:pPr>
      <w:spacing w:beforeLines="15" w:afterLines="15" w:line="360" w:lineRule="auto"/>
      <w:ind w:firstLine="200" w:firstLineChars="200"/>
    </w:pPr>
    <w:rPr>
      <w:sz w:val="24"/>
    </w:rPr>
  </w:style>
  <w:style w:type="character" w:customStyle="1" w:styleId="101">
    <w:name w:val="_正文段落 Char"/>
    <w:link w:val="100"/>
    <w:qFormat/>
    <w:uiPriority w:val="0"/>
    <w:rPr>
      <w:rFonts w:ascii="Times New Roman" w:hAnsi="Times New Roman"/>
      <w:kern w:val="2"/>
      <w:sz w:val="24"/>
      <w:szCs w:val="24"/>
    </w:rPr>
  </w:style>
  <w:style w:type="paragraph" w:customStyle="1" w:styleId="102">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4">
    <w:name w:val="表格文字"/>
    <w:basedOn w:val="1"/>
    <w:next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37</Pages>
  <Words>11602</Words>
  <Characters>11945</Characters>
  <Lines>72</Lines>
  <Paragraphs>20</Paragraphs>
  <TotalTime>1</TotalTime>
  <ScaleCrop>false</ScaleCrop>
  <LinksUpToDate>false</LinksUpToDate>
  <CharactersWithSpaces>12400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Administrator</cp:lastModifiedBy>
  <cp:lastPrinted>2022-01-21T10:35:00Z</cp:lastPrinted>
  <dcterms:modified xsi:type="dcterms:W3CDTF">2025-12-29T08:25:16Z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7CB44A7F89A5436EA2F465C6004AF5B3_13</vt:lpwstr>
  </property>
  <property fmtid="{D5CDD505-2E9C-101B-9397-08002B2CF9AE}" pid="4" name="KSOTemplateDocerSaveRecord">
    <vt:lpwstr>eyJoZGlkIjoiYTZmYzM5MDczMWRiNmZiNmYyNWUwNGNjMWZiN2YyYzgiLCJ1c2VySWQiOiIxNzU0OTU2ODM3In0=</vt:lpwstr>
  </property>
</Properties>
</file>