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1ED6B">
      <w:pPr>
        <w:keepNext w:val="0"/>
        <w:keepLines w:val="0"/>
        <w:pageBreakBefore w:val="0"/>
        <w:widowControl w:val="0"/>
        <w:kinsoku/>
        <w:wordWrap/>
        <w:overflowPunct/>
        <w:topLinePunct w:val="0"/>
        <w:autoSpaceDE/>
        <w:autoSpaceDN/>
        <w:bidi w:val="0"/>
        <w:adjustRightInd/>
        <w:snapToGrid w:val="0"/>
        <w:spacing w:line="720" w:lineRule="exact"/>
        <w:jc w:val="center"/>
        <w:textAlignment w:val="baseline"/>
        <w:rPr>
          <w:rFonts w:hint="eastAsia" w:ascii="宋体" w:hAnsi="宋体"/>
          <w:b/>
          <w:sz w:val="44"/>
          <w:szCs w:val="44"/>
          <w:lang w:eastAsia="zh-CN"/>
        </w:rPr>
      </w:pPr>
      <w:r>
        <w:rPr>
          <w:rFonts w:hint="eastAsia" w:ascii="宋体" w:hAnsi="宋体"/>
          <w:b/>
          <w:sz w:val="44"/>
          <w:szCs w:val="44"/>
          <w:lang w:eastAsia="zh-CN"/>
        </w:rPr>
        <w:t>广东财经大学</w:t>
      </w:r>
      <w:r>
        <w:rPr>
          <w:rFonts w:hint="eastAsia" w:ascii="宋体" w:hAnsi="宋体"/>
          <w:b/>
          <w:sz w:val="44"/>
          <w:szCs w:val="44"/>
          <w:lang w:val="en-US" w:eastAsia="zh-CN"/>
        </w:rPr>
        <w:t>佛山</w:t>
      </w:r>
      <w:r>
        <w:rPr>
          <w:rFonts w:hint="eastAsia" w:ascii="宋体" w:hAnsi="宋体"/>
          <w:b/>
          <w:sz w:val="44"/>
          <w:szCs w:val="44"/>
          <w:lang w:eastAsia="zh-CN"/>
        </w:rPr>
        <w:t>校区2025</w:t>
      </w:r>
      <w:r>
        <w:rPr>
          <w:rFonts w:hint="eastAsia" w:ascii="宋体" w:hAnsi="宋体"/>
          <w:b/>
          <w:sz w:val="44"/>
          <w:szCs w:val="44"/>
          <w:lang w:val="en-US" w:eastAsia="zh-CN"/>
        </w:rPr>
        <w:t>年</w:t>
      </w:r>
      <w:r>
        <w:rPr>
          <w:rFonts w:hint="eastAsia" w:ascii="宋体" w:hAnsi="宋体"/>
          <w:b/>
          <w:sz w:val="44"/>
          <w:szCs w:val="44"/>
          <w:lang w:eastAsia="zh-CN"/>
        </w:rPr>
        <w:t>小额工程监理</w:t>
      </w:r>
    </w:p>
    <w:p w14:paraId="0BAAF82F">
      <w:pPr>
        <w:keepNext w:val="0"/>
        <w:keepLines w:val="0"/>
        <w:pageBreakBefore w:val="0"/>
        <w:widowControl w:val="0"/>
        <w:kinsoku/>
        <w:wordWrap/>
        <w:overflowPunct/>
        <w:topLinePunct w:val="0"/>
        <w:autoSpaceDE/>
        <w:autoSpaceDN/>
        <w:bidi w:val="0"/>
        <w:adjustRightInd/>
        <w:snapToGrid w:val="0"/>
        <w:spacing w:line="720" w:lineRule="exact"/>
        <w:jc w:val="center"/>
        <w:textAlignment w:val="baseline"/>
        <w:rPr>
          <w:rFonts w:ascii="宋体" w:hAnsi="宋体"/>
          <w:b/>
          <w:sz w:val="44"/>
          <w:szCs w:val="44"/>
        </w:rPr>
      </w:pPr>
      <w:r>
        <w:rPr>
          <w:rFonts w:hint="eastAsia" w:ascii="宋体" w:hAnsi="宋体"/>
          <w:b/>
          <w:sz w:val="44"/>
          <w:szCs w:val="44"/>
          <w:lang w:eastAsia="zh-CN"/>
        </w:rPr>
        <w:t>服务项目</w:t>
      </w:r>
      <w:r>
        <w:rPr>
          <w:rFonts w:hint="eastAsia" w:ascii="宋体" w:hAnsi="宋体"/>
          <w:b/>
          <w:sz w:val="44"/>
          <w:szCs w:val="44"/>
        </w:rPr>
        <w:t>询价文件</w:t>
      </w:r>
    </w:p>
    <w:p w14:paraId="0229E0EC">
      <w:pPr>
        <w:widowControl w:val="0"/>
        <w:snapToGrid w:val="0"/>
        <w:spacing w:line="360" w:lineRule="auto"/>
        <w:ind w:firstLine="480" w:firstLineChars="200"/>
        <w:rPr>
          <w:rFonts w:ascii="仿宋" w:hAnsi="仿宋" w:eastAsia="仿宋"/>
          <w:sz w:val="24"/>
          <w:szCs w:val="24"/>
          <w:shd w:val="clear" w:color="auto" w:fill="FFFFFF"/>
        </w:rPr>
      </w:pPr>
    </w:p>
    <w:p w14:paraId="56FDF61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根据</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学校</w:t>
      </w:r>
      <w:r>
        <w:rPr>
          <w:rFonts w:hint="eastAsia" w:asciiTheme="minorEastAsia" w:hAnsiTheme="minorEastAsia" w:eastAsiaTheme="minorEastAsia" w:cstheme="minorEastAsia"/>
          <w:color w:val="000000" w:themeColor="text1"/>
          <w:sz w:val="28"/>
          <w:szCs w:val="28"/>
          <w14:textFill>
            <w14:solidFill>
              <w14:schemeClr w14:val="tx1"/>
            </w14:solidFill>
          </w14:textFill>
        </w:rPr>
        <w:t>有关规定，我校拟通过询价采购方式选定一家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负责提供</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广东财经大学</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佛山校区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2025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小额工程监理服务项目</w:t>
      </w:r>
      <w:r>
        <w:rPr>
          <w:rFonts w:hint="eastAsia" w:asciiTheme="minorEastAsia" w:hAnsiTheme="minorEastAsia" w:eastAsiaTheme="minorEastAsia" w:cstheme="minorEastAsia"/>
          <w:color w:val="000000" w:themeColor="text1"/>
          <w:sz w:val="28"/>
          <w:szCs w:val="28"/>
          <w14:textFill>
            <w14:solidFill>
              <w14:schemeClr w14:val="tx1"/>
            </w14:solidFill>
          </w14:textFill>
        </w:rPr>
        <w:t>，欢迎符合资格条件的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前来报价。具体询价内容如下：</w:t>
      </w:r>
    </w:p>
    <w:p w14:paraId="03B7745A">
      <w:pPr>
        <w:numPr>
          <w:ilvl w:val="0"/>
          <w:numId w:val="1"/>
        </w:numPr>
        <w:ind w:firstLine="562" w:firstLineChars="20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b/>
          <w:kern w:val="2"/>
          <w:sz w:val="28"/>
          <w:szCs w:val="28"/>
        </w:rPr>
        <w:t>项目编号:</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FSGW2025001</w:t>
      </w:r>
    </w:p>
    <w:p w14:paraId="21E7A59A">
      <w:pPr>
        <w:numPr>
          <w:ilvl w:val="0"/>
          <w:numId w:val="0"/>
        </w:numPr>
        <w:ind w:firstLine="562"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二、项目名称：</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广东财经大学</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佛山</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校区2025</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小额工程监理服务项目</w:t>
      </w:r>
    </w:p>
    <w:p w14:paraId="5513997B">
      <w:pPr>
        <w:spacing w:line="360" w:lineRule="auto"/>
        <w:ind w:left="2527" w:leftChars="266" w:hanging="1968" w:hangingChars="70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三、项目地点：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佛山市三水区云东海街道学海中路1号广东财经大学佛山校区</w:t>
      </w:r>
    </w:p>
    <w:p w14:paraId="7EE22A31">
      <w:pPr>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四、项目概况：</w:t>
      </w:r>
    </w:p>
    <w:p w14:paraId="3A9F6202">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(一)为广东财经大学</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佛山</w:t>
      </w:r>
      <w:r>
        <w:rPr>
          <w:rFonts w:hint="eastAsia" w:asciiTheme="minorEastAsia" w:hAnsiTheme="minorEastAsia" w:eastAsiaTheme="minorEastAsia" w:cstheme="minorEastAsia"/>
          <w:color w:val="000000" w:themeColor="text1"/>
          <w:sz w:val="28"/>
          <w:szCs w:val="28"/>
          <w14:textFill>
            <w14:solidFill>
              <w14:schemeClr w14:val="tx1"/>
            </w14:solidFill>
          </w14:textFill>
        </w:rPr>
        <w:t>校区202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年小额工程提供施工监理服务，小额工程累计总造价约300万元（50万元以下含零星维修项目），全年约40个工程项目（包含单项1万元（不含1万元）以下零星维修项目</w:t>
      </w:r>
      <w:r>
        <w:rPr>
          <w:rFonts w:hint="eastAsia" w:ascii="Times New Roman" w:hAnsi="Times New Roman" w:eastAsia="宋体" w:cs="Times New Roman"/>
          <w:sz w:val="28"/>
          <w:szCs w:val="28"/>
          <w:lang w:val="en-US" w:eastAsia="zh-CN"/>
        </w:rPr>
        <w:t>（具体每年多少按实际情况定）</w:t>
      </w:r>
      <w:r>
        <w:rPr>
          <w:rFonts w:hint="eastAsia" w:asciiTheme="minorEastAsia" w:hAnsiTheme="minorEastAsia" w:eastAsiaTheme="minorEastAsia" w:cstheme="minorEastAsia"/>
          <w:color w:val="000000" w:themeColor="text1"/>
          <w:sz w:val="28"/>
          <w:szCs w:val="28"/>
          <w14:textFill>
            <w14:solidFill>
              <w14:schemeClr w14:val="tx1"/>
            </w14:solidFill>
          </w14:textFill>
        </w:rPr>
        <w:t>，每个月零星维修项目当一个工程项目来监理，一年12个月，按12个项目计）。工程项目具体数量以实际为准。</w:t>
      </w:r>
    </w:p>
    <w:p w14:paraId="7BD6315A">
      <w:pPr>
        <w:spacing w:line="360" w:lineRule="auto"/>
        <w:ind w:firstLine="560" w:firstLineChars="2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14:textFill>
            <w14:solidFill>
              <w14:schemeClr w14:val="tx1"/>
            </w14:solidFill>
          </w14:textFill>
        </w:rPr>
        <w:t>)服务费用：</w:t>
      </w:r>
      <w:r>
        <w:rPr>
          <w:rFonts w:hint="eastAsia" w:asciiTheme="minorEastAsia" w:hAnsiTheme="minorEastAsia" w:eastAsiaTheme="minorEastAsia" w:cstheme="minorEastAsia"/>
          <w:bCs/>
          <w:sz w:val="28"/>
          <w:szCs w:val="28"/>
        </w:rPr>
        <w:t>95,000</w:t>
      </w:r>
      <w:r>
        <w:rPr>
          <w:rFonts w:hint="eastAsia" w:asciiTheme="minorEastAsia" w:hAnsiTheme="minorEastAsia" w:eastAsiaTheme="minorEastAsia" w:cstheme="minorEastAsia"/>
          <w:bCs/>
          <w:sz w:val="28"/>
          <w:szCs w:val="28"/>
          <w:lang w:val="en-US" w:eastAsia="zh-CN"/>
        </w:rPr>
        <w:t>元</w:t>
      </w:r>
      <w:r>
        <w:rPr>
          <w:rFonts w:hint="eastAsia" w:asciiTheme="minorEastAsia" w:hAnsiTheme="minorEastAsia" w:eastAsiaTheme="minorEastAsia" w:cstheme="minorEastAsia"/>
          <w:bCs/>
          <w:sz w:val="28"/>
          <w:szCs w:val="28"/>
          <w:lang w:eastAsia="zh-CN"/>
        </w:rPr>
        <w:t>。</w:t>
      </w:r>
    </w:p>
    <w:p w14:paraId="63B58136">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(四)服务期限：1年，自合同签订之日起</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计算</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61038D3B">
      <w:pPr>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五、投标人资格条件：</w:t>
      </w:r>
    </w:p>
    <w:p w14:paraId="193EB0E7">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（一）具有独立承担民事责任能力，且具备履行合同所必需的设备和专业技术能力。</w:t>
      </w:r>
    </w:p>
    <w:p w14:paraId="3E2744DA">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（二）具有合法有效的企业法人《营业执照》副本或事业单位法人证书或法人登记证书。</w:t>
      </w:r>
    </w:p>
    <w:p w14:paraId="563F3725">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（三）</w:t>
      </w:r>
      <w:r>
        <w:rPr>
          <w:rFonts w:hint="eastAsia" w:asciiTheme="minorEastAsia" w:hAnsiTheme="minorEastAsia" w:eastAsiaTheme="minorEastAsia" w:cstheme="minorEastAsia"/>
          <w:sz w:val="28"/>
          <w:szCs w:val="28"/>
        </w:rPr>
        <w:t>具有工程监理综合资质或房屋建筑工程监理专业资质乙级（含乙级）或以上资质，并在有效期内。</w:t>
      </w:r>
    </w:p>
    <w:p w14:paraId="2750EF14">
      <w:pPr>
        <w:pStyle w:val="2"/>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（四）委派项目现场监理常驻1人，需具备房屋建筑中级工程师职称或具备机电安装或具备建筑类助理工程师职称。</w:t>
      </w:r>
    </w:p>
    <w:p w14:paraId="6CECA59B">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五）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14:paraId="0D576486">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（六）本项目不接受联合体投标。</w:t>
      </w:r>
    </w:p>
    <w:p w14:paraId="1AF0096E">
      <w:pPr>
        <w:ind w:firstLine="562"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六、服务内容：</w:t>
      </w:r>
    </w:p>
    <w:p w14:paraId="3C3A7858">
      <w:pPr>
        <w:adjustRightInd w:val="0"/>
        <w:snapToGrid w:val="0"/>
        <w:spacing w:line="560" w:lineRule="exact"/>
        <w:ind w:firstLine="641" w:firstLineChars="228"/>
        <w:jc w:val="left"/>
        <w:outlineLvl w:val="1"/>
        <w:rPr>
          <w:rFonts w:hint="eastAsia" w:asciiTheme="minorEastAsia" w:hAnsiTheme="minorEastAsia" w:eastAsiaTheme="minorEastAsia" w:cstheme="minorEastAsia"/>
          <w:b/>
          <w:bCs/>
          <w:kern w:val="0"/>
          <w:sz w:val="28"/>
          <w:szCs w:val="32"/>
        </w:rPr>
      </w:pPr>
      <w:bookmarkStart w:id="0" w:name="_Toc139478053"/>
      <w:bookmarkStart w:id="1" w:name="_Toc31243"/>
      <w:r>
        <w:rPr>
          <w:rFonts w:hint="eastAsia" w:asciiTheme="minorEastAsia" w:hAnsiTheme="minorEastAsia" w:eastAsiaTheme="minorEastAsia" w:cstheme="minorEastAsia"/>
          <w:b/>
          <w:bCs/>
          <w:kern w:val="0"/>
          <w:sz w:val="28"/>
          <w:szCs w:val="32"/>
        </w:rPr>
        <w:t>（一）服务内容</w:t>
      </w:r>
      <w:bookmarkEnd w:id="0"/>
      <w:bookmarkEnd w:id="1"/>
    </w:p>
    <w:p w14:paraId="1C99B603">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1.为广东财经大学</w:t>
      </w:r>
      <w:r>
        <w:rPr>
          <w:rFonts w:hint="eastAsia" w:asciiTheme="minorEastAsia" w:hAnsiTheme="minorEastAsia" w:eastAsiaTheme="minorEastAsia" w:cstheme="minorEastAsia"/>
          <w:sz w:val="28"/>
          <w:szCs w:val="28"/>
          <w:lang w:val="en-US" w:eastAsia="zh-CN"/>
        </w:rPr>
        <w:t>佛山</w:t>
      </w:r>
      <w:r>
        <w:rPr>
          <w:rFonts w:hint="eastAsia" w:asciiTheme="minorEastAsia" w:hAnsiTheme="minorEastAsia" w:eastAsiaTheme="minorEastAsia" w:cstheme="minorEastAsia"/>
          <w:sz w:val="28"/>
          <w:szCs w:val="28"/>
        </w:rPr>
        <w:t>校区202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年小额工程提供施工监理服务，小额工程累计总造价约300万元，单个工程造价不超过50万元（不含50万元），全年约40个工程项目（包含单项1万元（不含1万元）以下零星维修项目</w:t>
      </w:r>
      <w:r>
        <w:rPr>
          <w:rFonts w:hint="eastAsia" w:ascii="Times New Roman" w:hAnsi="Times New Roman" w:eastAsia="宋体" w:cs="Times New Roman"/>
          <w:sz w:val="28"/>
          <w:szCs w:val="28"/>
          <w:lang w:val="en-US" w:eastAsia="zh-CN"/>
        </w:rPr>
        <w:t>（具体每年多少按实际情况定）</w:t>
      </w:r>
      <w:r>
        <w:rPr>
          <w:rFonts w:hint="eastAsia" w:asciiTheme="minorEastAsia" w:hAnsiTheme="minorEastAsia" w:eastAsiaTheme="minorEastAsia" w:cstheme="minorEastAsia"/>
          <w:sz w:val="28"/>
          <w:szCs w:val="28"/>
        </w:rPr>
        <w:t>，每个月零星维修项目当一个工程项目来监理，一年12个月，按12个项目计）。工程项目具体数量以实际为准。</w:t>
      </w:r>
    </w:p>
    <w:p w14:paraId="067F4890">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2.单项1万元（不含1万元）以下零星维修项目，主要解决师生报修，确保校区教学、学习、生活的正常运转，即报即修，做好后勤维修服务保障，具体维修内容含：</w:t>
      </w:r>
    </w:p>
    <w:p w14:paraId="29E6FEE6">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土木维修类：门窗更换，墙、楼地面铲、刮腻子及油漆，天棚、刮腻子及油漆，天棚吊顶（石膏板、铝扣板等），洗手台维修，屋面防水，厕所补漏，墙、楼地面块料修复，木地板（静电地板）维修，校园道路，围墙，设施设备基础等维修（以采购人派单内容为准）；</w:t>
      </w:r>
    </w:p>
    <w:p w14:paraId="1A75E1EB">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（2）水电维修类：各种水电设施设备的维修，如供水管网，供电线路，排水排污管道，设施设备等维修（以采购人派单内容为准）；</w:t>
      </w:r>
    </w:p>
    <w:p w14:paraId="35A927AF">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（3）新增或加装的零星项目。</w:t>
      </w:r>
    </w:p>
    <w:p w14:paraId="31F301DF">
      <w:pPr>
        <w:pStyle w:val="2"/>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3.单项在1万元以上（含1万元）50万元（不含50万元）以下的项目，主要为解决</w:t>
      </w:r>
      <w:r>
        <w:rPr>
          <w:rFonts w:hint="eastAsia" w:asciiTheme="minorEastAsia" w:hAnsiTheme="minorEastAsia" w:eastAsiaTheme="minorEastAsia" w:cstheme="minorEastAsia"/>
          <w:sz w:val="28"/>
          <w:szCs w:val="28"/>
          <w:lang w:val="en-US" w:eastAsia="zh-CN"/>
        </w:rPr>
        <w:t>佛山</w:t>
      </w:r>
      <w:r>
        <w:rPr>
          <w:rFonts w:hint="eastAsia" w:asciiTheme="minorEastAsia" w:hAnsiTheme="minorEastAsia" w:eastAsiaTheme="minorEastAsia" w:cstheme="minorEastAsia"/>
          <w:sz w:val="28"/>
          <w:szCs w:val="28"/>
        </w:rPr>
        <w:t>校区基础设施改善、学生宿舍修缮、行政办公用房修缮装修等项目，年均约25个，具体以每年立项实施情况为准。</w:t>
      </w:r>
    </w:p>
    <w:p w14:paraId="11C966F2">
      <w:pPr>
        <w:pStyle w:val="2"/>
        <w:ind w:firstLine="56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4.单项在50万元以上（含50万元）100万元以下的项目，主要是解决校区重要且急需的项目建设，年均约1-3个，具体以每年立项实施的情况为准。</w:t>
      </w:r>
    </w:p>
    <w:p w14:paraId="26E16490">
      <w:pPr>
        <w:widowControl/>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具体要求如下：</w:t>
      </w:r>
    </w:p>
    <w:p w14:paraId="7E0D9D0E">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1.按照采购人要求，承担项目组织现场勘察事宜、施工过程的监理以及完工验收等整个过程的工作任务。同时，</w:t>
      </w:r>
      <w:r>
        <w:rPr>
          <w:rFonts w:hint="eastAsia" w:asciiTheme="minorEastAsia" w:hAnsiTheme="minorEastAsia" w:eastAsiaTheme="minorEastAsia" w:cstheme="minorEastAsia"/>
          <w:sz w:val="28"/>
          <w:szCs w:val="28"/>
          <w:lang w:val="en-US" w:eastAsia="zh-CN"/>
        </w:rPr>
        <w:t>联系</w:t>
      </w:r>
      <w:r>
        <w:rPr>
          <w:rFonts w:hint="eastAsia" w:asciiTheme="minorEastAsia" w:hAnsiTheme="minorEastAsia" w:eastAsiaTheme="minorEastAsia" w:cstheme="minorEastAsia"/>
          <w:sz w:val="28"/>
          <w:szCs w:val="28"/>
        </w:rPr>
        <w:t>预算咨询公司、设计单位、施工单位以及相关部门，做好沟通和协调工作。</w:t>
      </w:r>
    </w:p>
    <w:p w14:paraId="306AE89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2.按照采购人提供的施工图（如有）、招标文件、投标文件（中标单位）、合同等资料要求对整个工程施工全过程的质量、进度、费用控制，安全生产监督管理、合同、信息等方面的协调管理工作。</w:t>
      </w:r>
    </w:p>
    <w:p w14:paraId="6D45DCB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监理人按采购人具体要求的日期进场，并立即开始履行本合同约定的服务。协助委托人按施工合同的规定，落实必须提供的施工条件，检查工程施工单位的开工准备工作，并在检查与审核合格后签发《工程开工令》。</w:t>
      </w:r>
    </w:p>
    <w:p w14:paraId="011001B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4.根据工程需要对施工单位完成的工程量进行准确的计量，并报委托人作为工程进度款支付依据。</w:t>
      </w:r>
    </w:p>
    <w:p w14:paraId="21470F3C">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5.审批承包人编制的施工进度计划、施工组织设计方案、以及使用的原材料等，提出改进意见，并检查督促实施。</w:t>
      </w:r>
    </w:p>
    <w:p w14:paraId="66DD39B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6.要求和督促承包人建立健全质量保证体系，督促承包人严格按设计文件、规范标准和程序施工。</w:t>
      </w:r>
    </w:p>
    <w:p w14:paraId="4D2FF0F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监理工程师必须经常巡视工地各个部位，发现问题，立即督促承包人整改，并跟踪、检查其整改情况；每道工序完毕，监理工程师必须及时检查验收，并做好隐蔽工程的验收签证，重要工程的施工(有可能危及周围或本身结构安全的施工等)必须进行旁站监理，控制工程质量。</w:t>
      </w:r>
    </w:p>
    <w:p w14:paraId="09A73F24">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严格审查用于本工程的材料和设备是否符合设计或是采购人要求，检查工程使用的材料、构件、设备的规格和质量，对用于工程的材料、构件、设备的出厂合格证、化验（试验）报告等进行审查并存档。在施工过程严格控制用于工程的材料品牌，未经委托人同意不能更改。</w:t>
      </w:r>
    </w:p>
    <w:p w14:paraId="3500C9F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9.审查施工图设计变更，对设计变更和技术洽商，严格按有关各方约定的程序进行并提出监理意见报委托人。组织有关各方协商委托人、设计人、承包人、监理人本身提出的设计变更。</w:t>
      </w:r>
    </w:p>
    <w:p w14:paraId="3959641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检查施工安全措施、劳动防护和环境措施，督促承包人做好文明施工、安全生产防护措施，并提出建议，防止环境污染；发现不安全施工情况时，可发布停工令，并在24小时内书面知会委托人；参加重大的安全事故调查。</w:t>
      </w:r>
    </w:p>
    <w:p w14:paraId="01E507B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11.编写监理阶段总结及日常监理文件，及时做好施工过程各相关技术、质量检验（验收）、计量、支付等相关工程记录工作。</w:t>
      </w:r>
    </w:p>
    <w:p w14:paraId="1978798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12.工程进度控制：督促承包人采取确实措施，实现合同的工期目标要求，当实施进度发生较大偏差时，及时向委托人提出调整控制性进度计划的建议意见，经委托人批准后，完成进度计划的调整。</w:t>
      </w:r>
    </w:p>
    <w:p w14:paraId="587CF66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施工质量控制：审查承包人的质量保证体系和措施，核实质量文件；依据施工合同文件、设计文件、技术标准，对施工的全过程进行检查，对重要工程部位和主要工序进行跟踪监督。对承包人评定的工程质量等级进行复核。</w:t>
      </w:r>
    </w:p>
    <w:p w14:paraId="3E1358C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14.负责施工过程签证的办理、工程量核定等工作内容，涉及到变更或新增项目，工程现场签证单必须在2个工作日内核实确认报采购人，超过时间，将不受理任何签证变更文件。</w:t>
      </w:r>
    </w:p>
    <w:p w14:paraId="446B92B3">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15.自工程开工之日起，驻场监理工程师对本项目须进行全过程监理，向采购人汇报项目实施过程中质量、进度、监理情况等，如有变更等情况，有义务向采购人提出合理、经济的具体方案和建议。</w:t>
      </w:r>
    </w:p>
    <w:p w14:paraId="1B843439">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16.严格按工期进度安排，督促施工单位自项目竣工之日起10天内提交竣工验收资料，并组织验收。</w:t>
      </w:r>
    </w:p>
    <w:p w14:paraId="02396660">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17.保修阶段：工程竣工验收合格交付使用后，定期对其使用质量进行检查，发现质量问题进行分析，调查其原因并确定相应责任后进行处理，必要时组织有关单位开会研究，提出维修意见，督促承包人维修整改。</w:t>
      </w:r>
    </w:p>
    <w:p w14:paraId="7C8C66F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18.按照《建设工程安全生产管理条例》的规定，监理人承担相应的安全生产监理责任；</w:t>
      </w:r>
      <w:r>
        <w:rPr>
          <w:rFonts w:hint="eastAsia" w:asciiTheme="minorEastAsia" w:hAnsiTheme="minorEastAsia" w:eastAsiaTheme="minorEastAsia" w:cstheme="minorEastAsia"/>
          <w:bCs/>
          <w:sz w:val="28"/>
          <w:szCs w:val="28"/>
        </w:rPr>
        <w:t>派驻1名监理人员常驻</w:t>
      </w:r>
      <w:r>
        <w:rPr>
          <w:rFonts w:hint="eastAsia" w:asciiTheme="minorEastAsia" w:hAnsiTheme="minorEastAsia" w:eastAsiaTheme="minorEastAsia" w:cstheme="minorEastAsia"/>
          <w:bCs/>
          <w:sz w:val="28"/>
          <w:szCs w:val="28"/>
          <w:lang w:val="en-US" w:eastAsia="zh-CN"/>
        </w:rPr>
        <w:t>佛山</w:t>
      </w:r>
      <w:r>
        <w:rPr>
          <w:rFonts w:hint="eastAsia" w:asciiTheme="minorEastAsia" w:hAnsiTheme="minorEastAsia" w:eastAsiaTheme="minorEastAsia" w:cstheme="minorEastAsia"/>
          <w:bCs/>
          <w:sz w:val="28"/>
          <w:szCs w:val="28"/>
        </w:rPr>
        <w:t>校区，校区在房源许可的情况下，可提供1间住房，租金及水电费按学校规定支付。</w:t>
      </w:r>
    </w:p>
    <w:p w14:paraId="067AEA6B">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19.工程竣工后，</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个工作日内向采购人提交建设工程监理档案资料。</w:t>
      </w:r>
    </w:p>
    <w:p w14:paraId="53CF125D">
      <w:pPr>
        <w:pStyle w:val="13"/>
        <w:spacing w:line="560" w:lineRule="exact"/>
        <w:ind w:left="638"/>
        <w:outlineLvl w:val="1"/>
        <w:rPr>
          <w:rFonts w:hint="eastAsia" w:asciiTheme="minorEastAsia" w:hAnsiTheme="minorEastAsia" w:eastAsiaTheme="minorEastAsia" w:cstheme="minorEastAsia"/>
          <w:b/>
          <w:bCs/>
          <w:sz w:val="28"/>
          <w:szCs w:val="32"/>
        </w:rPr>
      </w:pPr>
      <w:bookmarkStart w:id="2" w:name="_Toc139478054"/>
      <w:bookmarkStart w:id="3" w:name="_Toc3810"/>
      <w:r>
        <w:rPr>
          <w:rFonts w:hint="eastAsia" w:asciiTheme="minorEastAsia" w:hAnsiTheme="minorEastAsia" w:eastAsiaTheme="minorEastAsia" w:cstheme="minorEastAsia"/>
          <w:b/>
          <w:bCs/>
          <w:sz w:val="28"/>
          <w:szCs w:val="32"/>
        </w:rPr>
        <w:t>（二）工程监理范围及质量要求</w:t>
      </w:r>
      <w:bookmarkEnd w:id="2"/>
    </w:p>
    <w:p w14:paraId="65B48DE8">
      <w:pPr>
        <w:pStyle w:val="13"/>
        <w:spacing w:line="560" w:lineRule="exact"/>
        <w:ind w:firstLine="700" w:firstLineChars="250"/>
        <w:outlineLvl w:val="1"/>
        <w:rPr>
          <w:rFonts w:hint="eastAsia" w:asciiTheme="minorEastAsia" w:hAnsiTheme="minorEastAsia" w:eastAsiaTheme="minorEastAsia" w:cstheme="minorEastAsia"/>
          <w:kern w:val="2"/>
          <w:sz w:val="28"/>
          <w:szCs w:val="28"/>
        </w:rPr>
      </w:pPr>
      <w:bookmarkStart w:id="4" w:name="_Toc139478055"/>
      <w:r>
        <w:rPr>
          <w:rFonts w:hint="eastAsia" w:asciiTheme="minorEastAsia" w:hAnsiTheme="minorEastAsia" w:eastAsiaTheme="minorEastAsia" w:cstheme="minorEastAsia"/>
          <w:kern w:val="2"/>
          <w:sz w:val="28"/>
          <w:szCs w:val="28"/>
        </w:rPr>
        <w:t>1.监理范围：</w:t>
      </w:r>
      <w:bookmarkEnd w:id="3"/>
      <w:bookmarkEnd w:id="4"/>
    </w:p>
    <w:p w14:paraId="01554172">
      <w:pPr>
        <w:pStyle w:val="13"/>
        <w:spacing w:line="560" w:lineRule="exact"/>
        <w:ind w:firstLine="560" w:firstLineChars="20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工程施工至保修阶段的监理工作，包括施工准备阶段、施工阶段、工程竣工阶段及工程质量保修阶段的全过程监理工作。协助采购人做好开工前准备工作；负责安全、质量、技术文件审核、进度（月报、周报）、投资控制及合同管理（包括审核工程量、审核工程预算和结算、工程款支付、签证变更及其造价审核及变更台帐的管理）；</w:t>
      </w:r>
    </w:p>
    <w:p w14:paraId="11E682DF">
      <w:pPr>
        <w:pStyle w:val="13"/>
        <w:spacing w:line="560" w:lineRule="exact"/>
        <w:ind w:firstLine="560" w:firstLineChars="20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（2）组织协调、安全文明施工管理；组织初验收及正式验收、审核竣工资料（包括且不限于竣工验收及竣工验收资料移交城建档案、整改、工程移交及实物移交、竣工备案等）；</w:t>
      </w:r>
    </w:p>
    <w:p w14:paraId="31455207">
      <w:pPr>
        <w:pStyle w:val="13"/>
        <w:spacing w:line="560" w:lineRule="exact"/>
        <w:ind w:firstLine="560" w:firstLineChars="20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属工程的实施范围内（监理人具有相应的监理资质）的工作内容，均应包含在监理范围之内。在工程实施过程中工程量、设计范围、工程规模调整或设计变更在监理人监理资质范围内的，均属监理人监理范围；</w:t>
      </w:r>
    </w:p>
    <w:p w14:paraId="4D62DDF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2.质量要求：严格按照国家有关施工及验收规范、技术标准进行施工监理，符合国家颁发的有关质量验收评定标准。</w:t>
      </w:r>
    </w:p>
    <w:p w14:paraId="67E129A8">
      <w:pPr>
        <w:adjustRightInd w:val="0"/>
        <w:snapToGrid w:val="0"/>
        <w:spacing w:line="560" w:lineRule="exact"/>
        <w:ind w:firstLine="641" w:firstLineChars="228"/>
        <w:jc w:val="left"/>
        <w:outlineLvl w:val="1"/>
        <w:rPr>
          <w:rFonts w:hint="eastAsia" w:asciiTheme="minorEastAsia" w:hAnsiTheme="minorEastAsia" w:eastAsiaTheme="minorEastAsia" w:cstheme="minorEastAsia"/>
          <w:b/>
          <w:bCs/>
          <w:kern w:val="0"/>
          <w:sz w:val="28"/>
          <w:szCs w:val="32"/>
        </w:rPr>
      </w:pPr>
      <w:bookmarkStart w:id="5" w:name="_Toc139478057"/>
      <w:bookmarkStart w:id="6" w:name="_Toc20841"/>
      <w:r>
        <w:rPr>
          <w:rFonts w:hint="eastAsia" w:asciiTheme="minorEastAsia" w:hAnsiTheme="minorEastAsia" w:eastAsiaTheme="minorEastAsia" w:cstheme="minorEastAsia"/>
          <w:b/>
          <w:bCs/>
          <w:kern w:val="0"/>
          <w:sz w:val="28"/>
          <w:szCs w:val="32"/>
          <w:lang w:val="en-US" w:eastAsia="zh-CN"/>
        </w:rPr>
        <w:t>七</w:t>
      </w:r>
      <w:r>
        <w:rPr>
          <w:rFonts w:hint="eastAsia" w:asciiTheme="minorEastAsia" w:hAnsiTheme="minorEastAsia" w:eastAsiaTheme="minorEastAsia" w:cstheme="minorEastAsia"/>
          <w:b/>
          <w:bCs/>
          <w:kern w:val="0"/>
          <w:sz w:val="28"/>
          <w:szCs w:val="32"/>
        </w:rPr>
        <w:t>、结算与付款方式</w:t>
      </w:r>
      <w:bookmarkEnd w:id="5"/>
      <w:bookmarkEnd w:id="6"/>
    </w:p>
    <w:p w14:paraId="19A67395">
      <w:pPr>
        <w:adjustRightInd w:val="0"/>
        <w:snapToGrid w:val="0"/>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成交</w:t>
      </w:r>
      <w:r>
        <w:rPr>
          <w:rFonts w:hint="eastAsia" w:asciiTheme="minorEastAsia" w:hAnsiTheme="minorEastAsia" w:eastAsiaTheme="minorEastAsia" w:cstheme="minorEastAsia"/>
          <w:sz w:val="28"/>
          <w:szCs w:val="28"/>
        </w:rPr>
        <w:t>后，监理人、采购人签订监理合同，合同签署后，按合同约定条款支付监理服务费款项。</w:t>
      </w:r>
    </w:p>
    <w:p w14:paraId="0A15B914">
      <w:pPr>
        <w:adjustRightInd w:val="0"/>
        <w:snapToGrid w:val="0"/>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（2）监理人按采购人要求完成委托业务，办理完工程项目竣工验收及结算且已向采购人移交完整的监理档案资料后方可办理结算支付。</w:t>
      </w:r>
    </w:p>
    <w:p w14:paraId="0A4C349B">
      <w:pPr>
        <w:adjustRightInd w:val="0"/>
        <w:snapToGrid w:val="0"/>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（3）每笔款项支付前，监理人须提交相应的监理服务费书面申请报告、合同及同等金额的有效发票。</w:t>
      </w:r>
    </w:p>
    <w:p w14:paraId="01EF9D30">
      <w:pPr>
        <w:pStyle w:val="2"/>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（4）本项目工程监理费为总价包干，不随工程数量及结算价和施工工期的变化而调整。</w:t>
      </w:r>
    </w:p>
    <w:p w14:paraId="1BF39F98">
      <w:pPr>
        <w:adjustRightInd w:val="0"/>
        <w:snapToGrid w:val="0"/>
        <w:spacing w:line="56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（5）监理费的支付方式：自监理合同签订之日起，服务期满6个月后，采购人于15个工作日内支付合同价的50%，服务期满后，采购人于15个工作日内支付剩余合同价的50%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遇寒暑假则顺延。</w:t>
      </w:r>
    </w:p>
    <w:p w14:paraId="4615C305">
      <w:pPr>
        <w:widowControl/>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八</w:t>
      </w:r>
      <w:r>
        <w:rPr>
          <w:rFonts w:hint="eastAsia" w:asciiTheme="minorEastAsia" w:hAnsiTheme="minorEastAsia" w:eastAsiaTheme="minorEastAsia" w:cstheme="minorEastAsia"/>
          <w:b/>
          <w:sz w:val="28"/>
          <w:szCs w:val="28"/>
        </w:rPr>
        <w:t>、其他服务约定</w:t>
      </w:r>
    </w:p>
    <w:p w14:paraId="73E04EEF">
      <w:pPr>
        <w:pStyle w:val="2"/>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根据当年度项目实际情况，如有单项在50万元以上（含50万元）100万元以下的小额项目，委托中标供应商负责监理的，监理服务费支付标准：按委托项目预算造价*费率2.8%进行支付，支付时间为项目完工验收并经咨询公司审核办理结算后10个工作日内支付。</w:t>
      </w:r>
    </w:p>
    <w:p w14:paraId="71AE3D50">
      <w:pPr>
        <w:adjustRightInd w:val="0"/>
        <w:snapToGrid w:val="0"/>
        <w:spacing w:line="560" w:lineRule="exact"/>
        <w:ind w:firstLine="641" w:firstLineChars="228"/>
        <w:jc w:val="left"/>
        <w:outlineLvl w:val="1"/>
        <w:rPr>
          <w:rFonts w:hint="eastAsia" w:asciiTheme="minorEastAsia" w:hAnsiTheme="minorEastAsia" w:eastAsiaTheme="minorEastAsia" w:cstheme="minorEastAsia"/>
          <w:b/>
          <w:bCs/>
          <w:kern w:val="0"/>
          <w:sz w:val="28"/>
          <w:szCs w:val="32"/>
        </w:rPr>
      </w:pPr>
      <w:bookmarkStart w:id="7" w:name="_Toc22689"/>
      <w:bookmarkStart w:id="8" w:name="_Toc139478058"/>
      <w:r>
        <w:rPr>
          <w:rFonts w:hint="eastAsia" w:asciiTheme="minorEastAsia" w:hAnsiTheme="minorEastAsia" w:eastAsiaTheme="minorEastAsia" w:cstheme="minorEastAsia"/>
          <w:b/>
          <w:bCs/>
          <w:kern w:val="0"/>
          <w:sz w:val="28"/>
          <w:szCs w:val="32"/>
          <w:lang w:val="en-US" w:eastAsia="zh-CN"/>
        </w:rPr>
        <w:t>九</w:t>
      </w:r>
      <w:r>
        <w:rPr>
          <w:rFonts w:hint="eastAsia" w:asciiTheme="minorEastAsia" w:hAnsiTheme="minorEastAsia" w:eastAsiaTheme="minorEastAsia" w:cstheme="minorEastAsia"/>
          <w:b/>
          <w:bCs/>
          <w:kern w:val="0"/>
          <w:sz w:val="28"/>
          <w:szCs w:val="32"/>
        </w:rPr>
        <w:t>、违约</w:t>
      </w:r>
      <w:bookmarkEnd w:id="7"/>
      <w:bookmarkEnd w:id="8"/>
      <w:r>
        <w:rPr>
          <w:rFonts w:hint="eastAsia" w:asciiTheme="minorEastAsia" w:hAnsiTheme="minorEastAsia" w:eastAsiaTheme="minorEastAsia" w:cstheme="minorEastAsia"/>
          <w:b/>
          <w:bCs/>
          <w:kern w:val="0"/>
          <w:sz w:val="28"/>
          <w:szCs w:val="32"/>
        </w:rPr>
        <w:t>责任</w:t>
      </w:r>
    </w:p>
    <w:p w14:paraId="71A8370C">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1.监理人提供的监理服务报告，应价值客观、真实、合理、清晰、工整，符合监理行业标准规范要求，如未达到既定监理目标，则采购人不予支付本项目监理服务费。</w:t>
      </w:r>
    </w:p>
    <w:p w14:paraId="3F122F3B">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2.监理人如有违背执业标准，职业规范（如接受利益请托）等不当行为时，采购人有权即刻单方面解除本合同，并不支付所有费用，且向监理人保留追偿一切损失的权利。</w:t>
      </w:r>
    </w:p>
    <w:p w14:paraId="0F3F0CA1">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因监理人原因使得工程施工过程中监督不力造成质量事故、人身安全受到伤害、被行政处罚，施工现场混乱，监管缺失，有质量问题材料得以进场使用等问题时，采购人有权不予支付本项目监理费用，且应承担采购人因此而造成的损失。</w:t>
      </w:r>
    </w:p>
    <w:p w14:paraId="1623F2D0">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工程承包人未按经审批的施工组织方案的承诺投入机械、设备、材料等，监理人对此不进行检查、督促、处理，不向采购人报告，被采购人发现后，监理人除必须限期纠正外，累计三次，则采购人不予支付本项目监理费，且监理人需支付采购人监理费合同价款的50%作为违约赔偿金。</w:t>
      </w:r>
    </w:p>
    <w:p w14:paraId="5879AF28">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对于承包人提交的现场签证资料，监理人未有准确、真实的现场原始记录或不进行现场复核或复核偏差明显失实就给予签字确认，经采购人检查，发现签字确认的文件有误的，除必须限期纠正外，累计三次，则采购人不予支付本项目监理费，且监理人需支付采购人监理费合同价款的50%作为违约赔偿金。</w:t>
      </w:r>
    </w:p>
    <w:p w14:paraId="3EA8BC88">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对承包人提交的施工方案、设计变更申请，监理人对其中明显不符合现场实际的部分，或者与招投标文件不符、会引起采购人投资增加和工期延误的部分，不进行认真审核就给予同意，被采购人审查发现后，除必须限期纠正外，监理人必须承担违约责任，由此造成采购人损失的，采购人将要求监理人赔偿经济损失。</w:t>
      </w:r>
    </w:p>
    <w:p w14:paraId="69A64883">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对于施工方提交的请款报告，监理人不按实际完成的工作量进行审核，不按合同要求签署拨款意见，被采购人审查发现后，除必须限期纠正外，监理人必须承担违约责任，如造成采购人超付工程款，采购人将要求监理人赔偿经济损失。</w:t>
      </w:r>
    </w:p>
    <w:p w14:paraId="7C9E391A">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因监理人原因（包括：在施工过程中，监理人发出错误指令；监理人越权审批设计变更；因监理人原因造成工程投资增加的等），致使本工程在投资、工期、质量、安全、文明施工等方面给采购人造成损失的，采购人有权要求监理人进行赔偿。</w:t>
      </w:r>
    </w:p>
    <w:p w14:paraId="569F54B3">
      <w:pPr>
        <w:tabs>
          <w:tab w:val="left" w:pos="0"/>
          <w:tab w:val="left" w:pos="210"/>
          <w:tab w:val="left" w:pos="420"/>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9.采购人应按合同约定支付监理费用，如无故拖延，则需额外支付合同价款的10%，给予监理人补偿。</w:t>
      </w:r>
    </w:p>
    <w:p w14:paraId="409315DF">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因监理人原因（包括：在施工过程中，监理人发出错误指令；监理人越权审批设计变更；因监理人原因造成工程投资增加的；因监理人监督不力造成质量事故、或人身安全、或受到行政主管部门处罚等），致使本工程在投资、工期、质量、安全、文明施工等方面给委托人造成损失的，委托人将要求监理人进行赔偿；</w:t>
      </w:r>
    </w:p>
    <w:p w14:paraId="3EBD2140">
      <w:pPr>
        <w:spacing w:line="560" w:lineRule="exact"/>
        <w:ind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当监理人不履行或没有充分履行其相关承诺及监理义务、合同条款中约定的监理工作内容，监理人应承担违约责任并支付违约金，违约金为本合同监理费的20%，在违约行为发生的当期监理费支付时直接扣除。情节严重的，采购人有权解除合同，由此造成采购人的损失由监理人承担。</w:t>
      </w:r>
    </w:p>
    <w:p w14:paraId="48CF1D36">
      <w:pPr>
        <w:tabs>
          <w:tab w:val="left" w:pos="540"/>
        </w:tabs>
        <w:spacing w:line="36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0"/>
          <w:sz w:val="28"/>
          <w:szCs w:val="32"/>
        </w:rPr>
        <w:t>十、争议解决：</w:t>
      </w:r>
      <w:r>
        <w:rPr>
          <w:rFonts w:hint="eastAsia" w:asciiTheme="minorEastAsia" w:hAnsiTheme="minorEastAsia" w:eastAsiaTheme="minorEastAsia" w:cstheme="minorEastAsia"/>
          <w:sz w:val="28"/>
          <w:szCs w:val="28"/>
        </w:rPr>
        <w:t>合同执行过程中发生的任何争议，双方友好协商解决，协商不成，向采购人所在地人民法院提起诉讼。</w:t>
      </w:r>
    </w:p>
    <w:p w14:paraId="0B1BA994">
      <w:pPr>
        <w:spacing w:before="71" w:beforeLines="25"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、保密</w:t>
      </w:r>
    </w:p>
    <w:p w14:paraId="77F69AAF">
      <w:pPr>
        <w:spacing w:before="71" w:beforeLines="25"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中标供应商必须采取措施对本项目实施过程中收集的相关资料保密，否则，由于中标供应商过错导致的上述资料泄密的，中标供应商必须承担一切责任。项目完成后，双方均有责任对本项目的技术保密承担责任。</w:t>
      </w:r>
    </w:p>
    <w:p w14:paraId="1E746626">
      <w:pPr>
        <w:spacing w:before="71" w:beforeLines="25"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未经采购人事先书面同意，中标供应商不得将由采购人为本合同提供的任何资料提供给与本合同无关的任何第三方，不得将其用于履行本合同之外的其它用途。即使向与履行本合同有关的人员提供，也应注意保密并限于履行合同所必需的范围。</w:t>
      </w:r>
    </w:p>
    <w:p w14:paraId="7CF5C1BA">
      <w:pPr>
        <w:spacing w:before="71" w:beforeLines="25"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（三）如果采购人有要求，中标供应商在完成合同后应将有关资料还给采购人。</w:t>
      </w:r>
    </w:p>
    <w:p w14:paraId="7DB33255">
      <w:pPr>
        <w:widowControl/>
        <w:spacing w:line="360" w:lineRule="auto"/>
        <w:ind w:firstLine="562" w:firstLineChars="200"/>
        <w:textAlignment w:val="baseline"/>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二</w:t>
      </w:r>
      <w:r>
        <w:rPr>
          <w:rFonts w:hint="eastAsia" w:asciiTheme="minorEastAsia" w:hAnsiTheme="minorEastAsia" w:eastAsiaTheme="minorEastAsia" w:cstheme="minorEastAsia"/>
          <w:b/>
          <w:color w:val="000000"/>
          <w:sz w:val="28"/>
          <w:szCs w:val="28"/>
        </w:rPr>
        <w:t>、报价文件内容（报价供应商报价时需对以下内容逐条响应，且提供材料并加盖报价供应商公章,如未按要求提交或资料不齐全，视为不响应询价文件实质性要求，按无效报价处理）</w:t>
      </w:r>
    </w:p>
    <w:p w14:paraId="01B9268E">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（一）按要求提交加盖报价供应商公章的</w:t>
      </w:r>
      <w:r>
        <w:rPr>
          <w:rFonts w:hint="eastAsia" w:asciiTheme="minorEastAsia" w:hAnsiTheme="minorEastAsia" w:eastAsiaTheme="minorEastAsia" w:cstheme="minorEastAsia"/>
          <w:b/>
          <w:color w:val="000000"/>
          <w:kern w:val="0"/>
          <w:sz w:val="28"/>
          <w:szCs w:val="28"/>
        </w:rPr>
        <w:t>《报价声明》</w:t>
      </w:r>
      <w:r>
        <w:rPr>
          <w:rFonts w:hint="eastAsia" w:asciiTheme="minorEastAsia" w:hAnsiTheme="minorEastAsia" w:eastAsiaTheme="minorEastAsia" w:cstheme="minorEastAsia"/>
          <w:bCs/>
          <w:color w:val="000000"/>
          <w:kern w:val="0"/>
          <w:sz w:val="28"/>
          <w:szCs w:val="28"/>
        </w:rPr>
        <w:t>（见附件1）</w:t>
      </w:r>
      <w:r>
        <w:rPr>
          <w:rFonts w:hint="eastAsia" w:asciiTheme="minorEastAsia" w:hAnsiTheme="minorEastAsia" w:eastAsiaTheme="minorEastAsia" w:cstheme="minorEastAsia"/>
          <w:color w:val="000000"/>
          <w:kern w:val="0"/>
          <w:sz w:val="28"/>
          <w:szCs w:val="28"/>
        </w:rPr>
        <w:t>。</w:t>
      </w:r>
    </w:p>
    <w:p w14:paraId="35E11C45">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（二）按要求提交加盖报价供应商公章的</w:t>
      </w:r>
      <w:r>
        <w:rPr>
          <w:rFonts w:hint="eastAsia" w:asciiTheme="minorEastAsia" w:hAnsiTheme="minorEastAsia" w:eastAsiaTheme="minorEastAsia" w:cstheme="minorEastAsia"/>
          <w:b/>
          <w:color w:val="000000"/>
          <w:kern w:val="0"/>
          <w:sz w:val="28"/>
          <w:szCs w:val="28"/>
        </w:rPr>
        <w:t>《报价一览表》</w:t>
      </w:r>
      <w:r>
        <w:rPr>
          <w:rFonts w:hint="eastAsia" w:asciiTheme="minorEastAsia" w:hAnsiTheme="minorEastAsia" w:eastAsiaTheme="minorEastAsia" w:cstheme="minorEastAsia"/>
          <w:bCs/>
          <w:color w:val="000000"/>
          <w:kern w:val="0"/>
          <w:sz w:val="28"/>
          <w:szCs w:val="28"/>
        </w:rPr>
        <w:t>（见附件2）</w:t>
      </w:r>
      <w:r>
        <w:rPr>
          <w:rFonts w:hint="eastAsia" w:asciiTheme="minorEastAsia" w:hAnsiTheme="minorEastAsia" w:eastAsiaTheme="minorEastAsia" w:cstheme="minorEastAsia"/>
          <w:color w:val="000000"/>
          <w:kern w:val="0"/>
          <w:sz w:val="28"/>
          <w:szCs w:val="28"/>
        </w:rPr>
        <w:t>。</w:t>
      </w:r>
    </w:p>
    <w:p w14:paraId="32587300">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（三）非联合体投标承诺书（见附件3）。</w:t>
      </w:r>
    </w:p>
    <w:p w14:paraId="6467B5AA">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（四）提交企业法人</w:t>
      </w:r>
      <w:r>
        <w:rPr>
          <w:rFonts w:hint="eastAsia" w:asciiTheme="minorEastAsia" w:hAnsiTheme="minorEastAsia" w:eastAsiaTheme="minorEastAsia" w:cstheme="minorEastAsia"/>
          <w:b/>
          <w:color w:val="000000"/>
          <w:kern w:val="0"/>
          <w:sz w:val="28"/>
          <w:szCs w:val="28"/>
        </w:rPr>
        <w:t>《营业执照》副本</w:t>
      </w:r>
      <w:r>
        <w:rPr>
          <w:rFonts w:hint="eastAsia" w:asciiTheme="minorEastAsia" w:hAnsiTheme="minorEastAsia" w:eastAsiaTheme="minorEastAsia" w:cstheme="minorEastAsia"/>
          <w:color w:val="000000"/>
          <w:kern w:val="0"/>
          <w:sz w:val="28"/>
          <w:szCs w:val="28"/>
        </w:rPr>
        <w:t>或</w:t>
      </w:r>
      <w:r>
        <w:rPr>
          <w:rFonts w:hint="eastAsia" w:asciiTheme="minorEastAsia" w:hAnsiTheme="minorEastAsia" w:eastAsiaTheme="minorEastAsia" w:cstheme="minorEastAsia"/>
          <w:b/>
          <w:color w:val="000000"/>
          <w:kern w:val="0"/>
          <w:sz w:val="28"/>
          <w:szCs w:val="28"/>
        </w:rPr>
        <w:t>事业单位法人证书</w:t>
      </w:r>
      <w:r>
        <w:rPr>
          <w:rFonts w:hint="eastAsia" w:asciiTheme="minorEastAsia" w:hAnsiTheme="minorEastAsia" w:eastAsiaTheme="minorEastAsia" w:cstheme="minorEastAsia"/>
          <w:color w:val="000000"/>
          <w:kern w:val="0"/>
          <w:sz w:val="28"/>
          <w:szCs w:val="28"/>
        </w:rPr>
        <w:t>或</w:t>
      </w:r>
      <w:r>
        <w:rPr>
          <w:rFonts w:hint="eastAsia" w:asciiTheme="minorEastAsia" w:hAnsiTheme="minorEastAsia" w:eastAsiaTheme="minorEastAsia" w:cstheme="minorEastAsia"/>
          <w:b/>
          <w:color w:val="000000"/>
          <w:kern w:val="0"/>
          <w:sz w:val="28"/>
          <w:szCs w:val="28"/>
        </w:rPr>
        <w:t>法人登记证书复印件</w:t>
      </w:r>
      <w:r>
        <w:rPr>
          <w:rFonts w:hint="eastAsia" w:asciiTheme="minorEastAsia" w:hAnsiTheme="minorEastAsia" w:eastAsiaTheme="minorEastAsia" w:cstheme="minorEastAsia"/>
          <w:color w:val="000000"/>
          <w:kern w:val="0"/>
          <w:sz w:val="28"/>
          <w:szCs w:val="28"/>
        </w:rPr>
        <w:t>。</w:t>
      </w:r>
    </w:p>
    <w:p w14:paraId="28F16BA1">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（五）按要求提交具备工程监理综合资质或房屋建筑工程监理专业资质乙级（含乙级）或以上资质</w:t>
      </w:r>
      <w:r>
        <w:rPr>
          <w:rFonts w:hint="eastAsia" w:asciiTheme="minorEastAsia" w:hAnsiTheme="minorEastAsia" w:eastAsiaTheme="minorEastAsia" w:cstheme="minorEastAsia"/>
          <w:sz w:val="28"/>
          <w:szCs w:val="28"/>
        </w:rPr>
        <w:t>证书</w:t>
      </w:r>
      <w:r>
        <w:rPr>
          <w:rFonts w:hint="eastAsia" w:asciiTheme="minorEastAsia" w:hAnsiTheme="minorEastAsia" w:eastAsiaTheme="minorEastAsia" w:cstheme="minorEastAsia"/>
          <w:color w:val="000000"/>
          <w:kern w:val="0"/>
          <w:sz w:val="28"/>
          <w:szCs w:val="28"/>
        </w:rPr>
        <w:t>复印件。</w:t>
      </w:r>
    </w:p>
    <w:p w14:paraId="794ADE97">
      <w:pPr>
        <w:pStyle w:val="2"/>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t>（六）按要求提交委派项目现场监理人房屋建筑中级工程师职称或具备机电安装或具备建筑类助理工程师职称证书复印件。</w:t>
      </w:r>
    </w:p>
    <w:p w14:paraId="0344F2EF">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（七）按要求提交</w:t>
      </w:r>
      <w:r>
        <w:rPr>
          <w:rFonts w:hint="eastAsia" w:asciiTheme="minorEastAsia" w:hAnsiTheme="minorEastAsia" w:eastAsiaTheme="minorEastAsia" w:cstheme="minorEastAsia"/>
          <w:b/>
          <w:color w:val="000000"/>
          <w:kern w:val="0"/>
          <w:sz w:val="28"/>
          <w:szCs w:val="28"/>
        </w:rPr>
        <w:t>法定代表人证明书、授权委托书</w:t>
      </w:r>
      <w:r>
        <w:rPr>
          <w:rFonts w:hint="eastAsia" w:asciiTheme="minorEastAsia" w:hAnsiTheme="minorEastAsia" w:eastAsiaTheme="minorEastAsia" w:cstheme="minorEastAsia"/>
          <w:bCs/>
          <w:color w:val="000000"/>
          <w:kern w:val="0"/>
          <w:sz w:val="28"/>
          <w:szCs w:val="28"/>
        </w:rPr>
        <w:t>（附件4、附件5）</w:t>
      </w:r>
      <w:r>
        <w:rPr>
          <w:rFonts w:hint="eastAsia" w:asciiTheme="minorEastAsia" w:hAnsiTheme="minorEastAsia" w:eastAsiaTheme="minorEastAsia" w:cstheme="minorEastAsia"/>
          <w:color w:val="000000"/>
          <w:kern w:val="0"/>
          <w:sz w:val="28"/>
          <w:szCs w:val="28"/>
        </w:rPr>
        <w:t>。</w:t>
      </w:r>
    </w:p>
    <w:p w14:paraId="367B2868">
      <w:pPr>
        <w:widowControl/>
        <w:spacing w:line="360" w:lineRule="auto"/>
        <w:ind w:firstLine="560" w:firstLineChars="200"/>
        <w:textAlignment w:val="baseline"/>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color w:val="000000"/>
          <w:kern w:val="0"/>
          <w:sz w:val="28"/>
          <w:szCs w:val="28"/>
        </w:rPr>
        <w:t>（八）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Theme="minorEastAsia" w:hAnsiTheme="minorEastAsia" w:eastAsiaTheme="minorEastAsia" w:cstheme="minorEastAsia"/>
          <w:b/>
          <w:kern w:val="0"/>
          <w:sz w:val="28"/>
          <w:szCs w:val="28"/>
        </w:rPr>
        <w:t>（提供查询的页面截图）。</w:t>
      </w:r>
    </w:p>
    <w:p w14:paraId="2357B1C6">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kern w:val="0"/>
          <w:sz w:val="28"/>
          <w:szCs w:val="28"/>
        </w:rPr>
        <w:t>（九）提交</w:t>
      </w:r>
      <w:r>
        <w:rPr>
          <w:rFonts w:hint="eastAsia" w:asciiTheme="minorEastAsia" w:hAnsiTheme="minorEastAsia" w:eastAsiaTheme="minorEastAsia" w:cstheme="minorEastAsia"/>
          <w:color w:val="000000"/>
          <w:kern w:val="0"/>
          <w:sz w:val="28"/>
          <w:szCs w:val="28"/>
        </w:rPr>
        <w:t>具有独立承担民事责任能力，且具备履行合同所必需的设备和专业技术能力</w:t>
      </w:r>
      <w:r>
        <w:rPr>
          <w:rFonts w:hint="eastAsia" w:asciiTheme="minorEastAsia" w:hAnsiTheme="minorEastAsia" w:eastAsiaTheme="minorEastAsia" w:cstheme="minorEastAsia"/>
          <w:b/>
          <w:color w:val="000000"/>
          <w:kern w:val="0"/>
          <w:sz w:val="28"/>
          <w:szCs w:val="28"/>
        </w:rPr>
        <w:t>（提供说明材料或承诺书）</w:t>
      </w:r>
      <w:r>
        <w:rPr>
          <w:rFonts w:hint="eastAsia" w:asciiTheme="minorEastAsia" w:hAnsiTheme="minorEastAsia" w:eastAsiaTheme="minorEastAsia" w:cstheme="minorEastAsia"/>
          <w:color w:val="000000"/>
          <w:kern w:val="0"/>
          <w:sz w:val="28"/>
          <w:szCs w:val="28"/>
        </w:rPr>
        <w:t>。</w:t>
      </w:r>
    </w:p>
    <w:p w14:paraId="45547A70">
      <w:pPr>
        <w:widowControl/>
        <w:spacing w:line="360" w:lineRule="auto"/>
        <w:ind w:firstLine="560" w:firstLineChars="200"/>
        <w:textAlignment w:val="baseline"/>
        <w:rPr>
          <w:rFonts w:hint="eastAsia" w:asciiTheme="minorEastAsia" w:hAnsiTheme="minorEastAsia" w:eastAsiaTheme="minorEastAsia" w:cstheme="minorEastAsia"/>
          <w:b/>
          <w:bCs/>
          <w:color w:val="FF0000"/>
          <w:kern w:val="0"/>
          <w:sz w:val="28"/>
          <w:szCs w:val="28"/>
        </w:rPr>
      </w:pPr>
      <w:r>
        <w:rPr>
          <w:rFonts w:hint="eastAsia" w:asciiTheme="minorEastAsia" w:hAnsiTheme="minorEastAsia" w:eastAsiaTheme="minorEastAsia" w:cstheme="minorEastAsia"/>
          <w:color w:val="FF0000"/>
          <w:kern w:val="0"/>
          <w:sz w:val="28"/>
          <w:szCs w:val="28"/>
        </w:rPr>
        <w:t>（十）提交本项目要求的其他技术（或服务）响应文件。</w:t>
      </w:r>
      <w:r>
        <w:rPr>
          <w:rFonts w:hint="eastAsia" w:asciiTheme="minorEastAsia" w:hAnsiTheme="minorEastAsia" w:eastAsiaTheme="minorEastAsia" w:cstheme="minorEastAsia"/>
          <w:b/>
          <w:bCs/>
          <w:color w:val="FF0000"/>
          <w:kern w:val="0"/>
          <w:sz w:val="28"/>
          <w:szCs w:val="28"/>
        </w:rPr>
        <w:t>（对本</w:t>
      </w:r>
      <w:r>
        <w:rPr>
          <w:rFonts w:hint="eastAsia" w:asciiTheme="minorEastAsia" w:hAnsiTheme="minorEastAsia" w:eastAsiaTheme="minorEastAsia" w:cstheme="minorEastAsia"/>
          <w:b/>
          <w:bCs/>
          <w:color w:val="FF0000"/>
          <w:kern w:val="0"/>
          <w:sz w:val="28"/>
          <w:szCs w:val="28"/>
          <w:lang w:val="en-US" w:eastAsia="zh-CN"/>
        </w:rPr>
        <w:t>项目</w:t>
      </w:r>
      <w:bookmarkStart w:id="9" w:name="_GoBack"/>
      <w:bookmarkEnd w:id="9"/>
      <w:r>
        <w:rPr>
          <w:rFonts w:hint="eastAsia" w:asciiTheme="minorEastAsia" w:hAnsiTheme="minorEastAsia" w:eastAsiaTheme="minorEastAsia" w:cstheme="minorEastAsia"/>
          <w:b/>
          <w:bCs/>
          <w:color w:val="FF0000"/>
          <w:kern w:val="0"/>
          <w:sz w:val="28"/>
          <w:szCs w:val="28"/>
          <w:lang w:val="en-US" w:eastAsia="zh-CN"/>
        </w:rPr>
        <w:t>询价文件</w:t>
      </w:r>
      <w:r>
        <w:rPr>
          <w:rFonts w:hint="eastAsia" w:asciiTheme="minorEastAsia" w:hAnsiTheme="minorEastAsia" w:eastAsiaTheme="minorEastAsia" w:cstheme="minorEastAsia"/>
          <w:b/>
          <w:bCs/>
          <w:color w:val="FF0000"/>
          <w:kern w:val="0"/>
          <w:sz w:val="28"/>
          <w:szCs w:val="28"/>
        </w:rPr>
        <w:t>每页加盖公章即确认全部响应或提交相关技术（或服务）响应文件均可）</w:t>
      </w:r>
    </w:p>
    <w:p w14:paraId="3A968BA6">
      <w:pPr>
        <w:adjustRightInd w:val="0"/>
        <w:snapToGrid w:val="0"/>
        <w:spacing w:line="360" w:lineRule="auto"/>
        <w:ind w:left="420" w:leftChars="200"/>
        <w:textAlignment w:val="baseline"/>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三</w:t>
      </w:r>
      <w:r>
        <w:rPr>
          <w:rFonts w:hint="eastAsia" w:asciiTheme="minorEastAsia" w:hAnsiTheme="minorEastAsia" w:eastAsiaTheme="minorEastAsia" w:cstheme="minorEastAsia"/>
          <w:b/>
          <w:color w:val="000000"/>
          <w:sz w:val="28"/>
          <w:szCs w:val="28"/>
        </w:rPr>
        <w:t>、项目报价要求：</w:t>
      </w:r>
    </w:p>
    <w:p w14:paraId="1F62E11D">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（一）各供应商报价应为一次性报价，否则为无效报价。 </w:t>
      </w:r>
    </w:p>
    <w:p w14:paraId="433AC662">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（二）报价供应商只能提供一份报价方案，否则为无效报价。</w:t>
      </w:r>
    </w:p>
    <w:p w14:paraId="310F0394">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（三）报价文件不符合要求者视为无效报价。</w:t>
      </w:r>
    </w:p>
    <w:p w14:paraId="7FBDA2F3">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（四）供应商报价超过预算金额的视为无效报价。</w:t>
      </w:r>
    </w:p>
    <w:p w14:paraId="009667BB">
      <w:pPr>
        <w:widowControl/>
        <w:spacing w:line="360" w:lineRule="auto"/>
        <w:ind w:firstLine="562" w:firstLineChars="200"/>
        <w:textAlignment w:val="baseline"/>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（五）本次询价须满足</w:t>
      </w:r>
      <w:r>
        <w:rPr>
          <w:rFonts w:hint="eastAsia" w:asciiTheme="minorEastAsia" w:hAnsiTheme="minorEastAsia" w:eastAsiaTheme="minorEastAsia" w:cstheme="minorEastAsia"/>
          <w:b/>
          <w:bCs/>
          <w:color w:val="000000"/>
          <w:kern w:val="0"/>
          <w:sz w:val="28"/>
          <w:szCs w:val="28"/>
          <w:u w:val="single"/>
        </w:rPr>
        <w:t>三</w:t>
      </w:r>
      <w:r>
        <w:rPr>
          <w:rFonts w:hint="eastAsia" w:asciiTheme="minorEastAsia" w:hAnsiTheme="minorEastAsia" w:eastAsiaTheme="minorEastAsia" w:cstheme="minorEastAsia"/>
          <w:b/>
          <w:bCs/>
          <w:color w:val="000000"/>
          <w:kern w:val="0"/>
          <w:sz w:val="28"/>
          <w:szCs w:val="28"/>
        </w:rPr>
        <w:t>家或以上供应商提交报价，价低者中标；若有效报价不足</w:t>
      </w:r>
      <w:r>
        <w:rPr>
          <w:rFonts w:hint="eastAsia" w:asciiTheme="minorEastAsia" w:hAnsiTheme="minorEastAsia" w:eastAsiaTheme="minorEastAsia" w:cstheme="minorEastAsia"/>
          <w:b/>
          <w:bCs/>
          <w:color w:val="000000"/>
          <w:kern w:val="0"/>
          <w:sz w:val="28"/>
          <w:szCs w:val="28"/>
          <w:u w:val="single"/>
        </w:rPr>
        <w:t>三</w:t>
      </w:r>
      <w:r>
        <w:rPr>
          <w:rFonts w:hint="eastAsia" w:asciiTheme="minorEastAsia" w:hAnsiTheme="minorEastAsia" w:eastAsiaTheme="minorEastAsia" w:cstheme="minorEastAsia"/>
          <w:b/>
          <w:bCs/>
          <w:color w:val="000000"/>
          <w:kern w:val="0"/>
          <w:sz w:val="28"/>
          <w:szCs w:val="28"/>
        </w:rPr>
        <w:t>家，则本次询价失败。</w:t>
      </w:r>
    </w:p>
    <w:p w14:paraId="2B02E57E">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（六）无论询价结果如何，供应商应承担准备文件和递交文件所发生的任何成本和费用。</w:t>
      </w:r>
    </w:p>
    <w:p w14:paraId="186F5818">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（七）供应商所递交的报价文件须密封完好。采购人拒收没有密封完好的报价文件。</w:t>
      </w:r>
    </w:p>
    <w:p w14:paraId="0FC528F6">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（八）递交了报价文件但不参加唱价的供应商，视为默认唱价结果。</w:t>
      </w:r>
    </w:p>
    <w:p w14:paraId="3E5EBB7B">
      <w:pPr>
        <w:adjustRightInd w:val="0"/>
        <w:snapToGrid w:val="0"/>
        <w:spacing w:line="360" w:lineRule="auto"/>
        <w:ind w:left="420" w:leftChars="200"/>
        <w:textAlignment w:val="baseline"/>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四</w:t>
      </w:r>
      <w:r>
        <w:rPr>
          <w:rFonts w:hint="eastAsia" w:asciiTheme="minorEastAsia" w:hAnsiTheme="minorEastAsia" w:eastAsiaTheme="minorEastAsia" w:cstheme="minorEastAsia"/>
          <w:b/>
          <w:color w:val="000000"/>
          <w:sz w:val="28"/>
          <w:szCs w:val="28"/>
        </w:rPr>
        <w:t>、确定成交供应商原则</w:t>
      </w:r>
    </w:p>
    <w:p w14:paraId="453D16A1">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（一）在通过资格性与符合性审查、满足技术（或服务）需求有效报价3家或以上的，按照报价最低确定成交供应商。</w:t>
      </w:r>
      <w:r>
        <w:rPr>
          <w:rFonts w:hint="eastAsia" w:asciiTheme="minorEastAsia" w:hAnsiTheme="minorEastAsia" w:eastAsiaTheme="minorEastAsia" w:cstheme="minorEastAsia"/>
          <w:b/>
          <w:bCs/>
          <w:color w:val="000000"/>
          <w:kern w:val="0"/>
          <w:sz w:val="28"/>
          <w:szCs w:val="28"/>
          <w:u w:val="single"/>
        </w:rPr>
        <w:t>报价最低</w:t>
      </w:r>
      <w:r>
        <w:rPr>
          <w:rFonts w:hint="eastAsia" w:asciiTheme="minorEastAsia" w:hAnsiTheme="minorEastAsia" w:eastAsiaTheme="minorEastAsia" w:cstheme="minorEastAsia"/>
          <w:color w:val="000000"/>
          <w:kern w:val="0"/>
          <w:sz w:val="28"/>
          <w:szCs w:val="28"/>
        </w:rPr>
        <w:t>的供应商为第一成交候选人，</w:t>
      </w:r>
      <w:r>
        <w:rPr>
          <w:rFonts w:hint="eastAsia" w:asciiTheme="minorEastAsia" w:hAnsiTheme="minorEastAsia" w:eastAsiaTheme="minorEastAsia" w:cstheme="minorEastAsia"/>
          <w:b/>
          <w:bCs/>
          <w:color w:val="000000"/>
          <w:kern w:val="0"/>
          <w:sz w:val="28"/>
          <w:szCs w:val="28"/>
          <w:u w:val="single"/>
        </w:rPr>
        <w:t>报价第二低</w:t>
      </w:r>
      <w:r>
        <w:rPr>
          <w:rFonts w:hint="eastAsia" w:asciiTheme="minorEastAsia" w:hAnsiTheme="minorEastAsia" w:eastAsiaTheme="minorEastAsia" w:cstheme="minorEastAsia"/>
          <w:color w:val="000000"/>
          <w:kern w:val="0"/>
          <w:sz w:val="28"/>
          <w:szCs w:val="28"/>
        </w:rPr>
        <w:t>的供应商为第二成交候选人，报价第三低的供应商为第三成交候选人，依次类推。若有效报价不足3家，本次询价失败。</w:t>
      </w:r>
    </w:p>
    <w:p w14:paraId="6628A152">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（二）当出现相同报价时，按收到递交纸质版报价文件的</w:t>
      </w:r>
      <w:r>
        <w:rPr>
          <w:rFonts w:hint="eastAsia" w:asciiTheme="minorEastAsia" w:hAnsiTheme="minorEastAsia" w:eastAsiaTheme="minorEastAsia" w:cstheme="minorEastAsia"/>
          <w:b/>
          <w:bCs/>
          <w:color w:val="000000"/>
          <w:kern w:val="0"/>
          <w:sz w:val="28"/>
          <w:szCs w:val="28"/>
        </w:rPr>
        <w:t>签到</w:t>
      </w:r>
      <w:r>
        <w:rPr>
          <w:rFonts w:hint="eastAsia" w:asciiTheme="minorEastAsia" w:hAnsiTheme="minorEastAsia" w:eastAsiaTheme="minorEastAsia" w:cstheme="minorEastAsia"/>
          <w:color w:val="000000"/>
          <w:kern w:val="0"/>
          <w:sz w:val="28"/>
          <w:szCs w:val="28"/>
        </w:rPr>
        <w:t>先后顺序，由采购小组成员从号码箱中随机代抽取一个乒乓球，以乒乓球上标注的号码数作为相同报价的供应商的排名顺序（从小到大）。</w:t>
      </w:r>
    </w:p>
    <w:p w14:paraId="75E02170">
      <w:pPr>
        <w:widowControl/>
        <w:spacing w:line="360" w:lineRule="auto"/>
        <w:ind w:firstLine="560" w:firstLineChars="200"/>
        <w:textAlignment w:val="baseline"/>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（三）若成交供应商放弃成交资格或不按照学校采购制度的规定签订合同或被采购人单方面解除合同的，采购人有权依照排名先后顺序依次选择其他供应商作为成交供应商。</w:t>
      </w:r>
    </w:p>
    <w:p w14:paraId="0EDA7B10">
      <w:pPr>
        <w:widowControl/>
        <w:spacing w:line="360" w:lineRule="auto"/>
        <w:jc w:val="center"/>
        <w:textAlignment w:val="baseline"/>
        <w:rPr>
          <w:rFonts w:ascii="宋体" w:hAnsi="宋体"/>
          <w:kern w:val="0"/>
          <w:sz w:val="28"/>
          <w:szCs w:val="28"/>
        </w:rPr>
      </w:pPr>
      <w:r>
        <w:rPr>
          <w:rFonts w:hint="eastAsia" w:ascii="宋体" w:hAnsi="宋体"/>
          <w:kern w:val="0"/>
          <w:sz w:val="28"/>
          <w:szCs w:val="28"/>
        </w:rPr>
        <w:t xml:space="preserve">                 </w:t>
      </w:r>
    </w:p>
    <w:p w14:paraId="0E930682">
      <w:pPr>
        <w:widowControl/>
        <w:spacing w:line="360" w:lineRule="auto"/>
        <w:jc w:val="center"/>
        <w:textAlignment w:val="baseline"/>
        <w:rPr>
          <w:rFonts w:ascii="宋体" w:hAnsi="宋体"/>
          <w:kern w:val="0"/>
          <w:sz w:val="28"/>
          <w:szCs w:val="28"/>
        </w:rPr>
      </w:pPr>
      <w:r>
        <w:rPr>
          <w:rFonts w:hint="eastAsia" w:ascii="宋体" w:hAnsi="宋体"/>
          <w:kern w:val="0"/>
          <w:sz w:val="28"/>
          <w:szCs w:val="28"/>
        </w:rPr>
        <w:t xml:space="preserve">                           </w:t>
      </w:r>
    </w:p>
    <w:p w14:paraId="3E8BE167">
      <w:pPr>
        <w:pStyle w:val="2"/>
        <w:rPr>
          <w:rFonts w:hint="eastAsia"/>
        </w:rPr>
      </w:pPr>
    </w:p>
    <w:p w14:paraId="7FF9FEE1">
      <w:pPr>
        <w:widowControl/>
        <w:spacing w:line="360" w:lineRule="auto"/>
        <w:textAlignment w:val="baseline"/>
        <w:rPr>
          <w:rFonts w:hint="eastAsia" w:ascii="仿宋" w:hAnsi="仿宋" w:eastAsia="仿宋" w:cs="Tahoma"/>
          <w:b/>
          <w:color w:val="000000"/>
          <w:kern w:val="0"/>
          <w:sz w:val="24"/>
          <w:szCs w:val="24"/>
        </w:rPr>
      </w:pPr>
    </w:p>
    <w:p w14:paraId="6BC1219B">
      <w:pPr>
        <w:widowControl/>
        <w:spacing w:line="360" w:lineRule="auto"/>
        <w:textAlignment w:val="baseline"/>
        <w:rPr>
          <w:rFonts w:hint="eastAsia" w:ascii="仿宋" w:hAnsi="仿宋" w:eastAsia="仿宋" w:cs="Tahoma"/>
          <w:b/>
          <w:color w:val="000000"/>
          <w:kern w:val="0"/>
          <w:sz w:val="24"/>
          <w:szCs w:val="24"/>
        </w:rPr>
      </w:pPr>
    </w:p>
    <w:p w14:paraId="11D1D58D">
      <w:pPr>
        <w:widowControl/>
        <w:spacing w:line="360" w:lineRule="auto"/>
        <w:textAlignment w:val="baseline"/>
        <w:rPr>
          <w:rFonts w:hint="eastAsia" w:ascii="仿宋" w:hAnsi="仿宋" w:eastAsia="仿宋" w:cs="Tahoma"/>
          <w:b/>
          <w:color w:val="000000"/>
          <w:kern w:val="0"/>
          <w:sz w:val="24"/>
          <w:szCs w:val="24"/>
        </w:rPr>
      </w:pPr>
    </w:p>
    <w:p w14:paraId="49ED0101">
      <w:pPr>
        <w:widowControl/>
        <w:spacing w:line="360" w:lineRule="auto"/>
        <w:textAlignment w:val="baseline"/>
        <w:rPr>
          <w:rFonts w:hint="eastAsia" w:ascii="仿宋" w:hAnsi="仿宋" w:eastAsia="仿宋" w:cs="Tahoma"/>
          <w:b/>
          <w:color w:val="000000"/>
          <w:kern w:val="0"/>
          <w:sz w:val="24"/>
          <w:szCs w:val="24"/>
        </w:rPr>
      </w:pPr>
    </w:p>
    <w:p w14:paraId="3169F35B">
      <w:pPr>
        <w:widowControl/>
        <w:spacing w:line="360" w:lineRule="auto"/>
        <w:textAlignment w:val="baseline"/>
        <w:rPr>
          <w:rFonts w:hint="eastAsia" w:ascii="仿宋" w:hAnsi="仿宋" w:eastAsia="仿宋" w:cs="Tahoma"/>
          <w:b/>
          <w:color w:val="000000"/>
          <w:kern w:val="0"/>
          <w:sz w:val="24"/>
          <w:szCs w:val="24"/>
        </w:rPr>
      </w:pPr>
    </w:p>
    <w:p w14:paraId="010BCEAD">
      <w:pPr>
        <w:widowControl/>
        <w:spacing w:line="360" w:lineRule="auto"/>
        <w:textAlignment w:val="baseline"/>
        <w:rPr>
          <w:rFonts w:hint="eastAsia" w:ascii="仿宋" w:hAnsi="仿宋" w:eastAsia="仿宋" w:cs="Tahoma"/>
          <w:b/>
          <w:color w:val="000000"/>
          <w:kern w:val="0"/>
          <w:sz w:val="24"/>
          <w:szCs w:val="24"/>
        </w:rPr>
      </w:pPr>
    </w:p>
    <w:p w14:paraId="6D971DAB">
      <w:pPr>
        <w:widowControl/>
        <w:spacing w:line="360" w:lineRule="auto"/>
        <w:textAlignment w:val="baseline"/>
        <w:rPr>
          <w:rFonts w:hint="eastAsia" w:ascii="仿宋" w:hAnsi="仿宋" w:eastAsia="仿宋" w:cs="Tahoma"/>
          <w:b/>
          <w:color w:val="000000"/>
          <w:kern w:val="0"/>
          <w:sz w:val="24"/>
          <w:szCs w:val="24"/>
        </w:rPr>
      </w:pPr>
    </w:p>
    <w:p w14:paraId="2F18B583">
      <w:pPr>
        <w:widowControl/>
        <w:spacing w:line="360" w:lineRule="auto"/>
        <w:textAlignment w:val="baseline"/>
        <w:rPr>
          <w:rFonts w:hint="eastAsia" w:ascii="仿宋" w:hAnsi="仿宋" w:eastAsia="仿宋" w:cs="Tahoma"/>
          <w:b/>
          <w:color w:val="000000"/>
          <w:kern w:val="0"/>
          <w:sz w:val="24"/>
          <w:szCs w:val="24"/>
        </w:rPr>
      </w:pPr>
    </w:p>
    <w:p w14:paraId="1D22B457">
      <w:pPr>
        <w:widowControl/>
        <w:spacing w:line="360" w:lineRule="auto"/>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附件1</w:t>
      </w:r>
    </w:p>
    <w:p w14:paraId="575B51F0">
      <w:pPr>
        <w:widowControl/>
        <w:spacing w:line="425" w:lineRule="atLeast"/>
        <w:jc w:val="center"/>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报价声明</w:t>
      </w:r>
    </w:p>
    <w:p w14:paraId="2494E9D7">
      <w:pPr>
        <w:widowControl/>
        <w:adjustRightInd w:val="0"/>
        <w:snapToGrid w:val="0"/>
        <w:spacing w:line="360" w:lineRule="auto"/>
        <w:ind w:right="78" w:rightChars="37"/>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广东财经大学：</w:t>
      </w:r>
    </w:p>
    <w:p w14:paraId="02F52C28">
      <w:pPr>
        <w:widowControl/>
        <w:spacing w:line="440" w:lineRule="exact"/>
        <w:ind w:firstLine="528" w:firstLineChars="220"/>
        <w:textAlignment w:val="baseline"/>
        <w:rPr>
          <w:rFonts w:ascii="仿宋" w:hAnsi="仿宋" w:eastAsia="仿宋"/>
          <w:bCs/>
          <w:color w:val="000000"/>
          <w:kern w:val="0"/>
          <w:sz w:val="24"/>
          <w:szCs w:val="24"/>
        </w:rPr>
      </w:pPr>
      <w:r>
        <w:rPr>
          <w:rFonts w:hint="eastAsia" w:ascii="仿宋" w:hAnsi="仿宋" w:eastAsia="仿宋"/>
          <w:color w:val="000000"/>
          <w:kern w:val="0"/>
          <w:sz w:val="24"/>
          <w:szCs w:val="24"/>
        </w:rPr>
        <w:t>我方确认收到贵方提供的</w:t>
      </w:r>
      <w:r>
        <w:rPr>
          <w:rFonts w:hint="eastAsia" w:ascii="仿宋" w:hAnsi="仿宋" w:eastAsia="仿宋"/>
          <w:bCs/>
          <w:color w:val="000000"/>
          <w:kern w:val="0"/>
          <w:sz w:val="24"/>
          <w:szCs w:val="24"/>
          <w:u w:val="single"/>
        </w:rPr>
        <w:t>广东财经大学</w:t>
      </w:r>
      <w:r>
        <w:rPr>
          <w:rFonts w:hint="eastAsia" w:ascii="仿宋" w:hAnsi="仿宋" w:eastAsia="仿宋"/>
          <w:bCs/>
          <w:color w:val="000000"/>
          <w:kern w:val="0"/>
          <w:sz w:val="24"/>
          <w:szCs w:val="24"/>
          <w:u w:val="single"/>
          <w:lang w:val="en-US" w:eastAsia="zh-CN"/>
        </w:rPr>
        <w:t>佛山</w:t>
      </w:r>
      <w:r>
        <w:rPr>
          <w:rFonts w:hint="eastAsia" w:ascii="仿宋" w:hAnsi="仿宋" w:eastAsia="仿宋"/>
          <w:bCs/>
          <w:color w:val="000000"/>
          <w:kern w:val="0"/>
          <w:sz w:val="24"/>
          <w:szCs w:val="24"/>
          <w:u w:val="single"/>
        </w:rPr>
        <w:t>校区2025年小额工程监理服务项目</w:t>
      </w:r>
      <w:r>
        <w:rPr>
          <w:rFonts w:hint="eastAsia" w:ascii="仿宋" w:hAnsi="仿宋" w:eastAsia="仿宋"/>
          <w:color w:val="000000"/>
          <w:kern w:val="0"/>
          <w:sz w:val="24"/>
          <w:szCs w:val="24"/>
        </w:rPr>
        <w:t>询价文件及相关附件的全部内容，我方：</w:t>
      </w:r>
      <w:r>
        <w:rPr>
          <w:rFonts w:hint="eastAsia" w:ascii="仿宋" w:hAnsi="仿宋" w:eastAsia="仿宋"/>
          <w:b/>
          <w:color w:val="000000"/>
          <w:kern w:val="0"/>
          <w:sz w:val="24"/>
          <w:szCs w:val="24"/>
          <w:u w:val="double"/>
        </w:rPr>
        <w:t xml:space="preserve">(报价人名称)                 </w:t>
      </w:r>
      <w:r>
        <w:rPr>
          <w:rFonts w:hint="eastAsia" w:ascii="仿宋" w:hAnsi="仿宋" w:eastAsia="仿宋"/>
          <w:color w:val="000000"/>
          <w:kern w:val="0"/>
          <w:sz w:val="24"/>
          <w:szCs w:val="24"/>
        </w:rPr>
        <w:t>作为报价供应商正式授权</w:t>
      </w:r>
      <w:r>
        <w:rPr>
          <w:rFonts w:hint="eastAsia" w:ascii="仿宋" w:hAnsi="仿宋" w:eastAsia="仿宋"/>
          <w:b/>
          <w:color w:val="000000"/>
          <w:kern w:val="0"/>
          <w:sz w:val="24"/>
          <w:szCs w:val="24"/>
          <w:u w:val="double"/>
        </w:rPr>
        <w:t xml:space="preserve"> (授权代表全名、职务、身份证号码)              </w:t>
      </w:r>
      <w:r>
        <w:rPr>
          <w:rFonts w:hint="eastAsia" w:ascii="仿宋" w:hAnsi="仿宋" w:eastAsia="仿宋"/>
          <w:color w:val="000000"/>
          <w:kern w:val="0"/>
          <w:sz w:val="24"/>
          <w:szCs w:val="24"/>
        </w:rPr>
        <w:t>代表我方进行有关本项目询价的一切事宜。</w:t>
      </w:r>
    </w:p>
    <w:p w14:paraId="57BDF598">
      <w:pPr>
        <w:widowControl/>
        <w:spacing w:line="440" w:lineRule="exact"/>
        <w:ind w:firstLine="410" w:firstLineChars="171"/>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在此提交的报价文件正本</w:t>
      </w:r>
      <w:r>
        <w:rPr>
          <w:rFonts w:hint="eastAsia" w:ascii="仿宋" w:hAnsi="仿宋" w:eastAsia="仿宋"/>
          <w:b/>
          <w:color w:val="000000"/>
          <w:kern w:val="0"/>
          <w:sz w:val="24"/>
          <w:szCs w:val="24"/>
          <w:u w:val="double"/>
        </w:rPr>
        <w:t xml:space="preserve"> 1 </w:t>
      </w:r>
      <w:r>
        <w:rPr>
          <w:rFonts w:hint="eastAsia" w:ascii="仿宋" w:hAnsi="仿宋" w:eastAsia="仿宋"/>
          <w:color w:val="000000"/>
          <w:kern w:val="0"/>
          <w:sz w:val="24"/>
          <w:szCs w:val="24"/>
        </w:rPr>
        <w:t xml:space="preserve">套，副本 </w:t>
      </w:r>
      <w:r>
        <w:rPr>
          <w:rFonts w:hint="eastAsia" w:ascii="仿宋" w:hAnsi="仿宋" w:eastAsia="仿宋"/>
          <w:b/>
          <w:color w:val="000000"/>
          <w:kern w:val="0"/>
          <w:sz w:val="24"/>
          <w:szCs w:val="24"/>
          <w:u w:val="double"/>
        </w:rPr>
        <w:t xml:space="preserve">1 </w:t>
      </w:r>
      <w:r>
        <w:rPr>
          <w:rFonts w:hint="eastAsia" w:ascii="仿宋" w:hAnsi="仿宋" w:eastAsia="仿宋"/>
          <w:color w:val="000000"/>
          <w:kern w:val="0"/>
          <w:sz w:val="24"/>
          <w:szCs w:val="24"/>
        </w:rPr>
        <w:t>套，</w:t>
      </w:r>
      <w:r>
        <w:rPr>
          <w:rFonts w:hint="eastAsia" w:ascii="仿宋" w:hAnsi="仿宋" w:eastAsia="仿宋"/>
          <w:b/>
          <w:color w:val="000000"/>
          <w:kern w:val="0"/>
          <w:sz w:val="24"/>
          <w:szCs w:val="24"/>
        </w:rPr>
        <w:t>报价文件包括如下内容：</w:t>
      </w:r>
    </w:p>
    <w:p w14:paraId="7E8157E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本报价声明。</w:t>
      </w:r>
    </w:p>
    <w:p w14:paraId="178B5094">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报价一览表（附件2）。</w:t>
      </w:r>
    </w:p>
    <w:p w14:paraId="44AC391E">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非联合体投标承诺书（见附件3）。</w:t>
      </w:r>
    </w:p>
    <w:p w14:paraId="788616C8">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企业法人《营业执照》副本或事业单位法人证书或法人登记证书复印件。</w:t>
      </w:r>
    </w:p>
    <w:p w14:paraId="4DADF82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承接本项目具备的工程监理综合资质或房屋建筑工程监理专业资质乙级（含乙级）或以上资质证书复印件。</w:t>
      </w:r>
    </w:p>
    <w:p w14:paraId="2328997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委派项目现场监理人房屋建筑中级工程师职称或具备机电安装或具备建筑类助理工程师职称证书复印件。</w:t>
      </w:r>
    </w:p>
    <w:p w14:paraId="278F32B6">
      <w:pPr>
        <w:widowControl/>
        <w:numPr>
          <w:ilvl w:val="0"/>
          <w:numId w:val="2"/>
        </w:numPr>
        <w:spacing w:line="360" w:lineRule="auto"/>
        <w:textAlignment w:val="baseline"/>
        <w:rPr>
          <w:rFonts w:hint="eastAsia" w:ascii="仿宋" w:hAnsi="仿宋" w:eastAsia="仿宋"/>
          <w:b/>
          <w:color w:val="000000"/>
          <w:kern w:val="0"/>
          <w:sz w:val="24"/>
          <w:szCs w:val="24"/>
        </w:rPr>
      </w:pPr>
      <w:r>
        <w:rPr>
          <w:rFonts w:hint="eastAsia" w:ascii="仿宋" w:hAnsi="仿宋" w:eastAsia="仿宋"/>
          <w:b/>
          <w:color w:val="000000"/>
          <w:kern w:val="0"/>
          <w:sz w:val="24"/>
          <w:szCs w:val="24"/>
        </w:rPr>
        <w:t>法定代表人证明书、授权委托书（附件4、附件5）。</w:t>
      </w:r>
    </w:p>
    <w:p w14:paraId="37D9CC73">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726037EE">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提交具有独立承担民事责任能力，且具备履行合同所必需的设备和专业技术能力（提供说明材料或承诺书）。</w:t>
      </w:r>
    </w:p>
    <w:p w14:paraId="3EA7219D">
      <w:pPr>
        <w:widowControl/>
        <w:numPr>
          <w:ilvl w:val="0"/>
          <w:numId w:val="2"/>
        </w:numPr>
        <w:spacing w:line="360" w:lineRule="auto"/>
        <w:textAlignment w:val="baseline"/>
        <w:rPr>
          <w:rFonts w:ascii="仿宋" w:hAnsi="仿宋" w:eastAsia="仿宋"/>
          <w:b/>
          <w:color w:val="000000"/>
          <w:kern w:val="0"/>
          <w:sz w:val="24"/>
          <w:szCs w:val="24"/>
        </w:rPr>
      </w:pPr>
      <w:r>
        <w:rPr>
          <w:rFonts w:hint="eastAsia" w:ascii="仿宋" w:hAnsi="仿宋" w:eastAsia="仿宋"/>
          <w:b/>
          <w:color w:val="000000"/>
          <w:kern w:val="0"/>
          <w:sz w:val="24"/>
          <w:szCs w:val="24"/>
        </w:rPr>
        <w:t>提交本项目要求的其他技术（或服务）响应文件。</w:t>
      </w:r>
    </w:p>
    <w:p w14:paraId="58F0162F">
      <w:pPr>
        <w:widowControl/>
        <w:adjustRightInd w:val="0"/>
        <w:snapToGrid w:val="0"/>
        <w:spacing w:line="360" w:lineRule="auto"/>
        <w:ind w:right="78" w:rightChars="37" w:firstLine="482" w:firstLineChars="200"/>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我方已完全明白询价文件的所有条款要求，并重申以下几点：</w:t>
      </w:r>
    </w:p>
    <w:p w14:paraId="56E2D159">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我方严格遵守贵校采购有关规定。</w:t>
      </w:r>
    </w:p>
    <w:p w14:paraId="68006544">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我方具备履行合同所必需的设备和专业技术能力。</w:t>
      </w:r>
    </w:p>
    <w:p w14:paraId="33704D78">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我方已认真阅读询价文件及相关附件的全部内容，对本次询价作出实质性响应。</w:t>
      </w:r>
    </w:p>
    <w:p w14:paraId="3615C990">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14:paraId="7C0A637A">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我方同意按照贵校的要求提供与报价有关的其它任何数据、信息或资料，并对其真实性和合法性负责。</w:t>
      </w:r>
    </w:p>
    <w:p w14:paraId="045C6D8E">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1C64021B">
      <w:pPr>
        <w:widowControl/>
        <w:numPr>
          <w:ilvl w:val="0"/>
          <w:numId w:val="3"/>
        </w:numPr>
        <w:spacing w:line="440" w:lineRule="exact"/>
        <w:textAlignment w:val="baseline"/>
        <w:rPr>
          <w:rFonts w:ascii="仿宋" w:hAnsi="仿宋" w:eastAsia="仿宋"/>
          <w:color w:val="000000"/>
          <w:kern w:val="0"/>
          <w:sz w:val="24"/>
          <w:szCs w:val="24"/>
        </w:rPr>
      </w:pPr>
      <w:r>
        <w:rPr>
          <w:rFonts w:hint="eastAsia" w:ascii="仿宋" w:hAnsi="仿宋" w:eastAsia="仿宋"/>
          <w:color w:val="000000"/>
          <w:kern w:val="0"/>
          <w:sz w:val="24"/>
          <w:szCs w:val="24"/>
        </w:rPr>
        <w:t>近三年，我方在经营销售活动中没有违法行为，在招标投标、政府采购领域中没有违规和违约行为。</w:t>
      </w:r>
    </w:p>
    <w:p w14:paraId="1A4B3E2E">
      <w:pPr>
        <w:widowControl/>
        <w:adjustRightInd w:val="0"/>
        <w:snapToGrid w:val="0"/>
        <w:spacing w:line="348" w:lineRule="auto"/>
        <w:jc w:val="center"/>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 xml:space="preserve"> </w:t>
      </w:r>
    </w:p>
    <w:p w14:paraId="1E340B14">
      <w:pPr>
        <w:widowControl/>
        <w:adjustRightInd w:val="0"/>
        <w:snapToGrid w:val="0"/>
        <w:spacing w:line="348" w:lineRule="auto"/>
        <w:ind w:firstLine="5160" w:firstLineChars="2150"/>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 xml:space="preserve">报价供应商（公章）：   </w:t>
      </w:r>
    </w:p>
    <w:p w14:paraId="2C5404FC">
      <w:pPr>
        <w:widowControl/>
        <w:adjustRightInd w:val="0"/>
        <w:snapToGrid w:val="0"/>
        <w:spacing w:line="348" w:lineRule="auto"/>
        <w:ind w:firstLine="5160" w:firstLineChars="2150"/>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t>日期：202</w:t>
      </w:r>
      <w:r>
        <w:rPr>
          <w:rFonts w:hint="eastAsia" w:ascii="仿宋" w:hAnsi="仿宋" w:eastAsia="仿宋" w:cs="Tahoma"/>
          <w:color w:val="000000"/>
          <w:kern w:val="0"/>
          <w:sz w:val="24"/>
          <w:szCs w:val="24"/>
          <w:lang w:val="en-US" w:eastAsia="zh-CN"/>
        </w:rPr>
        <w:t>5</w:t>
      </w:r>
      <w:r>
        <w:rPr>
          <w:rFonts w:hint="eastAsia" w:ascii="仿宋" w:hAnsi="仿宋" w:eastAsia="仿宋" w:cs="Tahoma"/>
          <w:color w:val="000000"/>
          <w:kern w:val="0"/>
          <w:sz w:val="24"/>
          <w:szCs w:val="24"/>
        </w:rPr>
        <w:t>年  月  日</w:t>
      </w:r>
    </w:p>
    <w:p w14:paraId="2EE2A151">
      <w:pPr>
        <w:widowControl/>
        <w:spacing w:line="425" w:lineRule="atLeast"/>
        <w:textAlignment w:val="baseline"/>
        <w:rPr>
          <w:rFonts w:ascii="仿宋" w:hAnsi="仿宋" w:eastAsia="仿宋" w:cs="Tahoma"/>
          <w:color w:val="000000"/>
          <w:kern w:val="0"/>
          <w:sz w:val="24"/>
          <w:szCs w:val="24"/>
        </w:rPr>
      </w:pPr>
      <w:r>
        <w:rPr>
          <w:rFonts w:hint="eastAsia" w:ascii="仿宋" w:hAnsi="仿宋" w:eastAsia="仿宋"/>
          <w:b/>
          <w:color w:val="000000"/>
          <w:kern w:val="0"/>
          <w:sz w:val="24"/>
          <w:szCs w:val="24"/>
        </w:rPr>
        <w:t>（注：本报价声明为必要文件，必须加盖报价供应商公章，否则，作无效报价处理）</w:t>
      </w:r>
    </w:p>
    <w:p w14:paraId="22F5E5C6">
      <w:pPr>
        <w:widowControl/>
        <w:spacing w:line="425" w:lineRule="atLeast"/>
        <w:textAlignment w:val="baseline"/>
        <w:rPr>
          <w:rFonts w:ascii="仿宋" w:hAnsi="仿宋" w:eastAsia="仿宋" w:cs="Tahoma"/>
          <w:color w:val="000000"/>
          <w:kern w:val="0"/>
          <w:sz w:val="24"/>
          <w:szCs w:val="24"/>
        </w:rPr>
      </w:pPr>
      <w:r>
        <w:rPr>
          <w:rFonts w:hint="eastAsia" w:ascii="仿宋" w:hAnsi="仿宋" w:eastAsia="仿宋" w:cs="Tahoma"/>
          <w:color w:val="000000"/>
          <w:kern w:val="0"/>
          <w:sz w:val="24"/>
          <w:szCs w:val="24"/>
        </w:rPr>
        <w:br w:type="page"/>
      </w:r>
    </w:p>
    <w:p w14:paraId="17BC8AC0">
      <w:pPr>
        <w:widowControl/>
        <w:adjustRightInd w:val="0"/>
        <w:snapToGrid w:val="0"/>
        <w:spacing w:line="348" w:lineRule="auto"/>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4"/>
          <w:szCs w:val="24"/>
        </w:rPr>
        <w:t>附件2</w:t>
      </w:r>
      <w:r>
        <w:rPr>
          <w:rFonts w:hint="eastAsia" w:ascii="仿宋" w:hAnsi="仿宋" w:eastAsia="仿宋" w:cs="宋体"/>
          <w:b/>
          <w:color w:val="000000"/>
          <w:kern w:val="0"/>
          <w:sz w:val="28"/>
          <w:szCs w:val="28"/>
        </w:rPr>
        <w:t xml:space="preserve">  </w:t>
      </w:r>
    </w:p>
    <w:p w14:paraId="5F30AC70">
      <w:pPr>
        <w:widowControl/>
        <w:adjustRightInd w:val="0"/>
        <w:snapToGrid w:val="0"/>
        <w:spacing w:line="348" w:lineRule="auto"/>
        <w:textAlignment w:val="baseline"/>
        <w:rPr>
          <w:rFonts w:ascii="宋体" w:hAnsi="宋体" w:cs="Tahoma"/>
          <w:color w:val="000000"/>
          <w:kern w:val="0"/>
          <w:sz w:val="24"/>
          <w:szCs w:val="24"/>
        </w:rPr>
      </w:pPr>
      <w:r>
        <w:rPr>
          <w:rFonts w:hint="eastAsia" w:ascii="仿宋" w:hAnsi="仿宋" w:eastAsia="仿宋" w:cs="宋体"/>
          <w:b/>
          <w:color w:val="000000"/>
          <w:kern w:val="0"/>
          <w:sz w:val="28"/>
          <w:szCs w:val="28"/>
        </w:rPr>
        <w:t xml:space="preserve">      </w:t>
      </w:r>
    </w:p>
    <w:p w14:paraId="723FA4E1">
      <w:pPr>
        <w:widowControl/>
        <w:spacing w:line="560" w:lineRule="exact"/>
        <w:jc w:val="center"/>
        <w:textAlignment w:val="baseline"/>
        <w:rPr>
          <w:rFonts w:ascii="宋体" w:hAnsi="宋体"/>
          <w:b/>
          <w:color w:val="000000"/>
          <w:kern w:val="0"/>
          <w:sz w:val="28"/>
          <w:szCs w:val="28"/>
        </w:rPr>
      </w:pPr>
      <w:r>
        <w:rPr>
          <w:rFonts w:hint="eastAsia" w:ascii="宋体" w:hAnsi="宋体"/>
          <w:b/>
          <w:color w:val="000000"/>
          <w:kern w:val="0"/>
          <w:sz w:val="28"/>
          <w:szCs w:val="28"/>
        </w:rPr>
        <w:t>报价一览表</w:t>
      </w:r>
    </w:p>
    <w:p w14:paraId="75F045CD">
      <w:pPr>
        <w:widowControl/>
        <w:adjustRightInd w:val="0"/>
        <w:snapToGrid w:val="0"/>
        <w:spacing w:line="425" w:lineRule="atLeast"/>
        <w:jc w:val="right"/>
        <w:textAlignment w:val="baseline"/>
        <w:rPr>
          <w:rFonts w:ascii="宋体" w:hAnsi="宋体"/>
          <w:color w:val="000000"/>
          <w:kern w:val="0"/>
          <w:sz w:val="24"/>
          <w:szCs w:val="24"/>
        </w:rPr>
      </w:pPr>
      <w:r>
        <w:rPr>
          <w:rFonts w:hint="eastAsia" w:ascii="宋体" w:hAnsi="宋体"/>
          <w:color w:val="000000"/>
          <w:kern w:val="0"/>
          <w:sz w:val="24"/>
          <w:szCs w:val="24"/>
        </w:rPr>
        <w:t>货币单位：人民币元</w:t>
      </w:r>
    </w:p>
    <w:tbl>
      <w:tblPr>
        <w:tblStyle w:val="9"/>
        <w:tblW w:w="0" w:type="auto"/>
        <w:jc w:val="center"/>
        <w:tblLayout w:type="fixed"/>
        <w:tblCellMar>
          <w:top w:w="0" w:type="dxa"/>
          <w:left w:w="30" w:type="dxa"/>
          <w:bottom w:w="0" w:type="dxa"/>
          <w:right w:w="30" w:type="dxa"/>
        </w:tblCellMar>
      </w:tblPr>
      <w:tblGrid>
        <w:gridCol w:w="2229"/>
        <w:gridCol w:w="7119"/>
      </w:tblGrid>
      <w:tr w14:paraId="398F0D23">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4A47A0A4">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项目名称</w:t>
            </w:r>
          </w:p>
        </w:tc>
        <w:tc>
          <w:tcPr>
            <w:tcW w:w="7119" w:type="dxa"/>
            <w:tcBorders>
              <w:top w:val="single" w:color="auto" w:sz="6" w:space="0"/>
              <w:left w:val="nil"/>
              <w:bottom w:val="single" w:color="auto" w:sz="6" w:space="0"/>
              <w:right w:val="single" w:color="auto" w:sz="6" w:space="0"/>
            </w:tcBorders>
            <w:vAlign w:val="center"/>
          </w:tcPr>
          <w:p w14:paraId="613D3F34">
            <w:pPr>
              <w:widowControl/>
              <w:autoSpaceDE w:val="0"/>
              <w:autoSpaceDN w:val="0"/>
              <w:adjustRightInd w:val="0"/>
              <w:spacing w:line="480" w:lineRule="exact"/>
              <w:jc w:val="center"/>
              <w:textAlignment w:val="baseline"/>
              <w:rPr>
                <w:rFonts w:ascii="宋体" w:hAnsi="宋体"/>
                <w:bCs/>
                <w:color w:val="000000"/>
                <w:kern w:val="0"/>
                <w:sz w:val="24"/>
                <w:szCs w:val="24"/>
              </w:rPr>
            </w:pPr>
            <w:r>
              <w:rPr>
                <w:rFonts w:hint="eastAsia" w:ascii="宋体" w:hAnsi="宋体"/>
                <w:bCs/>
                <w:color w:val="000000"/>
                <w:kern w:val="0"/>
                <w:sz w:val="24"/>
                <w:szCs w:val="24"/>
              </w:rPr>
              <w:t>广东财经大学</w:t>
            </w:r>
            <w:r>
              <w:rPr>
                <w:rFonts w:hint="eastAsia" w:ascii="宋体" w:hAnsi="宋体"/>
                <w:bCs/>
                <w:color w:val="000000"/>
                <w:kern w:val="0"/>
                <w:sz w:val="24"/>
                <w:szCs w:val="24"/>
                <w:lang w:val="en-US" w:eastAsia="zh-CN"/>
              </w:rPr>
              <w:t>佛山</w:t>
            </w:r>
            <w:r>
              <w:rPr>
                <w:rFonts w:hint="eastAsia" w:ascii="宋体" w:hAnsi="宋体"/>
                <w:bCs/>
                <w:color w:val="000000"/>
                <w:kern w:val="0"/>
                <w:sz w:val="24"/>
                <w:szCs w:val="24"/>
              </w:rPr>
              <w:t>校区2025年小额工程监理服务项目</w:t>
            </w:r>
          </w:p>
        </w:tc>
      </w:tr>
      <w:tr w14:paraId="42BF048D">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56CE8450">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项目编号</w:t>
            </w:r>
          </w:p>
        </w:tc>
        <w:tc>
          <w:tcPr>
            <w:tcW w:w="7119" w:type="dxa"/>
            <w:tcBorders>
              <w:top w:val="single" w:color="auto" w:sz="6" w:space="0"/>
              <w:left w:val="nil"/>
              <w:bottom w:val="single" w:color="auto" w:sz="6" w:space="0"/>
              <w:right w:val="single" w:color="auto" w:sz="6" w:space="0"/>
            </w:tcBorders>
            <w:vAlign w:val="center"/>
          </w:tcPr>
          <w:p w14:paraId="5F7CAD4C">
            <w:pPr>
              <w:widowControl/>
              <w:autoSpaceDE w:val="0"/>
              <w:autoSpaceDN w:val="0"/>
              <w:adjustRightInd w:val="0"/>
              <w:spacing w:line="480" w:lineRule="exact"/>
              <w:ind w:firstLine="480" w:firstLineChars="200"/>
              <w:textAlignment w:val="baseline"/>
              <w:rPr>
                <w:rFonts w:ascii="宋体" w:hAnsi="宋体"/>
                <w:color w:val="FF0000"/>
                <w:kern w:val="0"/>
                <w:sz w:val="24"/>
                <w:szCs w:val="24"/>
              </w:rPr>
            </w:pPr>
          </w:p>
        </w:tc>
      </w:tr>
      <w:tr w14:paraId="34787F7D">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bottom w:val="nil"/>
              <w:right w:val="single" w:color="auto" w:sz="6" w:space="0"/>
            </w:tcBorders>
            <w:vAlign w:val="center"/>
          </w:tcPr>
          <w:p w14:paraId="4D5F57C9">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总报价</w:t>
            </w:r>
          </w:p>
        </w:tc>
        <w:tc>
          <w:tcPr>
            <w:tcW w:w="7119" w:type="dxa"/>
            <w:tcBorders>
              <w:top w:val="single" w:color="auto" w:sz="6" w:space="0"/>
              <w:left w:val="nil"/>
              <w:bottom w:val="single" w:color="auto" w:sz="6" w:space="0"/>
              <w:right w:val="single" w:color="auto" w:sz="6" w:space="0"/>
            </w:tcBorders>
            <w:vAlign w:val="center"/>
          </w:tcPr>
          <w:p w14:paraId="1D2EA887">
            <w:pPr>
              <w:widowControl/>
              <w:autoSpaceDE w:val="0"/>
              <w:autoSpaceDN w:val="0"/>
              <w:adjustRightInd w:val="0"/>
              <w:spacing w:line="480" w:lineRule="exact"/>
              <w:textAlignment w:val="baseline"/>
              <w:rPr>
                <w:rFonts w:ascii="宋体" w:hAnsi="宋体"/>
                <w:b/>
                <w:color w:val="000000"/>
                <w:kern w:val="0"/>
                <w:sz w:val="24"/>
                <w:szCs w:val="24"/>
                <w:u w:val="single"/>
              </w:rPr>
            </w:pPr>
          </w:p>
          <w:p w14:paraId="7D1C2F69">
            <w:pPr>
              <w:widowControl/>
              <w:autoSpaceDE w:val="0"/>
              <w:autoSpaceDN w:val="0"/>
              <w:adjustRightInd w:val="0"/>
              <w:spacing w:line="480" w:lineRule="exact"/>
              <w:ind w:firstLine="361" w:firstLineChars="150"/>
              <w:textAlignment w:val="baseline"/>
              <w:rPr>
                <w:rFonts w:ascii="宋体" w:hAnsi="宋体"/>
                <w:color w:val="000000"/>
                <w:kern w:val="0"/>
                <w:sz w:val="24"/>
                <w:szCs w:val="24"/>
              </w:rPr>
            </w:pPr>
            <w:r>
              <w:rPr>
                <w:rFonts w:hint="eastAsia" w:ascii="宋体" w:hAnsi="宋体"/>
                <w:b/>
                <w:color w:val="000000"/>
                <w:kern w:val="0"/>
                <w:sz w:val="24"/>
                <w:szCs w:val="24"/>
                <w:u w:val="single"/>
              </w:rPr>
              <w:t xml:space="preserve">                                    </w:t>
            </w:r>
          </w:p>
        </w:tc>
      </w:tr>
      <w:tr w14:paraId="510113A8">
        <w:tblPrEx>
          <w:tblCellMar>
            <w:top w:w="0" w:type="dxa"/>
            <w:left w:w="30" w:type="dxa"/>
            <w:bottom w:w="0" w:type="dxa"/>
            <w:right w:w="30" w:type="dxa"/>
          </w:tblCellMar>
        </w:tblPrEx>
        <w:trPr>
          <w:cantSplit/>
          <w:trHeight w:val="971" w:hRule="atLeast"/>
          <w:jc w:val="center"/>
        </w:trPr>
        <w:tc>
          <w:tcPr>
            <w:tcW w:w="2229" w:type="dxa"/>
            <w:vMerge w:val="continue"/>
            <w:tcBorders>
              <w:top w:val="single" w:color="auto" w:sz="6" w:space="0"/>
              <w:left w:val="single" w:color="auto" w:sz="6" w:space="0"/>
              <w:bottom w:val="nil"/>
              <w:right w:val="single" w:color="auto" w:sz="6" w:space="0"/>
            </w:tcBorders>
            <w:vAlign w:val="center"/>
          </w:tcPr>
          <w:p w14:paraId="6235AD02">
            <w:pPr>
              <w:widowControl/>
              <w:jc w:val="left"/>
              <w:rPr>
                <w:rFonts w:ascii="宋体" w:hAnsi="宋体"/>
                <w:b/>
                <w:color w:val="000000"/>
                <w:kern w:val="0"/>
                <w:sz w:val="24"/>
                <w:szCs w:val="24"/>
              </w:rPr>
            </w:pPr>
          </w:p>
        </w:tc>
        <w:tc>
          <w:tcPr>
            <w:tcW w:w="7119" w:type="dxa"/>
            <w:tcBorders>
              <w:top w:val="single" w:color="auto" w:sz="6" w:space="0"/>
              <w:left w:val="nil"/>
              <w:bottom w:val="single" w:color="auto" w:sz="6" w:space="0"/>
              <w:right w:val="single" w:color="auto" w:sz="6" w:space="0"/>
            </w:tcBorders>
            <w:vAlign w:val="center"/>
          </w:tcPr>
          <w:p w14:paraId="1222E0C0">
            <w:pPr>
              <w:widowControl/>
              <w:autoSpaceDE w:val="0"/>
              <w:autoSpaceDN w:val="0"/>
              <w:adjustRightInd w:val="0"/>
              <w:spacing w:line="480" w:lineRule="exact"/>
              <w:ind w:firstLine="843" w:firstLineChars="350"/>
              <w:textAlignment w:val="baseline"/>
              <w:rPr>
                <w:rFonts w:ascii="宋体"/>
                <w:b/>
                <w:color w:val="000000"/>
                <w:kern w:val="0"/>
                <w:sz w:val="24"/>
                <w:szCs w:val="24"/>
                <w:u w:val="single"/>
              </w:rPr>
            </w:pPr>
          </w:p>
          <w:p w14:paraId="5EE62F1B">
            <w:pPr>
              <w:widowControl/>
              <w:autoSpaceDE w:val="0"/>
              <w:autoSpaceDN w:val="0"/>
              <w:adjustRightInd w:val="0"/>
              <w:spacing w:line="480" w:lineRule="exact"/>
              <w:ind w:firstLine="361" w:firstLineChars="150"/>
              <w:textAlignment w:val="baseline"/>
              <w:rPr>
                <w:rFonts w:ascii="宋体" w:hAnsi="宋体"/>
                <w:color w:val="000000"/>
                <w:kern w:val="0"/>
                <w:sz w:val="24"/>
                <w:szCs w:val="24"/>
              </w:rPr>
            </w:pPr>
            <w:r>
              <w:rPr>
                <w:rFonts w:hint="eastAsia" w:ascii="宋体" w:hAnsi="宋体"/>
                <w:b/>
                <w:color w:val="000000"/>
                <w:kern w:val="0"/>
                <w:sz w:val="24"/>
                <w:szCs w:val="24"/>
                <w:u w:val="single"/>
              </w:rPr>
              <w:t>大写：</w:t>
            </w:r>
            <w:r>
              <w:rPr>
                <w:rFonts w:hint="eastAsia" w:ascii="宋体"/>
                <w:b/>
                <w:color w:val="000000"/>
                <w:kern w:val="0"/>
                <w:sz w:val="24"/>
                <w:szCs w:val="24"/>
                <w:u w:val="single"/>
              </w:rPr>
              <w:t xml:space="preserve"> </w:t>
            </w:r>
            <w:r>
              <w:rPr>
                <w:rFonts w:hint="eastAsia" w:ascii="宋体" w:hAnsi="宋体"/>
                <w:b/>
                <w:color w:val="000000"/>
                <w:kern w:val="0"/>
                <w:sz w:val="24"/>
                <w:szCs w:val="24"/>
                <w:u w:val="single"/>
              </w:rPr>
              <w:t xml:space="preserve">                                       </w:t>
            </w:r>
          </w:p>
        </w:tc>
      </w:tr>
      <w:tr w14:paraId="3B2BEDD5">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14:paraId="32FAE43C">
            <w:pPr>
              <w:widowControl/>
              <w:autoSpaceDE w:val="0"/>
              <w:autoSpaceDN w:val="0"/>
              <w:adjustRightInd w:val="0"/>
              <w:spacing w:line="480" w:lineRule="exact"/>
              <w:jc w:val="center"/>
              <w:textAlignment w:val="baseline"/>
              <w:rPr>
                <w:rFonts w:ascii="宋体" w:hAnsi="宋体"/>
                <w:b/>
                <w:color w:val="000000"/>
                <w:kern w:val="0"/>
                <w:sz w:val="24"/>
                <w:szCs w:val="24"/>
              </w:rPr>
            </w:pPr>
            <w:r>
              <w:rPr>
                <w:rFonts w:hint="eastAsia" w:ascii="宋体" w:hAnsi="宋体"/>
                <w:b/>
                <w:color w:val="000000"/>
                <w:kern w:val="0"/>
                <w:sz w:val="24"/>
                <w:szCs w:val="24"/>
              </w:rPr>
              <w:t>备注</w:t>
            </w:r>
          </w:p>
        </w:tc>
        <w:tc>
          <w:tcPr>
            <w:tcW w:w="7119" w:type="dxa"/>
            <w:tcBorders>
              <w:top w:val="single" w:color="auto" w:sz="6" w:space="0"/>
              <w:left w:val="nil"/>
              <w:bottom w:val="single" w:color="auto" w:sz="6" w:space="0"/>
              <w:right w:val="single" w:color="auto" w:sz="6" w:space="0"/>
            </w:tcBorders>
            <w:vAlign w:val="center"/>
          </w:tcPr>
          <w:p w14:paraId="73ACBFC0">
            <w:pPr>
              <w:widowControl/>
              <w:autoSpaceDE w:val="0"/>
              <w:autoSpaceDN w:val="0"/>
              <w:adjustRightInd w:val="0"/>
              <w:spacing w:line="480" w:lineRule="exact"/>
              <w:jc w:val="center"/>
              <w:textAlignment w:val="baseline"/>
              <w:rPr>
                <w:rFonts w:ascii="宋体" w:hAnsi="宋体"/>
                <w:color w:val="000000"/>
                <w:kern w:val="0"/>
                <w:sz w:val="24"/>
                <w:szCs w:val="24"/>
              </w:rPr>
            </w:pPr>
          </w:p>
        </w:tc>
      </w:tr>
    </w:tbl>
    <w:p w14:paraId="655D6F6C">
      <w:pPr>
        <w:spacing w:line="360" w:lineRule="auto"/>
        <w:rPr>
          <w:rFonts w:ascii="宋体" w:hAnsi="宋体"/>
          <w:kern w:val="0"/>
          <w:sz w:val="24"/>
          <w:szCs w:val="24"/>
        </w:rPr>
      </w:pPr>
      <w:r>
        <w:rPr>
          <w:rFonts w:hint="eastAsia" w:ascii="宋体" w:hAnsi="宋体"/>
          <w:kern w:val="0"/>
          <w:sz w:val="24"/>
          <w:szCs w:val="24"/>
        </w:rPr>
        <w:t>注：</w:t>
      </w:r>
    </w:p>
    <w:p w14:paraId="617C1C28">
      <w:pPr>
        <w:spacing w:line="360" w:lineRule="auto"/>
        <w:ind w:left="336"/>
        <w:rPr>
          <w:rFonts w:ascii="宋体" w:hAnsi="宋体"/>
          <w:kern w:val="0"/>
          <w:sz w:val="24"/>
          <w:szCs w:val="24"/>
        </w:rPr>
      </w:pPr>
      <w:r>
        <w:rPr>
          <w:rFonts w:hint="eastAsia" w:ascii="宋体" w:hAnsi="宋体"/>
          <w:kern w:val="0"/>
          <w:sz w:val="24"/>
          <w:szCs w:val="24"/>
        </w:rPr>
        <w:t>1、本表报价包含完成本项目应预见和不可预见的一切含税费用。</w:t>
      </w:r>
    </w:p>
    <w:p w14:paraId="625C4AFA">
      <w:pPr>
        <w:spacing w:line="360" w:lineRule="auto"/>
        <w:ind w:left="336"/>
        <w:rPr>
          <w:rFonts w:ascii="宋体" w:hAnsi="宋体"/>
          <w:kern w:val="0"/>
          <w:sz w:val="24"/>
          <w:szCs w:val="24"/>
        </w:rPr>
      </w:pPr>
      <w:r>
        <w:rPr>
          <w:rFonts w:hint="eastAsia" w:ascii="宋体" w:hAnsi="宋体"/>
          <w:kern w:val="0"/>
          <w:sz w:val="24"/>
          <w:szCs w:val="24"/>
        </w:rPr>
        <w:t>2、表中总报价小写金额与大写金额不一致的，以大写金额为准。</w:t>
      </w:r>
    </w:p>
    <w:p w14:paraId="01E33DEB">
      <w:pPr>
        <w:spacing w:line="360" w:lineRule="auto"/>
        <w:ind w:left="336"/>
        <w:rPr>
          <w:rFonts w:ascii="宋体" w:hAnsi="宋体"/>
          <w:kern w:val="0"/>
          <w:sz w:val="24"/>
          <w:szCs w:val="24"/>
        </w:rPr>
      </w:pPr>
      <w:r>
        <w:rPr>
          <w:rFonts w:hint="eastAsia" w:ascii="宋体" w:hAnsi="宋体"/>
          <w:kern w:val="0"/>
          <w:sz w:val="24"/>
          <w:szCs w:val="24"/>
        </w:rPr>
        <w:t>3、填写此表时不得改变表格的形式。</w:t>
      </w:r>
    </w:p>
    <w:p w14:paraId="30008B7F">
      <w:pPr>
        <w:spacing w:line="360" w:lineRule="auto"/>
        <w:ind w:left="336"/>
        <w:rPr>
          <w:rFonts w:ascii="宋体" w:hAnsi="宋体"/>
          <w:kern w:val="0"/>
          <w:sz w:val="24"/>
          <w:szCs w:val="24"/>
        </w:rPr>
      </w:pPr>
      <w:r>
        <w:rPr>
          <w:rFonts w:hint="eastAsia" w:ascii="宋体" w:hAnsi="宋体"/>
          <w:kern w:val="0"/>
          <w:sz w:val="24"/>
          <w:szCs w:val="24"/>
        </w:rPr>
        <w:t>4、以上表中内容必须计算机录入、填写、打印。手写按无效报价处理。</w:t>
      </w:r>
    </w:p>
    <w:p w14:paraId="33B81EF1">
      <w:pPr>
        <w:widowControl/>
        <w:adjustRightInd w:val="0"/>
        <w:snapToGrid w:val="0"/>
        <w:spacing w:line="425" w:lineRule="atLeast"/>
        <w:textAlignment w:val="baseline"/>
        <w:rPr>
          <w:rFonts w:ascii="宋体" w:hAnsi="宋体"/>
          <w:b/>
          <w:color w:val="000000"/>
          <w:kern w:val="0"/>
          <w:sz w:val="24"/>
          <w:szCs w:val="24"/>
        </w:rPr>
      </w:pPr>
      <w:r>
        <w:rPr>
          <w:rFonts w:hint="eastAsia" w:ascii="宋体" w:hAnsi="宋体"/>
          <w:b/>
          <w:color w:val="000000"/>
          <w:kern w:val="0"/>
          <w:sz w:val="24"/>
          <w:szCs w:val="24"/>
        </w:rPr>
        <w:t xml:space="preserve"> </w:t>
      </w:r>
    </w:p>
    <w:p w14:paraId="0ABC0A60">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4DBF59A1">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19FE37B4">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法人或代理人姓名（签名）：</w:t>
      </w:r>
    </w:p>
    <w:p w14:paraId="43923E2B">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联 系 电 话：</w:t>
      </w:r>
    </w:p>
    <w:p w14:paraId="3C2B6593">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6280D8DC">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w:t>
      </w:r>
    </w:p>
    <w:p w14:paraId="4ED536A0">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，必须有法人或代理人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7DDD5042">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6AC58E15">
      <w:pPr>
        <w:widowControl/>
        <w:jc w:val="left"/>
        <w:rPr>
          <w:rFonts w:ascii="宋体" w:hAnsi="宋体" w:cs="Tahoma"/>
          <w:color w:val="000000"/>
          <w:kern w:val="0"/>
          <w:sz w:val="24"/>
          <w:szCs w:val="24"/>
        </w:rPr>
        <w:sectPr>
          <w:footerReference r:id="rId5" w:type="default"/>
          <w:pgSz w:w="11905" w:h="16837"/>
          <w:pgMar w:top="1418" w:right="1474" w:bottom="1418" w:left="1588" w:header="851" w:footer="992" w:gutter="0"/>
          <w:pgNumType w:fmt="decimal"/>
          <w:cols w:space="720" w:num="1"/>
          <w:docGrid w:type="lines" w:linePitch="286" w:charSpace="0"/>
        </w:sectPr>
      </w:pPr>
    </w:p>
    <w:p w14:paraId="7DDBE02C">
      <w:pPr>
        <w:widowControl/>
        <w:spacing w:line="425" w:lineRule="atLeast"/>
        <w:textAlignment w:val="baseline"/>
        <w:rPr>
          <w:rFonts w:ascii="仿宋" w:hAnsi="仿宋" w:eastAsia="仿宋"/>
          <w:b/>
          <w:color w:val="000000"/>
          <w:kern w:val="0"/>
          <w:sz w:val="28"/>
          <w:szCs w:val="28"/>
        </w:rPr>
      </w:pPr>
      <w:r>
        <w:rPr>
          <w:rFonts w:hint="eastAsia" w:ascii="仿宋" w:hAnsi="仿宋" w:eastAsia="仿宋" w:cs="宋体"/>
          <w:b/>
          <w:color w:val="000000"/>
          <w:kern w:val="0"/>
          <w:sz w:val="24"/>
          <w:szCs w:val="24"/>
        </w:rPr>
        <w:t>附件3</w:t>
      </w:r>
    </w:p>
    <w:p w14:paraId="5100B95A">
      <w:pPr>
        <w:keepNext/>
        <w:keepLines/>
        <w:widowControl/>
        <w:spacing w:line="400" w:lineRule="exact"/>
        <w:jc w:val="left"/>
        <w:textAlignment w:val="baseline"/>
        <w:outlineLvl w:val="1"/>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 xml:space="preserve"> </w:t>
      </w:r>
    </w:p>
    <w:p w14:paraId="7B29CABF">
      <w:pPr>
        <w:keepNext/>
        <w:keepLines/>
        <w:widowControl/>
        <w:spacing w:line="400" w:lineRule="exact"/>
        <w:jc w:val="center"/>
        <w:textAlignment w:val="baseline"/>
        <w:outlineLvl w:val="1"/>
        <w:rPr>
          <w:rFonts w:ascii="仿宋" w:hAnsi="仿宋" w:eastAsia="仿宋"/>
          <w:b/>
          <w:color w:val="000000"/>
          <w:kern w:val="0"/>
          <w:sz w:val="32"/>
          <w:szCs w:val="32"/>
        </w:rPr>
      </w:pPr>
      <w:r>
        <w:rPr>
          <w:rFonts w:hint="eastAsia" w:ascii="仿宋" w:hAnsi="仿宋" w:eastAsia="仿宋" w:cs="宋体"/>
          <w:b/>
          <w:color w:val="000000"/>
          <w:kern w:val="0"/>
          <w:sz w:val="32"/>
          <w:szCs w:val="32"/>
        </w:rPr>
        <w:t>承诺书</w:t>
      </w:r>
    </w:p>
    <w:p w14:paraId="08C2FEFF">
      <w:pPr>
        <w:widowControl/>
        <w:spacing w:line="425" w:lineRule="atLeast"/>
        <w:jc w:val="center"/>
        <w:textAlignment w:val="baseline"/>
        <w:rPr>
          <w:rFonts w:ascii="仿宋" w:hAnsi="仿宋" w:eastAsia="仿宋"/>
          <w:color w:val="000000"/>
          <w:kern w:val="0"/>
          <w:sz w:val="23"/>
          <w:szCs w:val="23"/>
        </w:rPr>
      </w:pPr>
      <w:r>
        <w:rPr>
          <w:rFonts w:hint="eastAsia" w:ascii="仿宋" w:hAnsi="仿宋" w:eastAsia="仿宋"/>
          <w:color w:val="000000"/>
          <w:kern w:val="0"/>
          <w:sz w:val="23"/>
          <w:szCs w:val="23"/>
        </w:rPr>
        <w:t xml:space="preserve"> </w:t>
      </w:r>
    </w:p>
    <w:p w14:paraId="5E4706CC">
      <w:pPr>
        <w:spacing w:line="480" w:lineRule="auto"/>
        <w:jc w:val="left"/>
        <w:rPr>
          <w:rFonts w:ascii="仿宋" w:hAnsi="仿宋" w:eastAsia="仿宋"/>
          <w:color w:val="000000"/>
          <w:kern w:val="0"/>
          <w:sz w:val="24"/>
          <w:szCs w:val="24"/>
        </w:rPr>
      </w:pPr>
      <w:r>
        <w:rPr>
          <w:rFonts w:hint="eastAsia" w:ascii="仿宋" w:hAnsi="仿宋" w:eastAsia="仿宋"/>
          <w:color w:val="000000"/>
          <w:kern w:val="0"/>
          <w:sz w:val="24"/>
          <w:szCs w:val="24"/>
        </w:rPr>
        <w:t xml:space="preserve"> </w:t>
      </w:r>
    </w:p>
    <w:p w14:paraId="453DAC89">
      <w:pPr>
        <w:spacing w:line="480" w:lineRule="auto"/>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54867AE1">
      <w:pPr>
        <w:widowControl/>
        <w:spacing w:line="425" w:lineRule="atLeast"/>
        <w:ind w:firstLine="480" w:firstLineChars="200"/>
        <w:jc w:val="lef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33C6C068">
      <w:pPr>
        <w:widowControl/>
        <w:autoSpaceDE w:val="0"/>
        <w:autoSpaceDN w:val="0"/>
        <w:adjustRightInd w:val="0"/>
        <w:spacing w:line="425" w:lineRule="atLeas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11E500AB">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7A5A3964">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4B92A957">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法人或代理人姓名（签名）：</w:t>
      </w:r>
    </w:p>
    <w:p w14:paraId="2FC2F953">
      <w:pPr>
        <w:widowControl/>
        <w:spacing w:line="425" w:lineRule="atLeast"/>
        <w:ind w:firstLine="4800" w:firstLineChars="2000"/>
        <w:textAlignment w:val="baseline"/>
        <w:rPr>
          <w:color w:val="000000"/>
          <w:kern w:val="0"/>
        </w:rPr>
      </w:pPr>
      <w:r>
        <w:rPr>
          <w:rFonts w:hint="eastAsia" w:ascii="仿宋" w:hAnsi="仿宋" w:eastAsia="仿宋" w:cs="宋体"/>
          <w:color w:val="000000"/>
          <w:kern w:val="0"/>
          <w:sz w:val="24"/>
          <w:szCs w:val="24"/>
        </w:rPr>
        <w:t>联 系 电 话：</w:t>
      </w:r>
    </w:p>
    <w:p w14:paraId="31B9FDAF">
      <w:pPr>
        <w:widowControl/>
        <w:spacing w:line="480" w:lineRule="exact"/>
        <w:ind w:left="4599" w:leftChars="2190" w:firstLine="240" w:firstLineChars="1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06D15346">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w:t>
      </w:r>
    </w:p>
    <w:p w14:paraId="663B0209">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，必须有法人或代理人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652A8477">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425F9B1C">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4C399286">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6D745FD9">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7CD56295">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01A78622">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79798537">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322E51A1">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2D467B79">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2D218EC5">
      <w:pPr>
        <w:widowControl/>
        <w:spacing w:line="425" w:lineRule="atLeast"/>
        <w:textAlignment w:val="baseline"/>
        <w:rPr>
          <w:rFonts w:ascii="仿宋" w:hAnsi="仿宋" w:eastAsia="仿宋"/>
          <w:color w:val="000000"/>
          <w:kern w:val="0"/>
        </w:rPr>
      </w:pPr>
      <w:r>
        <w:rPr>
          <w:rFonts w:hint="eastAsia" w:ascii="仿宋" w:hAnsi="仿宋" w:eastAsia="仿宋"/>
          <w:color w:val="000000"/>
          <w:kern w:val="0"/>
        </w:rPr>
        <w:t xml:space="preserve"> </w:t>
      </w:r>
    </w:p>
    <w:p w14:paraId="6CE6DFB1">
      <w:pPr>
        <w:widowControl/>
        <w:spacing w:line="425" w:lineRule="atLeast"/>
        <w:textAlignment w:val="baseline"/>
        <w:rPr>
          <w:rFonts w:ascii="仿宋" w:hAnsi="仿宋" w:eastAsia="仿宋" w:cs="Tahoma"/>
          <w:b/>
          <w:color w:val="000000"/>
          <w:kern w:val="0"/>
          <w:sz w:val="24"/>
          <w:szCs w:val="24"/>
        </w:rPr>
      </w:pPr>
      <w:r>
        <w:rPr>
          <w:rFonts w:hint="eastAsia" w:ascii="仿宋" w:hAnsi="仿宋" w:eastAsia="仿宋" w:cs="Tahoma"/>
          <w:b/>
          <w:color w:val="000000"/>
          <w:kern w:val="0"/>
          <w:sz w:val="24"/>
          <w:szCs w:val="24"/>
        </w:rPr>
        <w:t xml:space="preserve"> </w:t>
      </w:r>
    </w:p>
    <w:p w14:paraId="303B054A">
      <w:pPr>
        <w:widowControl/>
        <w:spacing w:line="425" w:lineRule="atLeast"/>
        <w:textAlignment w:val="baseline"/>
        <w:rPr>
          <w:rFonts w:ascii="仿宋" w:hAnsi="仿宋" w:eastAsia="仿宋"/>
          <w:color w:val="000000"/>
          <w:kern w:val="0"/>
        </w:rPr>
      </w:pPr>
      <w:r>
        <w:rPr>
          <w:rFonts w:hint="eastAsia" w:ascii="仿宋" w:hAnsi="仿宋" w:eastAsia="仿宋" w:cs="Tahoma"/>
          <w:b/>
          <w:color w:val="000000"/>
          <w:kern w:val="0"/>
          <w:sz w:val="24"/>
          <w:szCs w:val="24"/>
        </w:rPr>
        <w:t xml:space="preserve"> 附件4</w:t>
      </w:r>
    </w:p>
    <w:p w14:paraId="4C910924">
      <w:pPr>
        <w:widowControl/>
        <w:spacing w:line="425" w:lineRule="atLeast"/>
        <w:jc w:val="center"/>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法定代表人证明书</w:t>
      </w:r>
    </w:p>
    <w:p w14:paraId="57685DB9">
      <w:pPr>
        <w:widowControl/>
        <w:spacing w:line="500" w:lineRule="exact"/>
        <w:ind w:firstLine="480" w:firstLineChars="2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u w:val="single"/>
        </w:rPr>
        <w:t>（法定代表人姓名）</w:t>
      </w:r>
      <w:r>
        <w:rPr>
          <w:rFonts w:hint="eastAsia" w:ascii="仿宋" w:hAnsi="仿宋" w:eastAsia="仿宋" w:cs="宋体"/>
          <w:color w:val="000000"/>
          <w:kern w:val="0"/>
          <w:sz w:val="24"/>
          <w:szCs w:val="24"/>
        </w:rPr>
        <w:t>同志，</w:t>
      </w:r>
      <w:r>
        <w:rPr>
          <w:rFonts w:hint="eastAsia" w:ascii="仿宋" w:hAnsi="仿宋" w:eastAsia="仿宋" w:cs="宋体"/>
          <w:color w:val="000000"/>
          <w:kern w:val="0"/>
          <w:sz w:val="24"/>
          <w:szCs w:val="24"/>
          <w:u w:val="single"/>
        </w:rPr>
        <w:t>( 身份证号码： )</w:t>
      </w:r>
      <w:r>
        <w:rPr>
          <w:rFonts w:hint="eastAsia" w:ascii="仿宋" w:hAnsi="仿宋" w:eastAsia="仿宋" w:cs="宋体"/>
          <w:color w:val="000000"/>
          <w:kern w:val="0"/>
          <w:sz w:val="24"/>
          <w:szCs w:val="24"/>
        </w:rPr>
        <w:t>现任我单位</w:t>
      </w:r>
      <w:r>
        <w:rPr>
          <w:rFonts w:hint="eastAsia" w:ascii="仿宋" w:hAnsi="仿宋" w:eastAsia="仿宋" w:cs="宋体"/>
          <w:color w:val="000000"/>
          <w:kern w:val="0"/>
          <w:sz w:val="24"/>
          <w:szCs w:val="24"/>
          <w:u w:val="single"/>
        </w:rPr>
        <w:t xml:space="preserve"> （报价供应商名称、职务） </w:t>
      </w:r>
      <w:r>
        <w:rPr>
          <w:rFonts w:hint="eastAsia" w:ascii="仿宋" w:hAnsi="仿宋" w:eastAsia="仿宋" w:cs="宋体"/>
          <w:color w:val="000000"/>
          <w:kern w:val="0"/>
          <w:sz w:val="24"/>
          <w:szCs w:val="24"/>
        </w:rPr>
        <w:t>，为法定代表人，特此证明。</w:t>
      </w:r>
    </w:p>
    <w:p w14:paraId="619C28CC">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营业执照号码：</w:t>
      </w:r>
    </w:p>
    <w:p w14:paraId="65A96B9C">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组织机构代码：</w:t>
      </w:r>
    </w:p>
    <w:p w14:paraId="77BBC211">
      <w:pPr>
        <w:widowControl/>
        <w:spacing w:line="500" w:lineRule="exact"/>
        <w:ind w:firstLine="480" w:firstLineChars="200"/>
        <w:textAlignment w:val="baseline"/>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经 济 性  质：</w:t>
      </w:r>
    </w:p>
    <w:p w14:paraId="6143CBF5">
      <w:pPr>
        <w:widowControl/>
        <w:spacing w:line="500" w:lineRule="exact"/>
        <w:ind w:firstLine="48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4"/>
          <w:szCs w:val="24"/>
        </w:rPr>
        <w:t>成立日期：</w:t>
      </w:r>
    </w:p>
    <w:tbl>
      <w:tblPr>
        <w:tblStyle w:val="9"/>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61F888A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Borders>
              <w:top w:val="dotDash" w:color="000000" w:sz="4" w:space="0"/>
              <w:left w:val="dotDash" w:color="000000" w:sz="4" w:space="0"/>
              <w:bottom w:val="dotDash" w:color="000000" w:sz="4" w:space="0"/>
              <w:right w:val="dotDash" w:color="000000" w:sz="4" w:space="0"/>
            </w:tcBorders>
          </w:tcPr>
          <w:p w14:paraId="7ACC3E22">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附法定代表人身份证复印件</w:t>
            </w:r>
          </w:p>
          <w:p w14:paraId="5D6377B8">
            <w:pPr>
              <w:widowControl/>
              <w:spacing w:line="500" w:lineRule="exact"/>
              <w:textAlignment w:val="baseline"/>
              <w:rPr>
                <w:rFonts w:ascii="仿宋" w:hAnsi="仿宋" w:eastAsia="仿宋" w:cs="宋体"/>
                <w:color w:val="000000"/>
                <w:kern w:val="0"/>
                <w:sz w:val="24"/>
                <w:szCs w:val="24"/>
              </w:rPr>
            </w:pPr>
          </w:p>
        </w:tc>
      </w:tr>
      <w:tr w14:paraId="7D0213D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Borders>
              <w:top w:val="dotDash" w:color="000000" w:sz="4" w:space="0"/>
              <w:left w:val="dotDash" w:color="000000" w:sz="4" w:space="0"/>
              <w:bottom w:val="dotDash" w:color="000000" w:sz="4" w:space="0"/>
              <w:right w:val="dotDash" w:color="000000" w:sz="4" w:space="0"/>
            </w:tcBorders>
          </w:tcPr>
          <w:p w14:paraId="65090085">
            <w:pPr>
              <w:widowControl/>
              <w:spacing w:line="500" w:lineRule="exact"/>
              <w:textAlignment w:val="baseline"/>
              <w:rPr>
                <w:rFonts w:ascii="仿宋" w:hAnsi="仿宋" w:eastAsia="仿宋" w:cs="宋体"/>
                <w:color w:val="000000"/>
                <w:kern w:val="0"/>
                <w:sz w:val="24"/>
                <w:szCs w:val="24"/>
              </w:rPr>
            </w:pPr>
          </w:p>
        </w:tc>
      </w:tr>
    </w:tbl>
    <w:p w14:paraId="357389C9">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70009946">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报价供应商地址：</w:t>
      </w:r>
    </w:p>
    <w:p w14:paraId="06DFFEF0">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法定代表人姓名（签名）：</w:t>
      </w:r>
    </w:p>
    <w:p w14:paraId="529B2F54">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联 系 电 话：</w:t>
      </w:r>
    </w:p>
    <w:p w14:paraId="2231826F">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日    期：</w:t>
      </w:r>
    </w:p>
    <w:p w14:paraId="1B5FF7B1">
      <w:pPr>
        <w:widowControl/>
        <w:spacing w:line="500" w:lineRule="exact"/>
        <w:ind w:left="4599" w:leftChars="219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14:paraId="65E39B29">
      <w:pPr>
        <w:widowControl/>
        <w:spacing w:line="425" w:lineRule="atLeast"/>
        <w:textAlignment w:val="baseline"/>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（注：本证明书为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，必须有法定代表人</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，否则，作无效处理）</w:t>
      </w:r>
    </w:p>
    <w:p w14:paraId="45584D4E">
      <w:pPr>
        <w:widowControl/>
        <w:spacing w:line="425" w:lineRule="atLeast"/>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br w:type="page"/>
      </w:r>
      <w:r>
        <w:rPr>
          <w:rFonts w:hint="eastAsia" w:ascii="仿宋" w:hAnsi="仿宋" w:eastAsia="仿宋" w:cs="Tahoma"/>
          <w:b/>
          <w:color w:val="000000"/>
          <w:kern w:val="0"/>
          <w:sz w:val="24"/>
          <w:szCs w:val="24"/>
        </w:rPr>
        <w:t>附件5</w:t>
      </w:r>
    </w:p>
    <w:p w14:paraId="4EFFED34">
      <w:pPr>
        <w:widowControl/>
        <w:spacing w:line="425" w:lineRule="atLeast"/>
        <w:jc w:val="center"/>
        <w:textAlignment w:val="baseline"/>
        <w:rPr>
          <w:rFonts w:ascii="仿宋" w:hAnsi="仿宋" w:eastAsia="仿宋" w:cs="宋体"/>
          <w:color w:val="000000"/>
          <w:kern w:val="0"/>
          <w:sz w:val="28"/>
          <w:szCs w:val="28"/>
        </w:rPr>
      </w:pPr>
      <w:r>
        <w:rPr>
          <w:rFonts w:hint="eastAsia" w:ascii="仿宋" w:hAnsi="仿宋" w:eastAsia="仿宋" w:cs="宋体"/>
          <w:b/>
          <w:color w:val="000000"/>
          <w:kern w:val="0"/>
          <w:sz w:val="28"/>
          <w:szCs w:val="28"/>
        </w:rPr>
        <w:t>授权委托书</w:t>
      </w:r>
    </w:p>
    <w:p w14:paraId="3E934D9B">
      <w:pPr>
        <w:spacing w:line="50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致:广东财经大学</w:t>
      </w:r>
    </w:p>
    <w:p w14:paraId="3D1330BB">
      <w:pPr>
        <w:widowControl/>
        <w:spacing w:line="500" w:lineRule="exact"/>
        <w:ind w:firstLine="614" w:firstLineChars="256"/>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本授权书声明：</w:t>
      </w:r>
      <w:r>
        <w:rPr>
          <w:rFonts w:hint="eastAsia" w:ascii="仿宋" w:hAnsi="仿宋" w:eastAsia="仿宋" w:cs="宋体"/>
          <w:color w:val="000000"/>
          <w:kern w:val="0"/>
          <w:sz w:val="24"/>
          <w:szCs w:val="24"/>
          <w:u w:val="single"/>
        </w:rPr>
        <w:t xml:space="preserve"> （法定代表人姓名） </w:t>
      </w:r>
      <w:r>
        <w:rPr>
          <w:rFonts w:hint="eastAsia" w:ascii="仿宋" w:hAnsi="仿宋" w:eastAsia="仿宋" w:cs="宋体"/>
          <w:color w:val="000000"/>
          <w:kern w:val="0"/>
          <w:sz w:val="24"/>
          <w:szCs w:val="24"/>
        </w:rPr>
        <w:t>是注册于</w:t>
      </w:r>
      <w:r>
        <w:rPr>
          <w:rFonts w:hint="eastAsia" w:ascii="仿宋" w:hAnsi="仿宋" w:eastAsia="仿宋" w:cs="宋体"/>
          <w:color w:val="000000"/>
          <w:kern w:val="0"/>
          <w:sz w:val="24"/>
          <w:szCs w:val="24"/>
          <w:u w:val="single"/>
        </w:rPr>
        <w:t>（国家或地区）</w:t>
      </w:r>
      <w:r>
        <w:rPr>
          <w:rFonts w:hint="eastAsia" w:ascii="仿宋" w:hAnsi="仿宋" w:eastAsia="仿宋" w:cs="宋体"/>
          <w:color w:val="000000"/>
          <w:kern w:val="0"/>
          <w:sz w:val="24"/>
          <w:szCs w:val="24"/>
        </w:rPr>
        <w:t>的 （报价供应商公司名称）的法定代表人，现任</w:t>
      </w:r>
      <w:r>
        <w:rPr>
          <w:rFonts w:hint="eastAsia" w:ascii="仿宋" w:hAnsi="仿宋" w:eastAsia="仿宋" w:cs="宋体"/>
          <w:color w:val="000000"/>
          <w:kern w:val="0"/>
          <w:sz w:val="24"/>
          <w:szCs w:val="24"/>
          <w:u w:val="single"/>
        </w:rPr>
        <w:t xml:space="preserve">      </w:t>
      </w:r>
      <w:r>
        <w:rPr>
          <w:rFonts w:hint="eastAsia" w:ascii="仿宋" w:hAnsi="仿宋" w:eastAsia="仿宋" w:cs="宋体"/>
          <w:color w:val="000000"/>
          <w:kern w:val="0"/>
          <w:sz w:val="24"/>
          <w:szCs w:val="24"/>
        </w:rPr>
        <w:t>职务。在</w:t>
      </w:r>
      <w:r>
        <w:rPr>
          <w:rFonts w:hint="eastAsia" w:ascii="仿宋" w:hAnsi="仿宋" w:eastAsia="仿宋" w:cs="宋体"/>
          <w:color w:val="000000"/>
          <w:kern w:val="0"/>
          <w:sz w:val="24"/>
          <w:szCs w:val="24"/>
          <w:u w:val="single"/>
        </w:rPr>
        <w:t xml:space="preserve">         </w:t>
      </w:r>
      <w:r>
        <w:rPr>
          <w:rFonts w:hint="eastAsia" w:ascii="仿宋" w:hAnsi="仿宋" w:eastAsia="仿宋" w:cs="宋体"/>
          <w:color w:val="000000"/>
          <w:kern w:val="0"/>
          <w:sz w:val="24"/>
          <w:szCs w:val="24"/>
        </w:rPr>
        <w:t xml:space="preserve">中，现授权 </w:t>
      </w:r>
      <w:r>
        <w:rPr>
          <w:rFonts w:hint="eastAsia" w:ascii="仿宋" w:hAnsi="仿宋" w:eastAsia="仿宋" w:cs="宋体"/>
          <w:color w:val="000000"/>
          <w:kern w:val="0"/>
          <w:sz w:val="24"/>
          <w:szCs w:val="24"/>
          <w:u w:val="single"/>
        </w:rPr>
        <w:t xml:space="preserve">          （姓名、职务）</w:t>
      </w:r>
      <w:r>
        <w:rPr>
          <w:rFonts w:hint="eastAsia" w:ascii="仿宋" w:hAnsi="仿宋" w:eastAsia="仿宋" w:cs="宋体"/>
          <w:color w:val="000000"/>
          <w:kern w:val="0"/>
          <w:sz w:val="24"/>
          <w:szCs w:val="24"/>
        </w:rPr>
        <w:t>作为我公司的全权代理人，以我方的名义处理一切与之有关的事宜。</w:t>
      </w:r>
    </w:p>
    <w:p w14:paraId="67F14D94">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本授权书于    年   月    日签字生效，有效期至    年    月    日。</w:t>
      </w:r>
    </w:p>
    <w:tbl>
      <w:tblPr>
        <w:tblStyle w:val="9"/>
        <w:tblW w:w="5610" w:type="dxa"/>
        <w:tblInd w:w="135"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65F3A5D8">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1972" w:hRule="atLeast"/>
        </w:trPr>
        <w:tc>
          <w:tcPr>
            <w:tcW w:w="5610" w:type="dxa"/>
            <w:tcBorders>
              <w:top w:val="dotDash" w:color="000000" w:sz="4" w:space="0"/>
              <w:left w:val="dotDash" w:color="000000" w:sz="4" w:space="0"/>
              <w:bottom w:val="dotDash" w:color="000000" w:sz="4" w:space="0"/>
              <w:right w:val="dotDash" w:color="000000" w:sz="4" w:space="0"/>
            </w:tcBorders>
          </w:tcPr>
          <w:p w14:paraId="187BB41E">
            <w:pPr>
              <w:widowControl/>
              <w:spacing w:line="500" w:lineRule="exact"/>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附被授权人身份证复印件</w:t>
            </w:r>
          </w:p>
          <w:p w14:paraId="4794834F">
            <w:pPr>
              <w:widowControl/>
              <w:spacing w:line="500" w:lineRule="exact"/>
              <w:textAlignment w:val="baseline"/>
              <w:rPr>
                <w:rFonts w:ascii="仿宋" w:hAnsi="仿宋" w:eastAsia="仿宋" w:cs="宋体"/>
                <w:color w:val="000000"/>
                <w:kern w:val="0"/>
                <w:sz w:val="24"/>
                <w:szCs w:val="24"/>
              </w:rPr>
            </w:pPr>
          </w:p>
        </w:tc>
      </w:tr>
      <w:tr w14:paraId="7627A84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2072" w:hRule="atLeast"/>
        </w:trPr>
        <w:tc>
          <w:tcPr>
            <w:tcW w:w="5610" w:type="dxa"/>
            <w:tcBorders>
              <w:top w:val="dotDash" w:color="000000" w:sz="4" w:space="0"/>
              <w:left w:val="dotDash" w:color="000000" w:sz="4" w:space="0"/>
              <w:bottom w:val="dotDash" w:color="000000" w:sz="4" w:space="0"/>
              <w:right w:val="dotDash" w:color="000000" w:sz="4" w:space="0"/>
            </w:tcBorders>
          </w:tcPr>
          <w:p w14:paraId="09FCB16D">
            <w:pPr>
              <w:widowControl/>
              <w:spacing w:line="500" w:lineRule="exact"/>
              <w:textAlignment w:val="baseline"/>
              <w:rPr>
                <w:rFonts w:ascii="仿宋" w:hAnsi="仿宋" w:eastAsia="仿宋" w:cs="宋体"/>
                <w:color w:val="000000"/>
                <w:kern w:val="0"/>
                <w:sz w:val="24"/>
                <w:szCs w:val="24"/>
              </w:rPr>
            </w:pPr>
          </w:p>
        </w:tc>
      </w:tr>
    </w:tbl>
    <w:p w14:paraId="5F07A316">
      <w:pPr>
        <w:widowControl/>
        <w:tabs>
          <w:tab w:val="center" w:pos="4153"/>
        </w:tabs>
        <w:spacing w:line="500" w:lineRule="exact"/>
        <w:textAlignment w:val="baseline"/>
        <w:rPr>
          <w:rFonts w:ascii="仿宋" w:hAnsi="仿宋" w:eastAsia="仿宋" w:cs="宋体"/>
          <w:color w:val="000000"/>
          <w:kern w:val="0"/>
          <w:sz w:val="18"/>
          <w:szCs w:val="18"/>
        </w:rPr>
      </w:pPr>
    </w:p>
    <w:p w14:paraId="6D099823">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报价供应商（公章）：</w:t>
      </w:r>
    </w:p>
    <w:p w14:paraId="00D74D1D">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地        址：</w:t>
      </w:r>
    </w:p>
    <w:p w14:paraId="24C679B5">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法定代表人（签名）：</w:t>
      </w:r>
    </w:p>
    <w:p w14:paraId="249A1A65">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职        务：</w:t>
      </w:r>
    </w:p>
    <w:p w14:paraId="356B1826">
      <w:pPr>
        <w:widowControl/>
        <w:spacing w:line="500" w:lineRule="exact"/>
        <w:ind w:firstLine="4200" w:firstLineChars="175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代理人（签名）：</w:t>
      </w:r>
    </w:p>
    <w:p w14:paraId="35E7D297">
      <w:pPr>
        <w:widowControl/>
        <w:spacing w:line="425" w:lineRule="atLeast"/>
        <w:ind w:firstLine="4320" w:firstLineChars="1800"/>
        <w:textAlignment w:val="baseline"/>
        <w:rPr>
          <w:color w:val="000000"/>
          <w:kern w:val="0"/>
        </w:rPr>
      </w:pPr>
      <w:r>
        <w:rPr>
          <w:rFonts w:hint="eastAsia" w:ascii="仿宋" w:hAnsi="仿宋" w:eastAsia="仿宋" w:cs="宋体"/>
          <w:color w:val="000000"/>
          <w:kern w:val="0"/>
          <w:sz w:val="24"/>
          <w:szCs w:val="24"/>
        </w:rPr>
        <w:t>联 系 电 话：</w:t>
      </w:r>
    </w:p>
    <w:p w14:paraId="73AF481B">
      <w:pPr>
        <w:widowControl/>
        <w:spacing w:line="500" w:lineRule="exact"/>
        <w:ind w:firstLine="4320" w:firstLineChars="1800"/>
        <w:textAlignment w:val="baseline"/>
        <w:rPr>
          <w:rFonts w:ascii="仿宋" w:hAnsi="仿宋" w:eastAsia="仿宋" w:cs="宋体"/>
          <w:color w:val="000000"/>
          <w:kern w:val="0"/>
          <w:sz w:val="24"/>
          <w:szCs w:val="24"/>
        </w:rPr>
      </w:pPr>
      <w:r>
        <w:rPr>
          <w:rFonts w:hint="eastAsia" w:ascii="仿宋" w:hAnsi="仿宋" w:eastAsia="仿宋" w:cs="宋体"/>
          <w:color w:val="000000"/>
          <w:kern w:val="0"/>
          <w:sz w:val="24"/>
          <w:szCs w:val="24"/>
        </w:rPr>
        <w:t>职       务：</w:t>
      </w:r>
    </w:p>
    <w:p w14:paraId="1E86B480">
      <w:pPr>
        <w:widowControl/>
        <w:spacing w:line="425" w:lineRule="atLeast"/>
        <w:textAlignment w:val="baseline"/>
        <w:rPr>
          <w:rFonts w:hint="eastAsia" w:ascii="仿宋" w:hAnsi="仿宋" w:eastAsia="仿宋" w:cs="宋体"/>
          <w:b/>
          <w:color w:val="000000"/>
          <w:kern w:val="0"/>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宋体"/>
          <w:b/>
          <w:color w:val="000000"/>
          <w:kern w:val="0"/>
          <w:sz w:val="24"/>
          <w:szCs w:val="24"/>
        </w:rPr>
        <w:t>（注：法定代表人为报价供应商代表并亲自签署投标文件的可不提交，否则，本委托书为</w:t>
      </w:r>
      <w:r>
        <w:rPr>
          <w:rFonts w:hint="eastAsia" w:ascii="仿宋" w:hAnsi="仿宋" w:eastAsia="仿宋" w:cs="宋体"/>
          <w:b/>
          <w:color w:val="000000"/>
          <w:kern w:val="0"/>
          <w:sz w:val="24"/>
          <w:szCs w:val="24"/>
          <w:u w:val="single"/>
        </w:rPr>
        <w:t>必要文件（不得改变格式）</w:t>
      </w:r>
      <w:r>
        <w:rPr>
          <w:rFonts w:hint="eastAsia" w:ascii="仿宋" w:hAnsi="仿宋" w:eastAsia="仿宋" w:cs="宋体"/>
          <w:b/>
          <w:color w:val="000000"/>
          <w:kern w:val="0"/>
          <w:sz w:val="24"/>
          <w:szCs w:val="24"/>
        </w:rPr>
        <w:t>，必须</w:t>
      </w:r>
      <w:r>
        <w:rPr>
          <w:rFonts w:hint="eastAsia" w:ascii="仿宋" w:hAnsi="仿宋" w:eastAsia="仿宋" w:cs="宋体"/>
          <w:b/>
          <w:color w:val="000000"/>
          <w:kern w:val="0"/>
          <w:sz w:val="24"/>
          <w:szCs w:val="24"/>
          <w:u w:val="single"/>
        </w:rPr>
        <w:t>加盖报价供应商公章</w:t>
      </w:r>
      <w:r>
        <w:rPr>
          <w:rFonts w:hint="eastAsia" w:ascii="仿宋" w:hAnsi="仿宋" w:eastAsia="仿宋" w:cs="宋体"/>
          <w:b/>
          <w:color w:val="000000"/>
          <w:kern w:val="0"/>
          <w:sz w:val="24"/>
          <w:szCs w:val="24"/>
        </w:rPr>
        <w:t>，必须有法定代表人和代理人的</w:t>
      </w:r>
      <w:r>
        <w:rPr>
          <w:rFonts w:hint="eastAsia" w:ascii="仿宋" w:hAnsi="仿宋" w:eastAsia="仿宋" w:cs="宋体"/>
          <w:b/>
          <w:color w:val="000000"/>
          <w:kern w:val="0"/>
          <w:sz w:val="24"/>
          <w:szCs w:val="24"/>
          <w:u w:val="single"/>
        </w:rPr>
        <w:t>亲笔签名</w:t>
      </w:r>
      <w:r>
        <w:rPr>
          <w:rFonts w:hint="eastAsia" w:ascii="仿宋" w:hAnsi="仿宋" w:eastAsia="仿宋" w:cs="宋体"/>
          <w:b/>
          <w:color w:val="000000"/>
          <w:kern w:val="0"/>
          <w:sz w:val="24"/>
          <w:szCs w:val="24"/>
        </w:rPr>
        <w:t>，且有效期不得短于投标截止日或开标日，否则，作无效投标</w:t>
      </w:r>
      <w:r>
        <w:rPr>
          <w:rFonts w:hint="eastAsia" w:ascii="仿宋" w:hAnsi="仿宋" w:eastAsia="仿宋" w:cs="宋体"/>
          <w:b/>
          <w:color w:val="000000"/>
          <w:kern w:val="0"/>
          <w:sz w:val="24"/>
          <w:szCs w:val="24"/>
          <w:lang w:val="en-US" w:eastAsia="zh-CN"/>
        </w:rPr>
        <w:t>处理。</w:t>
      </w:r>
    </w:p>
    <w:p w14:paraId="46555896">
      <w:pPr>
        <w:pStyle w:val="4"/>
        <w:ind w:left="0" w:leftChars="0" w:firstLine="0" w:firstLineChars="0"/>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EAF9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18BE6">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C18BE6">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AFB7">
    <w:pPr>
      <w:pStyle w:val="6"/>
      <w:tabs>
        <w:tab w:val="center" w:pos="4153"/>
        <w:tab w:val="right"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64695">
                          <w:pPr>
                            <w:pStyle w:val="6"/>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C64695">
                    <w:pPr>
                      <w:pStyle w:val="6"/>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BEF5">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40279"/>
    <w:multiLevelType w:val="singleLevel"/>
    <w:tmpl w:val="EC940279"/>
    <w:lvl w:ilvl="0" w:tentative="0">
      <w:start w:val="1"/>
      <w:numFmt w:val="chineseCounting"/>
      <w:suff w:val="nothing"/>
      <w:lvlText w:val="%1、"/>
      <w:lvlJc w:val="left"/>
      <w:rPr>
        <w:rFonts w:hint="eastAsia"/>
        <w:color w:val="auto"/>
      </w:rPr>
    </w:lvl>
  </w:abstractNum>
  <w:abstractNum w:abstractNumId="1">
    <w:nsid w:val="59FF4315"/>
    <w:multiLevelType w:val="multilevel"/>
    <w:tmpl w:val="59FF4315"/>
    <w:lvl w:ilvl="0" w:tentative="0">
      <w:start w:val="1"/>
      <w:numFmt w:val="chineseCountingThousand"/>
      <w:lvlText w:val="（%1）"/>
      <w:lvlJc w:val="left"/>
      <w:pPr>
        <w:tabs>
          <w:tab w:val="left" w:pos="0"/>
        </w:tabs>
        <w:ind w:left="1247" w:hanging="887"/>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713B293C"/>
    <w:multiLevelType w:val="multilevel"/>
    <w:tmpl w:val="713B293C"/>
    <w:lvl w:ilvl="0" w:tentative="0">
      <w:start w:val="1"/>
      <w:numFmt w:val="chineseCountingThousand"/>
      <w:lvlText w:val="（%1）"/>
      <w:lvlJc w:val="left"/>
      <w:pPr>
        <w:tabs>
          <w:tab w:val="left" w:pos="207"/>
        </w:tabs>
        <w:ind w:left="1454" w:hanging="887"/>
      </w:pPr>
      <w:rPr>
        <w:rFonts w:hint="default" w:ascii="Times New Roman" w:hAnsi="Times New Roman" w:cs="Times New Roman"/>
        <w:b w:val="0"/>
        <w:sz w:val="24"/>
        <w:szCs w:val="24"/>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zYwNGNiNjhkZGE2NDBhM2RkMWFlODY2ZjFjZmUifQ=="/>
  </w:docVars>
  <w:rsids>
    <w:rsidRoot w:val="00000000"/>
    <w:rsid w:val="0204742C"/>
    <w:rsid w:val="05A625A8"/>
    <w:rsid w:val="08C47915"/>
    <w:rsid w:val="09175C96"/>
    <w:rsid w:val="0ACB4F36"/>
    <w:rsid w:val="0F8A6A96"/>
    <w:rsid w:val="15FA4976"/>
    <w:rsid w:val="19C92945"/>
    <w:rsid w:val="336D632F"/>
    <w:rsid w:val="3CDA3CE2"/>
    <w:rsid w:val="48067031"/>
    <w:rsid w:val="55B82FA8"/>
    <w:rsid w:val="59371806"/>
    <w:rsid w:val="5D60384C"/>
    <w:rsid w:val="6A2B331B"/>
    <w:rsid w:val="701E10AA"/>
    <w:rsid w:val="7DD50326"/>
    <w:rsid w:val="7ED2035E"/>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2"/>
    <w:basedOn w:val="1"/>
    <w:next w:val="1"/>
    <w:semiHidden/>
    <w:unhideWhenUsed/>
    <w:qFormat/>
    <w:uiPriority w:val="0"/>
    <w:pPr>
      <w:keepNext/>
      <w:keepLines/>
      <w:spacing w:before="260" w:after="260" w:line="240" w:lineRule="atLeast"/>
      <w:jc w:val="left"/>
      <w:outlineLvl w:val="1"/>
    </w:pPr>
    <w:rPr>
      <w:rFonts w:ascii="Arial" w:hAnsi="Arial"/>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lock Text"/>
    <w:basedOn w:val="1"/>
    <w:qFormat/>
    <w:uiPriority w:val="0"/>
    <w:pPr>
      <w:spacing w:after="120"/>
      <w:ind w:left="1440" w:leftChars="700" w:right="700" w:rightChars="700"/>
    </w:pPr>
  </w:style>
  <w:style w:type="paragraph" w:styleId="5">
    <w:name w:val="Plain Text"/>
    <w:basedOn w:val="1"/>
    <w:qFormat/>
    <w:uiPriority w:val="0"/>
    <w:pPr>
      <w:widowControl w:val="0"/>
      <w:spacing w:line="240" w:lineRule="auto"/>
      <w:textAlignment w:val="auto"/>
    </w:pPr>
    <w:rPr>
      <w:rFonts w:ascii="宋体" w:hAnsi="Courier New"/>
      <w:color w:val="auto"/>
      <w:sz w:val="20"/>
      <w:szCs w:val="24"/>
    </w:rPr>
  </w:style>
  <w:style w:type="paragraph" w:styleId="6">
    <w:name w:val="footer"/>
    <w:basedOn w:val="1"/>
    <w:qFormat/>
    <w:uiPriority w:val="0"/>
    <w:pPr>
      <w:snapToGrid w:val="0"/>
      <w:spacing w:line="240" w:lineRule="atLeast"/>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style>
  <w:style w:type="paragraph" w:styleId="11">
    <w:name w:val="List Paragraph"/>
    <w:basedOn w:val="1"/>
    <w:qFormat/>
    <w:uiPriority w:val="99"/>
    <w:pPr>
      <w:ind w:firstLine="420" w:firstLineChars="200"/>
    </w:pPr>
  </w:style>
  <w:style w:type="paragraph" w:customStyle="1" w:styleId="12">
    <w:name w:val="_Style 3"/>
    <w:basedOn w:val="1"/>
    <w:qFormat/>
    <w:uiPriority w:val="0"/>
    <w:pPr>
      <w:ind w:firstLine="420" w:firstLineChars="200"/>
    </w:pPr>
    <w:rPr>
      <w:sz w:val="20"/>
    </w:rPr>
  </w:style>
  <w:style w:type="paragraph" w:customStyle="1" w:styleId="13">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8166</Words>
  <Characters>8454</Characters>
  <Lines>0</Lines>
  <Paragraphs>0</Paragraphs>
  <TotalTime>14</TotalTime>
  <ScaleCrop>false</ScaleCrop>
  <LinksUpToDate>false</LinksUpToDate>
  <CharactersWithSpaces>8792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2024-09-24T01:38:00Z</dcterms:created>
  <dc:creator>Administrator</dc:creator>
  <cp:lastModifiedBy>余老师</cp:lastModifiedBy>
  <cp:lastPrinted>2024-12-10T03:24:00Z</cp:lastPrinted>
  <dcterms:modified xsi:type="dcterms:W3CDTF">2025-06-18T01:22:53Z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3276AFE2AF2F408CA179E1F7BE4ACE42_12</vt:lpwstr>
  </property>
  <property fmtid="{D5CDD505-2E9C-101B-9397-08002B2CF9AE}" pid="4" name="KSOTemplateDocerSaveRecord">
    <vt:lpwstr>eyJoZGlkIjoiNGFkNjYyZjU5OWNlN2U5Y2I2M2MxYTBiNTIyMWRlOTgiLCJ1c2VySWQiOiIyNzI0NDcwOTgifQ==</vt:lpwstr>
  </property>
</Properties>
</file>