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pPr>
        <w:rPr>
          <w:color w:val="auto"/>
          <w:highlight w:val="none"/>
        </w:rPr>
      </w:pPr>
    </w:p>
    <w:p>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pPr>
        <w:ind w:left="425"/>
        <w:jc w:val="center"/>
        <w:rPr>
          <w:rFonts w:eastAsia="黑体"/>
          <w:b/>
          <w:color w:val="auto"/>
          <w:sz w:val="72"/>
          <w:szCs w:val="56"/>
          <w:highlight w:val="none"/>
        </w:rPr>
      </w:pPr>
    </w:p>
    <w:p>
      <w:pPr>
        <w:ind w:left="5" w:hanging="5"/>
        <w:jc w:val="center"/>
        <w:rPr>
          <w:rFonts w:eastAsia="黑体"/>
          <w:b/>
          <w:color w:val="auto"/>
          <w:sz w:val="72"/>
          <w:szCs w:val="56"/>
          <w:highlight w:val="none"/>
        </w:rPr>
      </w:pPr>
      <w:r>
        <w:rPr>
          <w:rFonts w:hint="eastAsia" w:eastAsia="黑体"/>
          <w:b/>
          <w:color w:val="auto"/>
          <w:sz w:val="72"/>
          <w:szCs w:val="56"/>
          <w:highlight w:val="none"/>
        </w:rPr>
        <w:t>采</w:t>
      </w:r>
    </w:p>
    <w:p>
      <w:pPr>
        <w:ind w:left="5" w:hanging="5"/>
        <w:jc w:val="center"/>
        <w:rPr>
          <w:rFonts w:eastAsia="黑体"/>
          <w:b/>
          <w:color w:val="auto"/>
          <w:sz w:val="72"/>
          <w:szCs w:val="56"/>
          <w:highlight w:val="none"/>
        </w:rPr>
      </w:pPr>
      <w:r>
        <w:rPr>
          <w:rFonts w:hint="eastAsia" w:eastAsia="黑体"/>
          <w:b/>
          <w:color w:val="auto"/>
          <w:sz w:val="72"/>
          <w:szCs w:val="56"/>
          <w:highlight w:val="none"/>
        </w:rPr>
        <w:t>购</w:t>
      </w:r>
    </w:p>
    <w:p>
      <w:pPr>
        <w:ind w:left="5" w:hanging="5"/>
        <w:jc w:val="center"/>
        <w:rPr>
          <w:rFonts w:eastAsia="黑体"/>
          <w:b/>
          <w:color w:val="auto"/>
          <w:sz w:val="72"/>
          <w:szCs w:val="56"/>
          <w:highlight w:val="none"/>
        </w:rPr>
      </w:pPr>
      <w:r>
        <w:rPr>
          <w:rFonts w:hint="eastAsia" w:eastAsia="黑体"/>
          <w:b/>
          <w:color w:val="auto"/>
          <w:sz w:val="72"/>
          <w:szCs w:val="56"/>
          <w:highlight w:val="none"/>
        </w:rPr>
        <w:t>书</w:t>
      </w:r>
    </w:p>
    <w:p>
      <w:pPr>
        <w:spacing w:line="760" w:lineRule="exact"/>
        <w:jc w:val="center"/>
        <w:rPr>
          <w:b/>
          <w:color w:val="auto"/>
          <w:sz w:val="36"/>
          <w:highlight w:val="none"/>
        </w:rPr>
      </w:pPr>
      <w:r>
        <w:rPr>
          <w:rFonts w:hint="eastAsia"/>
          <w:b/>
          <w:color w:val="auto"/>
          <w:sz w:val="36"/>
          <w:highlight w:val="none"/>
        </w:rPr>
        <w:t>（适用于公开采购方式）</w:t>
      </w:r>
    </w:p>
    <w:p>
      <w:pPr>
        <w:spacing w:line="760" w:lineRule="exact"/>
        <w:ind w:firstLine="1084" w:firstLineChars="300"/>
        <w:rPr>
          <w:b/>
          <w:color w:val="auto"/>
          <w:sz w:val="36"/>
          <w:highlight w:val="none"/>
        </w:rPr>
      </w:pPr>
    </w:p>
    <w:p>
      <w:pPr>
        <w:spacing w:line="760" w:lineRule="exact"/>
        <w:ind w:firstLine="1084" w:firstLineChars="300"/>
        <w:rPr>
          <w:rFonts w:ascii="宋体" w:hAnsi="宋体"/>
          <w:b/>
          <w:color w:val="auto"/>
          <w:sz w:val="36"/>
          <w:highlight w:val="none"/>
          <w:u w:val="single"/>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eastAsia="zh-CN"/>
        </w:rPr>
        <w:t>《</w:t>
      </w:r>
      <w:r>
        <w:rPr>
          <w:rFonts w:hint="eastAsia" w:ascii="宋体" w:hAnsi="宋体"/>
          <w:b/>
          <w:color w:val="auto"/>
          <w:sz w:val="36"/>
          <w:highlight w:val="none"/>
          <w:u w:val="single"/>
          <w:lang w:val="en-US" w:eastAsia="zh-CN"/>
        </w:rPr>
        <w:t>创业基础》</w:t>
      </w:r>
      <w:r>
        <w:rPr>
          <w:rFonts w:hint="eastAsia" w:ascii="宋体" w:hAnsi="宋体"/>
          <w:b/>
          <w:color w:val="auto"/>
          <w:sz w:val="36"/>
          <w:highlight w:val="none"/>
          <w:u w:val="single"/>
        </w:rPr>
        <w:t xml:space="preserve">在线开放课程建设     </w:t>
      </w:r>
    </w:p>
    <w:p>
      <w:pPr>
        <w:widowControl/>
        <w:shd w:val="clear" w:color="auto" w:fill="FFFFFF"/>
        <w:spacing w:line="560" w:lineRule="exact"/>
        <w:jc w:val="center"/>
        <w:rPr>
          <w:rFonts w:hint="eastAsia"/>
          <w:b/>
          <w:color w:val="auto"/>
          <w:sz w:val="36"/>
          <w:szCs w:val="36"/>
          <w:highlight w:val="none"/>
          <w:u w:val="single"/>
          <w:lang w:val="en-US" w:eastAsia="zh-CN"/>
        </w:rPr>
      </w:pPr>
      <w:r>
        <w:rPr>
          <w:rFonts w:hint="eastAsia"/>
          <w:b/>
          <w:color w:val="auto"/>
          <w:sz w:val="36"/>
          <w:szCs w:val="36"/>
          <w:highlight w:val="none"/>
        </w:rPr>
        <w:t>采购单位：</w:t>
      </w:r>
      <w:r>
        <w:rPr>
          <w:rFonts w:hint="eastAsia"/>
          <w:b/>
          <w:color w:val="auto"/>
          <w:sz w:val="36"/>
          <w:szCs w:val="36"/>
          <w:highlight w:val="none"/>
          <w:u w:val="single"/>
          <w:lang w:val="en-US" w:eastAsia="zh-CN"/>
        </w:rPr>
        <w:t>广东财经大学</w:t>
      </w:r>
      <w:r>
        <w:rPr>
          <w:rFonts w:hint="eastAsia"/>
          <w:b/>
          <w:color w:val="auto"/>
          <w:sz w:val="36"/>
          <w:szCs w:val="36"/>
          <w:highlight w:val="none"/>
          <w:u w:val="single"/>
          <w:lang w:val="en-US" w:eastAsia="zh-CN"/>
        </w:rPr>
        <w:fldChar w:fldCharType="begin"/>
      </w:r>
      <w:r>
        <w:rPr>
          <w:rFonts w:hint="eastAsia"/>
          <w:b/>
          <w:color w:val="auto"/>
          <w:sz w:val="36"/>
          <w:szCs w:val="36"/>
          <w:highlight w:val="none"/>
          <w:u w:val="single"/>
          <w:lang w:val="en-US" w:eastAsia="zh-CN"/>
        </w:rPr>
        <w:instrText xml:space="preserve"> HYPERLINK "http://gsgs.gdufe.edu.cn/" \t "https://www.gdufe.edu.cn/zzjg/_blank" </w:instrText>
      </w:r>
      <w:r>
        <w:rPr>
          <w:rFonts w:hint="eastAsia"/>
          <w:b/>
          <w:color w:val="auto"/>
          <w:sz w:val="36"/>
          <w:szCs w:val="36"/>
          <w:highlight w:val="none"/>
          <w:u w:val="single"/>
          <w:lang w:val="en-US" w:eastAsia="zh-CN"/>
        </w:rPr>
        <w:fldChar w:fldCharType="separate"/>
      </w:r>
      <w:r>
        <w:rPr>
          <w:rFonts w:hint="eastAsia"/>
          <w:b/>
          <w:color w:val="auto"/>
          <w:sz w:val="36"/>
          <w:szCs w:val="36"/>
          <w:highlight w:val="none"/>
          <w:u w:val="single"/>
          <w:lang w:val="en-US" w:eastAsia="zh-CN"/>
        </w:rPr>
        <w:t>工商管理学院/粤商学院/</w:t>
      </w:r>
    </w:p>
    <w:p>
      <w:pPr>
        <w:widowControl/>
        <w:shd w:val="clear" w:color="auto" w:fill="FFFFFF"/>
        <w:spacing w:line="560" w:lineRule="exact"/>
        <w:jc w:val="center"/>
        <w:rPr>
          <w:rFonts w:hint="default"/>
          <w:b/>
          <w:color w:val="auto"/>
          <w:sz w:val="36"/>
          <w:szCs w:val="36"/>
          <w:highlight w:val="none"/>
          <w:lang w:val="en-US" w:eastAsia="zh-CN"/>
        </w:rPr>
      </w:pPr>
      <w:r>
        <w:rPr>
          <w:rFonts w:hint="eastAsia"/>
          <w:b/>
          <w:color w:val="auto"/>
          <w:sz w:val="36"/>
          <w:szCs w:val="36"/>
          <w:highlight w:val="none"/>
          <w:u w:val="single"/>
          <w:lang w:val="en-US" w:eastAsia="zh-CN"/>
        </w:rPr>
        <w:t>创新创业学院</w:t>
      </w:r>
      <w:r>
        <w:rPr>
          <w:rFonts w:hint="eastAsia"/>
          <w:b/>
          <w:color w:val="auto"/>
          <w:sz w:val="36"/>
          <w:szCs w:val="36"/>
          <w:highlight w:val="none"/>
          <w:u w:val="single"/>
          <w:lang w:val="en-US" w:eastAsia="zh-CN"/>
        </w:rPr>
        <w:fldChar w:fldCharType="end"/>
      </w:r>
    </w:p>
    <w:p>
      <w:pPr>
        <w:spacing w:line="760" w:lineRule="exact"/>
        <w:ind w:firstLine="1084" w:firstLineChars="300"/>
        <w:rPr>
          <w:b/>
          <w:color w:val="auto"/>
          <w:sz w:val="36"/>
          <w:szCs w:val="36"/>
          <w:highlight w:val="none"/>
        </w:rPr>
      </w:pPr>
      <w:r>
        <w:rPr>
          <w:rFonts w:hint="eastAsia"/>
          <w:b/>
          <w:color w:val="auto"/>
          <w:sz w:val="36"/>
          <w:szCs w:val="36"/>
          <w:highlight w:val="none"/>
        </w:rPr>
        <w:t>发布时间：</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2024年11月27</w:t>
      </w:r>
      <w:bookmarkStart w:id="31" w:name="_GoBack"/>
      <w:bookmarkEnd w:id="31"/>
      <w:r>
        <w:rPr>
          <w:rFonts w:hint="eastAsia" w:ascii="宋体" w:hAnsi="宋体"/>
          <w:b/>
          <w:color w:val="auto"/>
          <w:sz w:val="36"/>
          <w:highlight w:val="none"/>
          <w:u w:val="single"/>
          <w:lang w:val="en-US" w:eastAsia="zh-CN"/>
        </w:rPr>
        <w:t>日</w:t>
      </w:r>
      <w:r>
        <w:rPr>
          <w:rFonts w:hint="eastAsia" w:ascii="宋体" w:hAnsi="宋体"/>
          <w:b/>
          <w:color w:val="auto"/>
          <w:sz w:val="36"/>
          <w:highlight w:val="none"/>
          <w:u w:val="single"/>
        </w:rPr>
        <w:t xml:space="preserve">      </w:t>
      </w:r>
    </w:p>
    <w:p>
      <w:pPr>
        <w:spacing w:line="760" w:lineRule="exact"/>
        <w:ind w:firstLine="1084" w:firstLineChars="300"/>
        <w:rPr>
          <w:rFonts w:ascii="宋体" w:hAnsi="宋体"/>
          <w:b/>
          <w:color w:val="auto"/>
          <w:sz w:val="36"/>
          <w:szCs w:val="36"/>
          <w:highlight w:val="none"/>
          <w:u w:val="single"/>
        </w:rPr>
      </w:pPr>
    </w:p>
    <w:p>
      <w:pPr>
        <w:spacing w:line="1000" w:lineRule="exact"/>
        <w:jc w:val="center"/>
        <w:rPr>
          <w:rFonts w:ascii="黑体" w:eastAsia="黑体"/>
          <w:b/>
          <w:color w:val="auto"/>
          <w:sz w:val="72"/>
          <w:szCs w:val="72"/>
          <w:highlight w:val="none"/>
        </w:rPr>
      </w:pPr>
    </w:p>
    <w:p>
      <w:pPr>
        <w:jc w:val="center"/>
        <w:rPr>
          <w:b/>
          <w:color w:val="auto"/>
          <w:sz w:val="52"/>
          <w:szCs w:val="52"/>
          <w:highlight w:val="none"/>
        </w:rPr>
      </w:pPr>
      <w:r>
        <w:rPr>
          <w:rFonts w:ascii="宋体" w:hAnsi="宋体"/>
          <w:color w:val="auto"/>
          <w:sz w:val="32"/>
          <w:szCs w:val="32"/>
          <w:highlight w:val="none"/>
        </w:rPr>
        <w:br w:type="column"/>
      </w:r>
      <w:r>
        <w:rPr>
          <w:rFonts w:hint="eastAsia"/>
          <w:color w:val="auto"/>
          <w:sz w:val="52"/>
          <w:szCs w:val="52"/>
          <w:highlight w:val="none"/>
        </w:rPr>
        <w:t>目录</w:t>
      </w:r>
    </w:p>
    <w:p>
      <w:pPr>
        <w:pStyle w:val="19"/>
        <w:tabs>
          <w:tab w:val="right" w:leader="dot" w:pos="8846"/>
        </w:tabs>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\h \z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报价须知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一、采购项目概况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_Toc16574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二、相关说明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"_Toc11839"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三、报价人资格</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_Toc11839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"_Toc20873"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_Toc20873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"_Toc18253"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五、报价文件要求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_Toc18253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"_Toc10890"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六、评审方法及原则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_Toc10890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七、成交供应商确定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19"/>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"_Toc5254"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采购需求书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一、技术（服务）要求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"_Toc17787"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二、商务要求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_Toc17787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19"/>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"_Toc14310"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报价文件格式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adjustRightInd w:val="0"/>
        <w:snapToGrid w:val="0"/>
        <w:spacing w:line="500" w:lineRule="exact"/>
        <w:jc w:val="center"/>
        <w:rPr>
          <w:b/>
          <w:color w:val="auto"/>
          <w:sz w:val="52"/>
          <w:szCs w:val="52"/>
          <w:highlight w:val="none"/>
        </w:rPr>
      </w:pPr>
      <w:r>
        <w:rPr>
          <w:rFonts w:hint="eastAsia" w:asciiTheme="minorEastAsia" w:hAnsiTheme="minorEastAsia" w:eastAsiaTheme="minorEastAsia" w:cstheme="minorEastAsia"/>
          <w:color w:val="auto"/>
          <w:sz w:val="28"/>
          <w:szCs w:val="28"/>
          <w:highlight w:val="none"/>
        </w:rPr>
        <w:fldChar w:fldCharType="end"/>
      </w:r>
    </w:p>
    <w:p>
      <w:pPr>
        <w:rPr>
          <w:color w:val="auto"/>
          <w:highlight w:val="none"/>
        </w:rPr>
      </w:pPr>
      <w:bookmarkStart w:id="0" w:name="_Toc508103135"/>
      <w:bookmarkStart w:id="1" w:name="_Toc508103350"/>
      <w:bookmarkStart w:id="2" w:name="_Toc60236697"/>
      <w:r>
        <w:rPr>
          <w:color w:val="auto"/>
          <w:highlight w:val="none"/>
        </w:rPr>
        <w:br w:type="page"/>
      </w:r>
    </w:p>
    <w:p>
      <w:pPr>
        <w:pStyle w:val="2"/>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pPr>
        <w:pStyle w:val="3"/>
        <w:spacing w:line="560" w:lineRule="exact"/>
        <w:rPr>
          <w:color w:val="auto"/>
          <w:highlight w:val="none"/>
        </w:rPr>
      </w:pPr>
      <w:bookmarkStart w:id="4" w:name="_Toc60236698"/>
      <w:bookmarkStart w:id="5" w:name="_Toc508103351"/>
      <w:bookmarkStart w:id="6" w:name="_Toc16574"/>
      <w:r>
        <w:rPr>
          <w:rFonts w:hint="eastAsia"/>
          <w:color w:val="auto"/>
          <w:highlight w:val="none"/>
        </w:rPr>
        <w:t>一、采购项目</w:t>
      </w:r>
      <w:bookmarkEnd w:id="4"/>
      <w:bookmarkEnd w:id="5"/>
      <w:r>
        <w:rPr>
          <w:rFonts w:hint="eastAsia"/>
          <w:color w:val="auto"/>
          <w:highlight w:val="none"/>
        </w:rPr>
        <w:t>概况</w:t>
      </w:r>
      <w:bookmarkEnd w:id="6"/>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1.项目名称：</w:t>
      </w:r>
      <w:r>
        <w:rPr>
          <w:rFonts w:hint="eastAsia" w:ascii="宋体" w:hAnsi="宋体" w:cs="宋体"/>
          <w:i w:val="0"/>
          <w:iCs w:val="0"/>
          <w:caps w:val="0"/>
          <w:color w:val="auto"/>
          <w:spacing w:val="0"/>
          <w:sz w:val="28"/>
          <w:szCs w:val="28"/>
          <w:highlight w:val="none"/>
          <w:u w:val="single"/>
          <w:shd w:val="clear" w:fill="FFFFFF"/>
          <w:lang w:eastAsia="zh-CN"/>
        </w:rPr>
        <w:t>《</w:t>
      </w:r>
      <w:r>
        <w:rPr>
          <w:rFonts w:hint="eastAsia" w:ascii="宋体" w:hAnsi="宋体" w:cs="宋体"/>
          <w:i w:val="0"/>
          <w:iCs w:val="0"/>
          <w:caps w:val="0"/>
          <w:color w:val="auto"/>
          <w:spacing w:val="0"/>
          <w:sz w:val="28"/>
          <w:szCs w:val="28"/>
          <w:highlight w:val="none"/>
          <w:u w:val="single"/>
          <w:shd w:val="clear" w:fill="FFFFFF"/>
          <w:lang w:val="en-US" w:eastAsia="zh-CN"/>
        </w:rPr>
        <w:t>创业基础》</w:t>
      </w:r>
      <w:r>
        <w:rPr>
          <w:rFonts w:hint="eastAsia" w:ascii="宋体" w:hAnsi="宋体" w:cs="宋体"/>
          <w:i w:val="0"/>
          <w:iCs w:val="0"/>
          <w:caps w:val="0"/>
          <w:color w:val="auto"/>
          <w:spacing w:val="0"/>
          <w:sz w:val="28"/>
          <w:szCs w:val="28"/>
          <w:highlight w:val="none"/>
          <w:u w:val="single"/>
          <w:shd w:val="clear" w:fill="FFFFFF"/>
          <w:lang w:eastAsia="zh-CN"/>
        </w:rPr>
        <w:t>在线开放课程建设</w:t>
      </w:r>
      <w:r>
        <w:rPr>
          <w:rFonts w:hint="eastAsia" w:ascii="宋体" w:hAnsi="宋体" w:eastAsia="宋体" w:cs="宋体"/>
          <w:i w:val="0"/>
          <w:iCs w:val="0"/>
          <w:caps w:val="0"/>
          <w:color w:val="auto"/>
          <w:spacing w:val="0"/>
          <w:sz w:val="28"/>
          <w:szCs w:val="28"/>
          <w:highlight w:val="none"/>
          <w:shd w:val="clear" w:fill="FFFFFF"/>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2.经费预算：人民币</w:t>
      </w:r>
      <w:r>
        <w:rPr>
          <w:rFonts w:hint="eastAsia" w:ascii="宋体" w:hAnsi="宋体" w:cs="宋体"/>
          <w:i w:val="0"/>
          <w:iCs w:val="0"/>
          <w:caps w:val="0"/>
          <w:color w:val="auto"/>
          <w:spacing w:val="0"/>
          <w:sz w:val="28"/>
          <w:szCs w:val="28"/>
          <w:highlight w:val="none"/>
          <w:shd w:val="clear" w:fill="FFFFFF"/>
          <w:lang w:val="en-US" w:eastAsia="zh-CN"/>
        </w:rPr>
        <w:t xml:space="preserve"> </w:t>
      </w:r>
      <w:r>
        <w:rPr>
          <w:rFonts w:hint="eastAsia" w:ascii="宋体" w:hAnsi="宋体" w:cs="宋体"/>
          <w:i w:val="0"/>
          <w:iCs w:val="0"/>
          <w:caps w:val="0"/>
          <w:color w:val="auto"/>
          <w:spacing w:val="0"/>
          <w:sz w:val="28"/>
          <w:szCs w:val="28"/>
          <w:highlight w:val="none"/>
          <w:u w:val="single"/>
          <w:shd w:val="clear" w:fill="FFFFFF"/>
          <w:lang w:val="en-US" w:eastAsia="zh-CN"/>
        </w:rPr>
        <w:t>9.95</w:t>
      </w:r>
      <w:r>
        <w:rPr>
          <w:rFonts w:hint="eastAsia" w:ascii="宋体" w:hAnsi="宋体" w:eastAsia="宋体" w:cs="宋体"/>
          <w:i w:val="0"/>
          <w:iCs w:val="0"/>
          <w:caps w:val="0"/>
          <w:color w:val="auto"/>
          <w:spacing w:val="0"/>
          <w:sz w:val="28"/>
          <w:szCs w:val="28"/>
          <w:highlight w:val="none"/>
          <w:shd w:val="clear" w:fill="FFFFFF"/>
        </w:rPr>
        <w:t>万元，资金来源:</w:t>
      </w:r>
      <w:r>
        <w:rPr>
          <w:rFonts w:hint="eastAsia" w:ascii="宋体" w:hAnsi="宋体" w:cs="宋体"/>
          <w:i w:val="0"/>
          <w:iCs w:val="0"/>
          <w:caps w:val="0"/>
          <w:color w:val="auto"/>
          <w:spacing w:val="0"/>
          <w:sz w:val="28"/>
          <w:szCs w:val="28"/>
          <w:highlight w:val="none"/>
          <w:u w:val="single"/>
          <w:shd w:val="clear" w:fill="FFFFFF"/>
          <w:lang w:eastAsia="zh-CN"/>
        </w:rPr>
        <w:t>《</w:t>
      </w:r>
      <w:r>
        <w:rPr>
          <w:rFonts w:hint="eastAsia" w:ascii="宋体" w:hAnsi="宋体" w:cs="宋体"/>
          <w:i w:val="0"/>
          <w:iCs w:val="0"/>
          <w:caps w:val="0"/>
          <w:color w:val="auto"/>
          <w:spacing w:val="0"/>
          <w:sz w:val="28"/>
          <w:szCs w:val="28"/>
          <w:highlight w:val="none"/>
          <w:u w:val="single"/>
          <w:shd w:val="clear" w:fill="FFFFFF"/>
          <w:lang w:val="en-US" w:eastAsia="zh-CN"/>
        </w:rPr>
        <w:t>创业基础》</w:t>
      </w:r>
      <w:r>
        <w:rPr>
          <w:rFonts w:hint="eastAsia" w:ascii="宋体" w:hAnsi="宋体" w:eastAsia="宋体" w:cs="宋体"/>
          <w:i w:val="0"/>
          <w:iCs w:val="0"/>
          <w:caps w:val="0"/>
          <w:color w:val="auto"/>
          <w:spacing w:val="0"/>
          <w:sz w:val="28"/>
          <w:szCs w:val="28"/>
          <w:highlight w:val="none"/>
          <w:u w:val="single"/>
          <w:shd w:val="clear" w:fill="FFFFFF"/>
        </w:rPr>
        <w:t>课程经费。</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3.预算及报价费用包括：</w:t>
      </w:r>
      <w:r>
        <w:rPr>
          <w:rFonts w:hint="eastAsia" w:ascii="宋体" w:hAnsi="宋体" w:cs="宋体"/>
          <w:i w:val="0"/>
          <w:iCs w:val="0"/>
          <w:caps w:val="0"/>
          <w:color w:val="auto"/>
          <w:spacing w:val="0"/>
          <w:sz w:val="28"/>
          <w:szCs w:val="28"/>
          <w:highlight w:val="none"/>
          <w:u w:val="single"/>
          <w:shd w:val="clear" w:fill="FFFFFF"/>
          <w:lang w:eastAsia="zh-CN"/>
        </w:rPr>
        <w:t>《</w:t>
      </w:r>
      <w:r>
        <w:rPr>
          <w:rFonts w:hint="eastAsia" w:ascii="宋体" w:hAnsi="宋体" w:cs="宋体"/>
          <w:i w:val="0"/>
          <w:iCs w:val="0"/>
          <w:caps w:val="0"/>
          <w:color w:val="auto"/>
          <w:spacing w:val="0"/>
          <w:sz w:val="28"/>
          <w:szCs w:val="28"/>
          <w:highlight w:val="none"/>
          <w:u w:val="single"/>
          <w:shd w:val="clear" w:fill="FFFFFF"/>
          <w:lang w:val="en-US" w:eastAsia="zh-CN"/>
        </w:rPr>
        <w:t>创业基础》</w:t>
      </w:r>
      <w:r>
        <w:rPr>
          <w:rFonts w:hint="eastAsia" w:ascii="宋体" w:hAnsi="宋体" w:eastAsia="宋体" w:cs="宋体"/>
          <w:i w:val="0"/>
          <w:iCs w:val="0"/>
          <w:caps w:val="0"/>
          <w:color w:val="auto"/>
          <w:spacing w:val="0"/>
          <w:sz w:val="28"/>
          <w:szCs w:val="28"/>
          <w:highlight w:val="none"/>
          <w:u w:val="single"/>
          <w:shd w:val="clear" w:fill="FFFFFF"/>
        </w:rPr>
        <w:t>在线课程的拍摄、剪辑、制作，整门课程时长约</w:t>
      </w:r>
      <w:r>
        <w:rPr>
          <w:rFonts w:hint="eastAsia" w:ascii="宋体" w:hAnsi="宋体" w:cs="宋体"/>
          <w:i w:val="0"/>
          <w:iCs w:val="0"/>
          <w:caps w:val="0"/>
          <w:color w:val="auto"/>
          <w:spacing w:val="0"/>
          <w:sz w:val="28"/>
          <w:szCs w:val="28"/>
          <w:highlight w:val="none"/>
          <w:u w:val="single"/>
          <w:shd w:val="clear" w:fill="FFFFFF"/>
          <w:lang w:val="en-US" w:eastAsia="zh-CN"/>
        </w:rPr>
        <w:t>670</w:t>
      </w:r>
      <w:r>
        <w:rPr>
          <w:rFonts w:hint="eastAsia" w:ascii="宋体" w:hAnsi="宋体" w:eastAsia="宋体" w:cs="宋体"/>
          <w:i w:val="0"/>
          <w:iCs w:val="0"/>
          <w:caps w:val="0"/>
          <w:color w:val="auto"/>
          <w:spacing w:val="0"/>
          <w:sz w:val="28"/>
          <w:szCs w:val="28"/>
          <w:highlight w:val="none"/>
          <w:u w:val="single"/>
          <w:shd w:val="clear" w:fill="FFFFFF"/>
        </w:rPr>
        <w:t>min，</w:t>
      </w:r>
      <w:r>
        <w:rPr>
          <w:rFonts w:hint="eastAsia" w:ascii="宋体" w:hAnsi="宋体" w:cs="宋体"/>
          <w:i w:val="0"/>
          <w:iCs w:val="0"/>
          <w:caps w:val="0"/>
          <w:color w:val="auto"/>
          <w:spacing w:val="0"/>
          <w:sz w:val="28"/>
          <w:szCs w:val="28"/>
          <w:highlight w:val="none"/>
          <w:u w:val="single"/>
          <w:shd w:val="clear" w:fill="FFFFFF"/>
          <w:lang w:val="en-US" w:eastAsia="zh-CN"/>
        </w:rPr>
        <w:t>最后的</w:t>
      </w:r>
      <w:r>
        <w:rPr>
          <w:rFonts w:hint="eastAsia" w:ascii="宋体" w:hAnsi="宋体" w:eastAsia="宋体" w:cs="宋体"/>
          <w:i w:val="0"/>
          <w:iCs w:val="0"/>
          <w:caps w:val="0"/>
          <w:color w:val="auto"/>
          <w:spacing w:val="0"/>
          <w:sz w:val="28"/>
          <w:szCs w:val="28"/>
          <w:highlight w:val="none"/>
          <w:u w:val="single"/>
          <w:shd w:val="clear" w:fill="FFFFFF"/>
        </w:rPr>
        <w:t>课程名称由用户根据需求最终确定</w:t>
      </w:r>
      <w:r>
        <w:rPr>
          <w:rFonts w:hint="eastAsia" w:ascii="宋体" w:hAnsi="宋体" w:cs="宋体"/>
          <w:i w:val="0"/>
          <w:iCs w:val="0"/>
          <w:caps w:val="0"/>
          <w:color w:val="auto"/>
          <w:spacing w:val="0"/>
          <w:sz w:val="28"/>
          <w:szCs w:val="28"/>
          <w:highlight w:val="none"/>
          <w:u w:val="single"/>
          <w:shd w:val="clear" w:fill="FFFFFF"/>
          <w:lang w:eastAsia="zh-CN"/>
        </w:rPr>
        <w:t>，</w:t>
      </w:r>
      <w:r>
        <w:rPr>
          <w:rFonts w:hint="eastAsia" w:ascii="宋体" w:hAnsi="宋体" w:eastAsia="宋体" w:cs="宋体"/>
          <w:i w:val="0"/>
          <w:iCs w:val="0"/>
          <w:caps w:val="0"/>
          <w:color w:val="auto"/>
          <w:spacing w:val="0"/>
          <w:sz w:val="28"/>
          <w:szCs w:val="28"/>
          <w:highlight w:val="none"/>
          <w:u w:val="single"/>
          <w:shd w:val="clear" w:fill="FFFFFF"/>
        </w:rPr>
        <w:t>并配合上线</w:t>
      </w:r>
      <w:r>
        <w:rPr>
          <w:rFonts w:hint="eastAsia" w:ascii="宋体" w:hAnsi="宋体" w:cs="宋体"/>
          <w:i w:val="0"/>
          <w:iCs w:val="0"/>
          <w:caps w:val="0"/>
          <w:color w:val="auto"/>
          <w:spacing w:val="0"/>
          <w:sz w:val="28"/>
          <w:szCs w:val="28"/>
          <w:highlight w:val="none"/>
          <w:u w:val="single"/>
          <w:shd w:val="clear" w:fill="FFFFFF"/>
          <w:lang w:val="en-US" w:eastAsia="zh-CN"/>
        </w:rPr>
        <w:t>有国家评审资质的平台</w:t>
      </w:r>
      <w:r>
        <w:rPr>
          <w:rFonts w:hint="eastAsia" w:ascii="宋体" w:hAnsi="宋体" w:eastAsia="宋体" w:cs="宋体"/>
          <w:i w:val="0"/>
          <w:iCs w:val="0"/>
          <w:caps w:val="0"/>
          <w:color w:val="auto"/>
          <w:spacing w:val="0"/>
          <w:sz w:val="28"/>
          <w:szCs w:val="28"/>
          <w:highlight w:val="none"/>
          <w:u w:val="single"/>
          <w:shd w:val="clear" w:fill="FFFFFF"/>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4.项目简介与总体要求：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u w:val="single"/>
          <w:shd w:val="clear" w:fill="FFFFFF"/>
        </w:rPr>
        <w:t>为促进优质教育资源开放共享和课程教学模式改革，探索校本在线开放课程建设模式和混合式教学模式，我校持续开展在线开放课程建设，精心打造具有校本特色的高质量课程。</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课程制作服务的要求：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eastAsia="宋体" w:cs="Times New Roman"/>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8"/>
          <w:szCs w:val="28"/>
          <w:highlight w:val="none"/>
          <w:u w:val="single"/>
          <w:shd w:val="clear" w:fill="FFFFFF"/>
        </w:rPr>
        <w:t>在合同签订后6个月内完成在线开放课程拍摄、制作工作，并配合学校上线</w:t>
      </w:r>
      <w:r>
        <w:rPr>
          <w:rFonts w:hint="eastAsia" w:ascii="宋体" w:hAnsi="宋体" w:cs="宋体"/>
          <w:i w:val="0"/>
          <w:iCs w:val="0"/>
          <w:caps w:val="0"/>
          <w:color w:val="auto"/>
          <w:spacing w:val="0"/>
          <w:sz w:val="28"/>
          <w:szCs w:val="28"/>
          <w:highlight w:val="none"/>
          <w:u w:val="single"/>
          <w:shd w:val="clear" w:fill="FFFFFF"/>
          <w:lang w:val="en-US" w:eastAsia="zh-CN"/>
        </w:rPr>
        <w:t>有国家评审资质的平台</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本项目采购预算控制价 </w:t>
      </w:r>
      <w:r>
        <w:rPr>
          <w:rFonts w:hint="eastAsia" w:ascii="宋体" w:hAnsi="宋体"/>
          <w:color w:val="auto"/>
          <w:sz w:val="28"/>
          <w:szCs w:val="28"/>
          <w:highlight w:val="none"/>
          <w:lang w:val="en-US" w:eastAsia="zh-CN"/>
        </w:rPr>
        <w:t>9.95</w:t>
      </w:r>
      <w:r>
        <w:rPr>
          <w:rFonts w:hint="eastAsia" w:ascii="宋体" w:hAnsi="宋体"/>
          <w:color w:val="auto"/>
          <w:sz w:val="28"/>
          <w:szCs w:val="28"/>
          <w:highlight w:val="none"/>
        </w:rPr>
        <w:t xml:space="preserve"> 万元，</w:t>
      </w:r>
      <w:r>
        <w:rPr>
          <w:rFonts w:ascii="宋体" w:hAnsi="宋体"/>
          <w:color w:val="auto"/>
          <w:sz w:val="28"/>
          <w:szCs w:val="28"/>
          <w:highlight w:val="none"/>
        </w:rPr>
        <w:t>资金已到位。</w:t>
      </w:r>
    </w:p>
    <w:p>
      <w:pPr>
        <w:pStyle w:val="3"/>
        <w:spacing w:line="560" w:lineRule="exact"/>
        <w:rPr>
          <w:color w:val="auto"/>
          <w:highlight w:val="none"/>
        </w:rPr>
      </w:pPr>
      <w:bookmarkStart w:id="7" w:name="_Toc60236699"/>
      <w:bookmarkStart w:id="8" w:name="_Toc28829"/>
      <w:bookmarkStart w:id="9" w:name="_Toc508103352"/>
      <w:r>
        <w:rPr>
          <w:rFonts w:hint="eastAsia"/>
          <w:color w:val="auto"/>
          <w:highlight w:val="none"/>
        </w:rPr>
        <w:t>二、相关说明</w:t>
      </w:r>
      <w:bookmarkEnd w:id="7"/>
      <w:bookmarkEnd w:id="8"/>
      <w:bookmarkEnd w:id="9"/>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pPr>
        <w:pStyle w:val="3"/>
        <w:spacing w:line="560" w:lineRule="exact"/>
        <w:rPr>
          <w:color w:val="auto"/>
          <w:highlight w:val="none"/>
        </w:rPr>
      </w:pPr>
      <w:bookmarkStart w:id="10" w:name="_Toc508103353"/>
      <w:bookmarkStart w:id="11" w:name="_Toc11839"/>
      <w:bookmarkStart w:id="12" w:name="_Toc60236700"/>
      <w:r>
        <w:rPr>
          <w:rFonts w:hint="eastAsia"/>
          <w:color w:val="auto"/>
          <w:highlight w:val="none"/>
        </w:rPr>
        <w:t>三、报价人</w:t>
      </w:r>
      <w:r>
        <w:rPr>
          <w:color w:val="auto"/>
          <w:highlight w:val="none"/>
        </w:rPr>
        <w:t>资格</w:t>
      </w:r>
      <w:bookmarkEnd w:id="10"/>
      <w:bookmarkEnd w:id="11"/>
      <w:bookmarkEnd w:id="12"/>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rPr>
          <w:color w:val="auto"/>
          <w:highlight w:val="none"/>
        </w:rPr>
      </w:pPr>
      <w:bookmarkStart w:id="13" w:name="_Toc60236701"/>
      <w:bookmarkStart w:id="14" w:name="_Toc20873"/>
      <w:bookmarkStart w:id="15" w:name="_Toc508103354"/>
      <w:r>
        <w:rPr>
          <w:rFonts w:hint="eastAsia"/>
          <w:color w:val="auto"/>
          <w:highlight w:val="none"/>
        </w:rPr>
        <w:t>四、</w:t>
      </w:r>
      <w:r>
        <w:rPr>
          <w:color w:val="auto"/>
          <w:highlight w:val="none"/>
        </w:rPr>
        <w:t>报价要求</w:t>
      </w:r>
      <w:bookmarkEnd w:id="13"/>
      <w:bookmarkEnd w:id="14"/>
      <w:bookmarkEnd w:id="15"/>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highlight w:val="none"/>
        </w:rPr>
        <w:t>安装调试、系统集成、培训、售后服务等其他有关的所有费用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pPr>
        <w:pStyle w:val="3"/>
        <w:spacing w:line="560" w:lineRule="exact"/>
        <w:rPr>
          <w:color w:val="auto"/>
          <w:highlight w:val="none"/>
        </w:rPr>
      </w:pPr>
      <w:bookmarkStart w:id="16" w:name="_Toc60236702"/>
      <w:bookmarkStart w:id="17" w:name="_Toc18253"/>
      <w:bookmarkStart w:id="18" w:name="_Toc508103355"/>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报价人应按照下列内容及顺序编写、装订报价文件。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1.报价文件封面；</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2.目录；</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（2）相关资质证书或许可证书等复印件；</w:t>
      </w:r>
    </w:p>
    <w:p>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5.证明材料等；</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pPr>
        <w:pStyle w:val="3"/>
        <w:spacing w:line="560" w:lineRule="exact"/>
        <w:rPr>
          <w:color w:val="auto"/>
          <w:highlight w:val="none"/>
        </w:rPr>
      </w:pPr>
      <w:bookmarkStart w:id="19" w:name="_Toc10890"/>
      <w:bookmarkStart w:id="20" w:name="_Toc508103356"/>
      <w:bookmarkStart w:id="21" w:name="_Toc60236703"/>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lang w:val="en-US" w:eastAsia="zh-CN"/>
        </w:rPr>
        <w:t>二）</w:t>
      </w:r>
      <w:r>
        <w:rPr>
          <w:rFonts w:hint="eastAsia" w:ascii="宋体" w:hAnsi="宋体"/>
          <w:color w:val="auto"/>
          <w:sz w:val="28"/>
          <w:szCs w:val="28"/>
          <w:highlight w:val="none"/>
          <w:u w:val="single"/>
        </w:rPr>
        <w:t xml:space="preserve"> 。</w:t>
      </w:r>
    </w:p>
    <w:p>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（评审表见附表2）</w:t>
      </w:r>
      <w:r>
        <w:rPr>
          <w:rFonts w:hint="eastAsia" w:ascii="宋体" w:hAnsi="宋体"/>
          <w:b/>
          <w:bCs/>
          <w:color w:val="auto"/>
          <w:sz w:val="28"/>
          <w:szCs w:val="28"/>
          <w:highlight w:val="none"/>
        </w:rPr>
        <w:t>：</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rPr>
          <w:color w:val="auto"/>
          <w:highlight w:val="none"/>
        </w:rPr>
      </w:pPr>
      <w:bookmarkStart w:id="22" w:name="_Toc18663"/>
      <w:r>
        <w:rPr>
          <w:rFonts w:hint="eastAsia"/>
          <w:color w:val="auto"/>
          <w:highlight w:val="none"/>
        </w:rPr>
        <w:t>成交供应商确定</w:t>
      </w:r>
      <w:bookmarkEnd w:id="22"/>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br w:type="page"/>
      </w:r>
    </w:p>
    <w:p>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资格性与符合性审查表</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557"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465"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557"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465"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465" w:type="dxa"/>
            <w:noWrap/>
            <w:vAlign w:val="center"/>
          </w:tcPr>
          <w:p>
            <w:pPr>
              <w:spacing w:line="400" w:lineRule="exact"/>
              <w:jc w:val="center"/>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提供报价明细表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提供“技术（服务）条款响应表”和“商务条款响应表”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提供报价人声明及承诺</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6</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未出现采购单位无法接受的附加条件</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465" w:type="dxa"/>
            <w:noWrap/>
            <w:vAlign w:val="center"/>
          </w:tcPr>
          <w:p>
            <w:pPr>
              <w:spacing w:line="400" w:lineRule="exact"/>
              <w:rPr>
                <w:rFonts w:ascii="宋体" w:hAnsi="宋体"/>
                <w:color w:val="auto"/>
                <w:sz w:val="28"/>
                <w:szCs w:val="28"/>
                <w:highlight w:val="none"/>
              </w:rPr>
            </w:pPr>
          </w:p>
        </w:tc>
      </w:tr>
    </w:tbl>
    <w:p>
      <w:pPr>
        <w:snapToGrid w:val="0"/>
        <w:rPr>
          <w:rFonts w:ascii="宋体" w:hAnsi="宋体"/>
          <w:b/>
          <w:color w:val="auto"/>
          <w:szCs w:val="21"/>
          <w:highlight w:val="none"/>
        </w:rPr>
      </w:pPr>
      <w:r>
        <w:rPr>
          <w:rFonts w:hint="eastAsia" w:ascii="宋体" w:hAnsi="宋体"/>
          <w:b/>
          <w:color w:val="auto"/>
          <w:szCs w:val="21"/>
          <w:highlight w:val="none"/>
        </w:rPr>
        <w:t>备注：</w:t>
      </w:r>
    </w:p>
    <w:p>
      <w:pPr>
        <w:snapToGrid w:val="0"/>
        <w:ind w:firstLine="411" w:firstLineChars="196"/>
        <w:rPr>
          <w:rFonts w:ascii="宋体" w:hAnsi="宋体"/>
          <w:color w:val="auto"/>
          <w:szCs w:val="21"/>
          <w:highlight w:val="none"/>
        </w:rPr>
      </w:pPr>
      <w:r>
        <w:rPr>
          <w:rFonts w:hint="eastAsia" w:ascii="宋体" w:hAnsi="宋体"/>
          <w:color w:val="auto"/>
          <w:szCs w:val="21"/>
          <w:highlight w:val="none"/>
        </w:rPr>
        <w:t>1.本表应与采购书中相关条款内容一致的。</w:t>
      </w:r>
    </w:p>
    <w:p>
      <w:pPr>
        <w:snapToGrid w:val="0"/>
        <w:ind w:firstLine="411" w:firstLineChars="196"/>
        <w:rPr>
          <w:rFonts w:ascii="宋体" w:hAnsi="宋体"/>
          <w:color w:val="auto"/>
          <w:szCs w:val="21"/>
          <w:highlight w:val="none"/>
        </w:rPr>
      </w:pPr>
      <w:r>
        <w:rPr>
          <w:rFonts w:hint="eastAsia" w:ascii="宋体" w:hAnsi="宋体"/>
          <w:color w:val="auto"/>
          <w:szCs w:val="21"/>
          <w:highlight w:val="none"/>
        </w:rPr>
        <w:t>2.每一项符合的打“〇”，不符合的打“×”。打“×”的，请说明理由。</w:t>
      </w:r>
    </w:p>
    <w:p>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3.“结论”一栏填写“通过”、“不通过”；任何一项出现“×”的，结论均为不通过；不通过的，为无效报价。</w:t>
      </w:r>
    </w:p>
    <w:p>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4.如“结论”意见不统一时，采用少数服从多数的原则确定评审结果，相关情况记录在评审报告中。</w:t>
      </w:r>
    </w:p>
    <w:p>
      <w:pPr>
        <w:rPr>
          <w:rFonts w:ascii="宋体" w:hAnsi="宋体"/>
          <w:b/>
          <w:bCs/>
          <w:color w:val="auto"/>
          <w:sz w:val="28"/>
          <w:szCs w:val="28"/>
          <w:highlight w:val="none"/>
        </w:rPr>
      </w:pPr>
      <w:r>
        <w:rPr>
          <w:rFonts w:hint="eastAsia" w:ascii="宋体" w:hAnsi="宋体"/>
          <w:b/>
          <w:bCs/>
          <w:color w:val="auto"/>
          <w:sz w:val="28"/>
          <w:szCs w:val="28"/>
          <w:highlight w:val="none"/>
        </w:rPr>
        <w:br w:type="page"/>
      </w:r>
    </w:p>
    <w:p>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附表2：</w:t>
      </w:r>
    </w:p>
    <w:p>
      <w:pPr>
        <w:spacing w:line="560" w:lineRule="exact"/>
        <w:ind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详细评审表（评分因素仅做参考，采购单位根据实际情况编制）</w:t>
      </w:r>
    </w:p>
    <w:tbl>
      <w:tblPr>
        <w:tblStyle w:val="28"/>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auto"/>
                <w:sz w:val="28"/>
                <w:szCs w:val="28"/>
                <w:highlight w:val="none"/>
              </w:rPr>
            </w:pPr>
            <w:r>
              <w:rPr>
                <w:b/>
                <w:color w:val="auto"/>
                <w:sz w:val="28"/>
                <w:szCs w:val="28"/>
                <w:highlight w:val="none"/>
              </w:rPr>
              <w:t>评审因素</w:t>
            </w:r>
          </w:p>
        </w:tc>
        <w:tc>
          <w:tcPr>
            <w:tcW w:w="1080" w:type="dxa"/>
            <w:noWrap/>
            <w:vAlign w:val="center"/>
          </w:tcPr>
          <w:p>
            <w:pPr>
              <w:jc w:val="center"/>
              <w:rPr>
                <w:b/>
                <w:color w:val="auto"/>
                <w:sz w:val="28"/>
                <w:szCs w:val="28"/>
                <w:highlight w:val="none"/>
              </w:rPr>
            </w:pPr>
            <w:r>
              <w:rPr>
                <w:rFonts w:hint="eastAsia"/>
                <w:b/>
                <w:color w:val="auto"/>
                <w:sz w:val="28"/>
                <w:szCs w:val="28"/>
                <w:highlight w:val="none"/>
              </w:rPr>
              <w:t>权重</w:t>
            </w:r>
          </w:p>
        </w:tc>
        <w:tc>
          <w:tcPr>
            <w:tcW w:w="5400" w:type="dxa"/>
            <w:noWrap/>
            <w:vAlign w:val="center"/>
          </w:tcPr>
          <w:p>
            <w:pPr>
              <w:jc w:val="center"/>
              <w:rPr>
                <w:b/>
                <w:color w:val="auto"/>
                <w:sz w:val="28"/>
                <w:szCs w:val="28"/>
                <w:highlight w:val="none"/>
              </w:rPr>
            </w:pPr>
            <w:r>
              <w:rPr>
                <w:b/>
                <w:color w:val="auto"/>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auto"/>
                <w:highlight w:val="none"/>
              </w:rPr>
            </w:pPr>
            <w:r>
              <w:rPr>
                <w:rFonts w:hint="eastAsia"/>
                <w:color w:val="auto"/>
                <w:highlight w:val="none"/>
              </w:rPr>
              <w:t>报价</w:t>
            </w:r>
          </w:p>
          <w:p>
            <w:pPr>
              <w:jc w:val="center"/>
              <w:rPr>
                <w:color w:val="auto"/>
                <w:highlight w:val="none"/>
              </w:rPr>
            </w:pPr>
            <w:r>
              <w:rPr>
                <w:rFonts w:hint="eastAsia"/>
                <w:color w:val="auto"/>
                <w:highlight w:val="none"/>
              </w:rPr>
              <w:t>（采用低价优先法）</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5400" w:type="dxa"/>
            <w:noWrap/>
            <w:vAlign w:val="center"/>
          </w:tcPr>
          <w:p>
            <w:pPr>
              <w:ind w:left="-2" w:leftChars="-1"/>
              <w:rPr>
                <w:rFonts w:hint="eastAsia"/>
                <w:color w:val="auto"/>
                <w:sz w:val="24"/>
                <w:highlight w:val="none"/>
              </w:rPr>
            </w:pPr>
            <w:r>
              <w:rPr>
                <w:rFonts w:hint="eastAsia"/>
                <w:color w:val="auto"/>
                <w:sz w:val="24"/>
                <w:highlight w:val="none"/>
              </w:rPr>
              <w:t>1、价格评审满分为10分，为客观计算得分。</w:t>
            </w:r>
          </w:p>
          <w:p>
            <w:pPr>
              <w:ind w:left="-2" w:leftChars="-1"/>
              <w:rPr>
                <w:rFonts w:hint="eastAsia"/>
                <w:color w:val="auto"/>
                <w:sz w:val="24"/>
                <w:highlight w:val="none"/>
              </w:rPr>
            </w:pPr>
            <w:r>
              <w:rPr>
                <w:rFonts w:hint="eastAsia"/>
                <w:color w:val="auto"/>
                <w:sz w:val="24"/>
                <w:highlight w:val="none"/>
              </w:rPr>
              <w:t>2、以所有通过资格性与符合性审查的投标人的投标报价作为评审的依据，投标人价格得分评分方法如下：</w:t>
            </w:r>
          </w:p>
          <w:p>
            <w:pPr>
              <w:ind w:left="-2" w:leftChars="-1"/>
              <w:rPr>
                <w:rFonts w:hint="eastAsia"/>
                <w:color w:val="auto"/>
                <w:sz w:val="24"/>
                <w:highlight w:val="none"/>
              </w:rPr>
            </w:pPr>
            <w:r>
              <w:rPr>
                <w:rFonts w:hint="eastAsia"/>
                <w:color w:val="auto"/>
                <w:sz w:val="24"/>
                <w:highlight w:val="none"/>
              </w:rPr>
              <w:t>评标基准价＝实质性满足招标文件要求且投标价格最低的投标报价；</w:t>
            </w:r>
          </w:p>
          <w:p>
            <w:pPr>
              <w:ind w:left="-2" w:leftChars="-1"/>
              <w:rPr>
                <w:color w:val="auto"/>
                <w:highlight w:val="none"/>
              </w:rPr>
            </w:pPr>
            <w:r>
              <w:rPr>
                <w:rFonts w:hint="eastAsia"/>
                <w:color w:val="auto"/>
                <w:sz w:val="24"/>
                <w:highlight w:val="none"/>
              </w:rPr>
              <w:t>价格得分＝（基准价÷评审价）×10。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auto"/>
                <w:highlight w:val="none"/>
              </w:rPr>
            </w:pPr>
            <w:r>
              <w:rPr>
                <w:color w:val="auto"/>
                <w:highlight w:val="none"/>
              </w:rPr>
              <w:t>技术</w:t>
            </w:r>
            <w:r>
              <w:rPr>
                <w:rFonts w:hint="eastAsia"/>
                <w:color w:val="auto"/>
                <w:highlight w:val="none"/>
              </w:rPr>
              <w:t>因素</w:t>
            </w:r>
          </w:p>
        </w:tc>
        <w:tc>
          <w:tcPr>
            <w:tcW w:w="1980" w:type="dxa"/>
            <w:noWrap/>
            <w:vAlign w:val="center"/>
          </w:tcPr>
          <w:p>
            <w:pPr>
              <w:jc w:val="center"/>
              <w:rPr>
                <w:rFonts w:hint="eastAsia" w:eastAsia="宋体"/>
                <w:color w:val="auto"/>
                <w:highlight w:val="none"/>
                <w:lang w:eastAsia="zh-CN"/>
              </w:rPr>
            </w:pPr>
            <w:r>
              <w:rPr>
                <w:rFonts w:hint="eastAsia" w:ascii="宋体" w:hAnsi="宋体" w:cs="宋体"/>
                <w:color w:val="auto"/>
                <w:sz w:val="24"/>
                <w:highlight w:val="none"/>
              </w:rPr>
              <w:t>重要技术参数响应情况</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11</w:t>
            </w:r>
          </w:p>
        </w:tc>
        <w:tc>
          <w:tcPr>
            <w:tcW w:w="5400" w:type="dxa"/>
            <w:noWrap/>
            <w:vAlign w:val="center"/>
          </w:tcPr>
          <w:p>
            <w:pPr>
              <w:widowControl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技术指标中用★标注项为实质性要求及重要技术指标，标★项不得负偏离，如果负偏离，则视为未实质满足招标文件，投标文件无效。</w:t>
            </w:r>
          </w:p>
          <w:p>
            <w:pPr>
              <w:rPr>
                <w:color w:val="auto"/>
                <w:szCs w:val="21"/>
                <w:highlight w:val="none"/>
              </w:rPr>
            </w:pPr>
            <w:r>
              <w:rPr>
                <w:rFonts w:hint="eastAsia" w:ascii="仿宋" w:hAnsi="仿宋" w:eastAsia="仿宋" w:cs="仿宋"/>
                <w:color w:val="auto"/>
                <w:kern w:val="0"/>
                <w:szCs w:val="21"/>
                <w:highlight w:val="none"/>
              </w:rPr>
              <w:t>技术指标中用</w:t>
            </w:r>
            <w:r>
              <w:rPr>
                <w:rFonts w:hint="eastAsia" w:ascii="宋体" w:hAnsi="宋体" w:eastAsia="宋体" w:cs="宋体"/>
                <w:color w:val="auto"/>
                <w:sz w:val="21"/>
                <w:szCs w:val="21"/>
                <w:highlight w:val="none"/>
              </w:rPr>
              <w:t>▲</w:t>
            </w:r>
            <w:r>
              <w:rPr>
                <w:rFonts w:hint="eastAsia" w:ascii="仿宋" w:hAnsi="仿宋" w:eastAsia="仿宋" w:cs="仿宋"/>
                <w:color w:val="auto"/>
                <w:kern w:val="0"/>
                <w:szCs w:val="21"/>
                <w:highlight w:val="none"/>
              </w:rPr>
              <w:t>标注项为</w:t>
            </w:r>
            <w:r>
              <w:rPr>
                <w:rFonts w:hint="eastAsia" w:ascii="仿宋" w:hAnsi="仿宋" w:eastAsia="仿宋" w:cs="仿宋"/>
                <w:color w:val="auto"/>
                <w:kern w:val="0"/>
                <w:szCs w:val="21"/>
                <w:highlight w:val="none"/>
                <w:lang w:val="en-US" w:eastAsia="zh-CN"/>
              </w:rPr>
              <w:t>重要技术指标，完全满足用户需求书中带</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的重要参数，得分</w:t>
            </w:r>
            <w:r>
              <w:rPr>
                <w:rFonts w:hint="eastAsia" w:ascii="仿宋" w:hAnsi="仿宋" w:eastAsia="仿宋" w:cs="仿宋"/>
                <w:color w:val="auto"/>
                <w:kern w:val="0"/>
                <w:szCs w:val="21"/>
                <w:highlight w:val="none"/>
                <w:lang w:val="en-US" w:eastAsia="zh-CN"/>
              </w:rPr>
              <w:t>11分，</w:t>
            </w:r>
            <w:r>
              <w:rPr>
                <w:rFonts w:hint="eastAsia" w:ascii="仿宋" w:hAnsi="仿宋" w:eastAsia="仿宋" w:cs="仿宋"/>
                <w:color w:val="auto"/>
                <w:kern w:val="0"/>
                <w:szCs w:val="21"/>
                <w:highlight w:val="none"/>
              </w:rPr>
              <w:t>有一项负偏离扣</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非★标注项为普通技术指标，有一项负偏离扣0.25分，最多扣至0分。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szCs w:val="21"/>
                <w:highlight w:val="none"/>
              </w:rPr>
              <w:t>项目管理设计方案</w:t>
            </w:r>
          </w:p>
        </w:tc>
        <w:tc>
          <w:tcPr>
            <w:tcW w:w="1080" w:type="dxa"/>
            <w:noWrap/>
            <w:vAlign w:val="center"/>
          </w:tcPr>
          <w:p>
            <w:pPr>
              <w:jc w:val="center"/>
              <w:rPr>
                <w:rFonts w:hint="eastAsia" w:eastAsia="宋体"/>
                <w:color w:val="auto"/>
                <w:highlight w:val="none"/>
                <w:lang w:eastAsia="zh-CN"/>
              </w:rPr>
            </w:pPr>
            <w:r>
              <w:rPr>
                <w:rFonts w:hint="eastAsia"/>
                <w:color w:val="auto"/>
                <w:highlight w:val="none"/>
                <w:lang w:val="en-US" w:eastAsia="zh-CN"/>
              </w:rPr>
              <w:t>8</w:t>
            </w:r>
          </w:p>
        </w:tc>
        <w:tc>
          <w:tcPr>
            <w:tcW w:w="5400" w:type="dxa"/>
            <w:noWrap/>
            <w:vAlign w:val="center"/>
          </w:tcPr>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项目管理设计方案包括但不限于管理设计理解、设计思路、各环节的把控手段等</w:t>
            </w:r>
            <w:r>
              <w:rPr>
                <w:rFonts w:hint="eastAsia" w:ascii="仿宋" w:hAnsi="仿宋" w:eastAsia="仿宋" w:cs="仿宋"/>
                <w:bCs/>
                <w:color w:val="auto"/>
                <w:kern w:val="0"/>
                <w:szCs w:val="21"/>
                <w:highlight w:val="none"/>
              </w:rPr>
              <w:t>内容</w:t>
            </w:r>
            <w:r>
              <w:rPr>
                <w:rFonts w:hint="eastAsia" w:ascii="仿宋" w:hAnsi="仿宋" w:eastAsia="仿宋" w:cs="仿宋"/>
                <w:color w:val="auto"/>
                <w:szCs w:val="21"/>
                <w:highlight w:val="none"/>
              </w:rPr>
              <w:t>，进行综合评分：</w:t>
            </w:r>
          </w:p>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具有明确的对管理设计的理解且清晰准确的，得2分；</w:t>
            </w:r>
          </w:p>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具有明确的设计思路且合理可行的，得2分；</w:t>
            </w:r>
          </w:p>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具有明确的各环节的把控手段且科学详细的，得2分；</w:t>
            </w:r>
          </w:p>
          <w:p>
            <w:pPr>
              <w:pStyle w:val="10"/>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整体项目管理设计方案完整且与本项目服务需求相</w:t>
            </w:r>
            <w:r>
              <w:rPr>
                <w:rFonts w:hint="eastAsia" w:ascii="仿宋" w:hAnsi="仿宋" w:eastAsia="仿宋" w:cs="仿宋"/>
                <w:color w:val="auto"/>
                <w:kern w:val="0"/>
                <w:szCs w:val="21"/>
                <w:highlight w:val="none"/>
              </w:rPr>
              <w:t>匹配</w:t>
            </w:r>
            <w:r>
              <w:rPr>
                <w:rFonts w:hint="eastAsia" w:ascii="仿宋" w:hAnsi="仿宋" w:eastAsia="仿宋" w:cs="仿宋"/>
                <w:color w:val="auto"/>
                <w:szCs w:val="21"/>
                <w:highlight w:val="none"/>
              </w:rPr>
              <w:t>的，得2分；</w:t>
            </w:r>
          </w:p>
          <w:p>
            <w:pPr>
              <w:rPr>
                <w:color w:val="auto"/>
                <w:szCs w:val="21"/>
                <w:highlight w:val="none"/>
              </w:rPr>
            </w:pPr>
            <w:r>
              <w:rPr>
                <w:rFonts w:hint="eastAsia" w:ascii="仿宋" w:hAnsi="仿宋" w:eastAsia="仿宋" w:cs="仿宋"/>
                <w:color w:val="auto"/>
                <w:kern w:val="0"/>
                <w:szCs w:val="21"/>
                <w:highlight w:val="none"/>
              </w:rPr>
              <w:t>其他不得分</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项目组织实施方案</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8</w:t>
            </w:r>
          </w:p>
        </w:tc>
        <w:tc>
          <w:tcPr>
            <w:tcW w:w="5400" w:type="dxa"/>
            <w:noWrap/>
            <w:vAlign w:val="center"/>
          </w:tcPr>
          <w:p>
            <w:pPr>
              <w:adjustRightInd w:val="0"/>
              <w:snapToGrid w:val="0"/>
              <w:ind w:firstLine="420" w:firstLineChars="200"/>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项目组织实施方案包括但不限于工作时间进度表（工作程序、步骤、管理）、协调方法、关键步骤的思路和要点等</w:t>
            </w:r>
            <w:r>
              <w:rPr>
                <w:rFonts w:hint="eastAsia" w:ascii="仿宋" w:hAnsi="仿宋" w:eastAsia="仿宋" w:cs="仿宋"/>
                <w:bCs/>
                <w:color w:val="auto"/>
                <w:kern w:val="0"/>
                <w:szCs w:val="21"/>
                <w:highlight w:val="none"/>
              </w:rPr>
              <w:t>内容</w:t>
            </w:r>
            <w:r>
              <w:rPr>
                <w:rFonts w:hint="eastAsia" w:ascii="仿宋" w:hAnsi="仿宋" w:eastAsia="仿宋" w:cs="仿宋"/>
                <w:color w:val="auto"/>
                <w:kern w:val="0"/>
                <w:szCs w:val="21"/>
                <w:highlight w:val="none"/>
              </w:rPr>
              <w:t>，进行综合评分：</w:t>
            </w:r>
          </w:p>
          <w:p>
            <w:pPr>
              <w:adjustRightInd w:val="0"/>
              <w:snapToGrid w:val="0"/>
              <w:ind w:firstLine="420" w:firstLineChars="200"/>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具有明确的工作时间进度表包括但不限于工作程序、步骤、管理等方面，以上流程完整可行的，得2分；</w:t>
            </w:r>
          </w:p>
          <w:p>
            <w:pPr>
              <w:adjustRightInd w:val="0"/>
              <w:snapToGrid w:val="0"/>
              <w:ind w:firstLine="420" w:firstLineChars="200"/>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具有明确的协调方法且科学完整的，得2分；</w:t>
            </w:r>
          </w:p>
          <w:p>
            <w:pPr>
              <w:adjustRightInd w:val="0"/>
              <w:snapToGrid w:val="0"/>
              <w:ind w:firstLine="420" w:firstLineChars="200"/>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具有明确的关键步骤且思路和要点清晰合理的，得2分；</w:t>
            </w:r>
          </w:p>
          <w:p>
            <w:pPr>
              <w:adjustRightInd w:val="0"/>
              <w:snapToGrid w:val="0"/>
              <w:ind w:firstLine="420" w:firstLineChars="200"/>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整体项目组织实施方案科学详细且与本项目服务需求</w:t>
            </w:r>
            <w:r>
              <w:rPr>
                <w:rFonts w:hint="eastAsia" w:ascii="仿宋" w:hAnsi="仿宋" w:eastAsia="仿宋" w:cs="仿宋"/>
                <w:color w:val="auto"/>
                <w:szCs w:val="21"/>
                <w:highlight w:val="none"/>
              </w:rPr>
              <w:t>相</w:t>
            </w:r>
            <w:r>
              <w:rPr>
                <w:rFonts w:hint="eastAsia" w:ascii="仿宋" w:hAnsi="仿宋" w:eastAsia="仿宋" w:cs="仿宋"/>
                <w:color w:val="auto"/>
                <w:kern w:val="0"/>
                <w:szCs w:val="21"/>
                <w:highlight w:val="none"/>
              </w:rPr>
              <w:t>匹配</w:t>
            </w:r>
            <w:r>
              <w:rPr>
                <w:rFonts w:hint="eastAsia" w:ascii="仿宋" w:hAnsi="仿宋" w:eastAsia="仿宋" w:cs="仿宋"/>
                <w:color w:val="auto"/>
                <w:szCs w:val="21"/>
                <w:highlight w:val="none"/>
              </w:rPr>
              <w:t>的</w:t>
            </w:r>
            <w:r>
              <w:rPr>
                <w:rFonts w:hint="eastAsia" w:ascii="仿宋" w:hAnsi="仿宋" w:eastAsia="仿宋" w:cs="仿宋"/>
                <w:color w:val="auto"/>
                <w:kern w:val="0"/>
                <w:szCs w:val="21"/>
                <w:highlight w:val="none"/>
              </w:rPr>
              <w:t>，得2分；</w:t>
            </w:r>
          </w:p>
          <w:p>
            <w:pP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szCs w:val="21"/>
                <w:highlight w:val="none"/>
              </w:rPr>
              <w:t>拍摄模式</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4</w:t>
            </w:r>
          </w:p>
        </w:tc>
        <w:tc>
          <w:tcPr>
            <w:tcW w:w="5400" w:type="dxa"/>
            <w:noWrap/>
            <w:vAlign w:val="center"/>
          </w:tcPr>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根据课程性质，课程顾问团队与教师一起确定课程最合理拍摄方式。</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1.提供</w:t>
            </w:r>
            <w:r>
              <w:rPr>
                <w:rFonts w:hint="eastAsia" w:ascii="仿宋" w:hAnsi="仿宋" w:eastAsia="仿宋" w:cs="仿宋"/>
                <w:color w:val="auto"/>
                <w:kern w:val="0"/>
                <w:szCs w:val="21"/>
                <w:highlight w:val="none"/>
                <w:lang w:val="en-US" w:eastAsia="zh-CN"/>
              </w:rPr>
              <w:t>10</w:t>
            </w:r>
            <w:r>
              <w:rPr>
                <w:rFonts w:hint="eastAsia" w:ascii="仿宋" w:hAnsi="仿宋" w:eastAsia="仿宋" w:cs="仿宋"/>
                <w:color w:val="auto"/>
                <w:kern w:val="0"/>
                <w:szCs w:val="21"/>
                <w:highlight w:val="none"/>
              </w:rPr>
              <w:t>种及以上拍摄模式，得4分；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2.提供</w:t>
            </w:r>
            <w:r>
              <w:rPr>
                <w:rFonts w:hint="eastAsia" w:ascii="仿宋" w:hAnsi="仿宋" w:eastAsia="仿宋" w:cs="仿宋"/>
                <w:color w:val="auto"/>
                <w:kern w:val="0"/>
                <w:szCs w:val="21"/>
                <w:highlight w:val="none"/>
                <w:lang w:val="en-US" w:eastAsia="zh-CN"/>
              </w:rPr>
              <w:t>5-8</w:t>
            </w:r>
            <w:r>
              <w:rPr>
                <w:rFonts w:hint="eastAsia" w:ascii="仿宋" w:hAnsi="仿宋" w:eastAsia="仿宋" w:cs="仿宋"/>
                <w:color w:val="auto"/>
                <w:kern w:val="0"/>
                <w:szCs w:val="21"/>
                <w:highlight w:val="none"/>
              </w:rPr>
              <w:t>种拍摄模式，得2分；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3.提供</w:t>
            </w:r>
            <w:r>
              <w:rPr>
                <w:rFonts w:hint="eastAsia" w:ascii="仿宋" w:hAnsi="仿宋" w:eastAsia="仿宋" w:cs="仿宋"/>
                <w:color w:val="auto"/>
                <w:kern w:val="0"/>
                <w:szCs w:val="21"/>
                <w:highlight w:val="none"/>
                <w:lang w:val="en-US" w:eastAsia="zh-CN"/>
              </w:rPr>
              <w:t>3-5</w:t>
            </w:r>
            <w:r>
              <w:rPr>
                <w:rFonts w:hint="eastAsia" w:ascii="仿宋" w:hAnsi="仿宋" w:eastAsia="仿宋" w:cs="仿宋"/>
                <w:color w:val="auto"/>
                <w:kern w:val="0"/>
                <w:szCs w:val="21"/>
                <w:highlight w:val="none"/>
              </w:rPr>
              <w:t>种拍摄模式，得1分；</w:t>
            </w:r>
          </w:p>
          <w:p>
            <w:pPr>
              <w:rPr>
                <w:color w:val="auto"/>
                <w:szCs w:val="21"/>
                <w:highlight w:val="none"/>
              </w:rPr>
            </w:pPr>
            <w:r>
              <w:rPr>
                <w:rFonts w:hint="eastAsia" w:ascii="仿宋" w:hAnsi="仿宋" w:eastAsia="仿宋" w:cs="仿宋"/>
                <w:color w:val="auto"/>
                <w:kern w:val="0"/>
                <w:szCs w:val="21"/>
                <w:highlight w:val="none"/>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课程自助服务功能</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3</w:t>
            </w:r>
          </w:p>
        </w:tc>
        <w:tc>
          <w:tcPr>
            <w:tcW w:w="5400" w:type="dxa"/>
            <w:noWrap/>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课程运行平台企业提供具备课程建设自助服务功能的教师端app、具有自助学习功能学生端app和具有自助选课功能的管理端app的苹果和安卓APP手机端的软件，并提供相关软件著作权登记证书。每提供一个相关app软件著作权登记证书得1.5分，最多得 </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混合</w:t>
            </w:r>
            <w:r>
              <w:rPr>
                <w:rFonts w:hint="eastAsia" w:ascii="仿宋" w:hAnsi="仿宋" w:eastAsia="仿宋" w:cs="仿宋"/>
                <w:color w:val="auto"/>
                <w:kern w:val="0"/>
                <w:szCs w:val="21"/>
                <w:highlight w:val="none"/>
                <w:lang w:val="en-US" w:eastAsia="zh-CN"/>
              </w:rPr>
              <w:t>式</w:t>
            </w:r>
            <w:r>
              <w:rPr>
                <w:rFonts w:hint="eastAsia" w:ascii="仿宋" w:hAnsi="仿宋" w:eastAsia="仿宋" w:cs="仿宋"/>
                <w:color w:val="auto"/>
                <w:kern w:val="0"/>
                <w:szCs w:val="21"/>
                <w:highlight w:val="none"/>
              </w:rPr>
              <w:t>课</w:t>
            </w:r>
            <w:r>
              <w:rPr>
                <w:rFonts w:hint="eastAsia" w:ascii="仿宋" w:hAnsi="仿宋" w:eastAsia="仿宋" w:cs="仿宋"/>
                <w:color w:val="auto"/>
                <w:kern w:val="0"/>
                <w:szCs w:val="21"/>
                <w:highlight w:val="none"/>
                <w:lang w:val="en-US" w:eastAsia="zh-CN"/>
              </w:rPr>
              <w:t>程</w:t>
            </w:r>
            <w:r>
              <w:rPr>
                <w:rFonts w:hint="eastAsia" w:ascii="仿宋" w:hAnsi="仿宋" w:eastAsia="仿宋" w:cs="仿宋"/>
                <w:color w:val="auto"/>
                <w:kern w:val="0"/>
                <w:szCs w:val="21"/>
                <w:highlight w:val="none"/>
              </w:rPr>
              <w:t>设计能力</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2</w:t>
            </w:r>
          </w:p>
        </w:tc>
        <w:tc>
          <w:tcPr>
            <w:tcW w:w="5400" w:type="dxa"/>
            <w:noWrap/>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提供混合式课程设计方案且方案内容合理可行，得</w:t>
            </w:r>
            <w:r>
              <w:rPr>
                <w:rFonts w:hint="default" w:ascii="仿宋" w:hAnsi="仿宋" w:eastAsia="仿宋" w:cs="仿宋"/>
                <w:color w:val="auto"/>
                <w:szCs w:val="21"/>
                <w:highlight w:val="none"/>
                <w:lang w:val="en-US"/>
              </w:rPr>
              <w:t>2</w:t>
            </w:r>
            <w:r>
              <w:rPr>
                <w:rFonts w:hint="eastAsia" w:ascii="仿宋" w:hAnsi="仿宋" w:eastAsia="仿宋" w:cs="仿宋"/>
                <w:color w:val="auto"/>
                <w:szCs w:val="21"/>
                <w:highlight w:val="none"/>
              </w:rPr>
              <w:t>分；仅提供了方案但方案部分内容不可行得1分；不提供得0分。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演示评价</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9</w:t>
            </w:r>
          </w:p>
        </w:tc>
        <w:tc>
          <w:tcPr>
            <w:tcW w:w="5400" w:type="dxa"/>
            <w:noWrap/>
            <w:vAlign w:val="center"/>
          </w:tcPr>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演示内容</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1）供方提供已经拍摄完成的在线课程视频样片进行演示。</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2）供方提供课程的包装设计展示，包括：课程片头、封面、单分屏、双分屏、全屏、小头像模式等（图片方式）。</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3）供方对免费提供的网络教学平台功能演示，包括：课程运行学期、选课人次、选课学校、互动数据、概要设计、教学团队、在线教程、考核方法等。</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演示评分</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1）视频整体制作水平优秀，在线课程视频提供6种以上拍摄模式；提供5门以上课程包装设计，充分体现课程特色和课程元素，传播力及感染力强得</w:t>
            </w: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分；</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2）视频整体制作水平良好，在线课程视频提供5种以上拍摄模式；提供4门以上课程包装设计，较好体现课程特色和课程元素，传播力及感染力较强，得</w:t>
            </w:r>
            <w:r>
              <w:rPr>
                <w:rFonts w:hint="default"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分；</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3）视频整体制作水平一般，在线课程视频提供3种以上拍摄模式； 提供3门以上课程包装设计,课程特色和课程元素一般，传播力及感染力一般；平台功能、界面、操作一般；手机端功能一般，界面一般，操作一般，得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w:t>
            </w:r>
          </w:p>
          <w:p>
            <w:pPr>
              <w:rPr>
                <w:rFonts w:hint="default" w:ascii="仿宋" w:hAnsi="仿宋" w:eastAsia="宋体" w:cs="仿宋"/>
                <w:color w:val="auto"/>
                <w:szCs w:val="21"/>
                <w:highlight w:val="none"/>
                <w:lang w:val="en-US" w:eastAsia="zh-CN"/>
              </w:rPr>
            </w:pPr>
            <w:r>
              <w:rPr>
                <w:rFonts w:hint="eastAsia" w:ascii="仿宋" w:hAnsi="仿宋" w:eastAsia="仿宋" w:cs="仿宋"/>
                <w:color w:val="auto"/>
                <w:kern w:val="0"/>
                <w:szCs w:val="21"/>
                <w:highlight w:val="none"/>
              </w:rPr>
              <w:t>上述演示提供演示视频，未提供演示视频不得分。</w:t>
            </w:r>
            <w:r>
              <w:rPr>
                <w:rFonts w:hint="eastAsia"/>
                <w:lang w:eastAsia="zh-CN"/>
              </w:rPr>
              <w:t>（</w:t>
            </w:r>
            <w:r>
              <w:rPr>
                <w:rFonts w:hint="eastAsia"/>
                <w:lang w:val="en-US" w:eastAsia="zh-CN"/>
              </w:rPr>
              <w:t>供应商需要自己自带电脑）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5</w:t>
            </w:r>
          </w:p>
        </w:tc>
        <w:tc>
          <w:tcPr>
            <w:tcW w:w="5400" w:type="dxa"/>
            <w:noWrap/>
            <w:vAlign w:val="center"/>
          </w:tcPr>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售后服务方案包括但不限于售后服务体系、技术咨询路径、售后服务人员等内容，进行综合评分：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具有明确的售后服务体系且科学完整的，得1分；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具有明确的技术咨询路径且合理可行的，得1分；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为本项目配有售后服务人员且科学合理的，得1分；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整体售后服务方案完整且与本项目服务需求相匹配的，得2分；</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jc w:val="center"/>
              <w:rPr>
                <w:color w:val="auto"/>
                <w:highlight w:val="none"/>
              </w:rPr>
            </w:pPr>
            <w:r>
              <w:rPr>
                <w:rFonts w:hint="eastAsia"/>
                <w:color w:val="auto"/>
                <w:highlight w:val="none"/>
              </w:rPr>
              <w:t>商务因素</w:t>
            </w:r>
          </w:p>
        </w:tc>
        <w:tc>
          <w:tcPr>
            <w:tcW w:w="1980" w:type="dxa"/>
            <w:noWrap/>
            <w:vAlign w:val="center"/>
          </w:tcPr>
          <w:p>
            <w:pPr>
              <w:jc w:val="center"/>
              <w:rPr>
                <w:color w:val="auto"/>
                <w:highlight w:val="none"/>
              </w:rPr>
            </w:pPr>
            <w:r>
              <w:rPr>
                <w:rFonts w:hint="eastAsia" w:ascii="仿宋" w:hAnsi="仿宋" w:eastAsia="仿宋" w:cs="仿宋"/>
                <w:color w:val="auto"/>
                <w:kern w:val="0"/>
                <w:szCs w:val="21"/>
                <w:highlight w:val="none"/>
              </w:rPr>
              <w:t>课程发布平台</w:t>
            </w:r>
          </w:p>
        </w:tc>
        <w:tc>
          <w:tcPr>
            <w:tcW w:w="1080" w:type="dxa"/>
            <w:noWrap/>
            <w:vAlign w:val="center"/>
          </w:tcPr>
          <w:p>
            <w:pPr>
              <w:jc w:val="center"/>
              <w:rPr>
                <w:rFonts w:hint="eastAsia" w:eastAsia="宋体"/>
                <w:color w:val="auto"/>
                <w:highlight w:val="none"/>
                <w:lang w:eastAsia="zh-CN"/>
              </w:rPr>
            </w:pPr>
            <w:r>
              <w:rPr>
                <w:rFonts w:hint="eastAsia"/>
                <w:color w:val="auto"/>
                <w:highlight w:val="none"/>
                <w:lang w:val="en-US" w:eastAsia="zh-CN"/>
              </w:rPr>
              <w:t>1</w:t>
            </w:r>
          </w:p>
        </w:tc>
        <w:tc>
          <w:tcPr>
            <w:tcW w:w="5400" w:type="dxa"/>
            <w:noWrap/>
            <w:vAlign w:val="center"/>
          </w:tcPr>
          <w:p>
            <w:pPr>
              <w:rPr>
                <w:color w:val="auto"/>
                <w:szCs w:val="21"/>
                <w:highlight w:val="none"/>
              </w:rPr>
            </w:pPr>
            <w:r>
              <w:rPr>
                <w:rFonts w:hint="eastAsia" w:ascii="仿宋" w:hAnsi="仿宋" w:eastAsia="仿宋" w:cs="仿宋"/>
                <w:color w:val="auto"/>
                <w:kern w:val="0"/>
                <w:szCs w:val="21"/>
                <w:highlight w:val="none"/>
              </w:rPr>
              <w:t>提供慕课发布平台截图</w:t>
            </w:r>
            <w:r>
              <w:rPr>
                <w:rFonts w:hint="default" w:ascii="仿宋" w:hAnsi="仿宋" w:eastAsia="仿宋" w:cs="仿宋"/>
                <w:color w:val="auto"/>
                <w:kern w:val="0"/>
                <w:szCs w:val="21"/>
                <w:highlight w:val="none"/>
                <w:lang w:val="en-US"/>
              </w:rPr>
              <w:t>和相关计算机软件著作权登记证书</w:t>
            </w:r>
            <w:r>
              <w:rPr>
                <w:rFonts w:hint="eastAsia" w:ascii="仿宋" w:hAnsi="仿宋" w:eastAsia="仿宋" w:cs="仿宋"/>
                <w:color w:val="auto"/>
                <w:kern w:val="0"/>
                <w:szCs w:val="21"/>
                <w:highlight w:val="none"/>
              </w:rPr>
              <w:t>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szCs w:val="21"/>
                <w:highlight w:val="none"/>
              </w:rPr>
              <w:t>制作国家精品在线开放课实力</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15</w:t>
            </w:r>
          </w:p>
        </w:tc>
        <w:tc>
          <w:tcPr>
            <w:tcW w:w="5400" w:type="dxa"/>
            <w:noWrap/>
            <w:vAlign w:val="center"/>
          </w:tcPr>
          <w:p>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投标人所提供的课程平台，是教育部国家精品在线开放课程的主要申报平台之一</w:t>
            </w:r>
            <w:r>
              <w:rPr>
                <w:rFonts w:hint="eastAsia" w:ascii="仿宋" w:hAnsi="仿宋" w:eastAsia="仿宋" w:cs="仿宋"/>
                <w:color w:val="auto"/>
                <w:kern w:val="0"/>
                <w:sz w:val="21"/>
                <w:szCs w:val="21"/>
                <w:highlight w:val="none"/>
                <w:lang w:eastAsia="zh-CN"/>
              </w:rPr>
              <w:t>，历年来，通过该平台申报并评上</w:t>
            </w:r>
            <w:r>
              <w:rPr>
                <w:rFonts w:hint="eastAsia" w:ascii="仿宋" w:hAnsi="仿宋" w:eastAsia="仿宋" w:cs="仿宋"/>
                <w:color w:val="auto"/>
                <w:kern w:val="0"/>
                <w:sz w:val="21"/>
                <w:szCs w:val="21"/>
                <w:highlight w:val="none"/>
              </w:rPr>
              <w:t>国家级线上一流本科课程（含2017年、2018年国家精品在线开放课程）认定情况：</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按认定课程的数量进行打分，</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00门及以上得15分， 350-399门得12分， 300-349门得9分， 250-299门得6分， 200-249门得3分，200门及以下不得分。</w:t>
            </w:r>
          </w:p>
          <w:p>
            <w:pPr>
              <w:rPr>
                <w:color w:val="auto"/>
                <w:highlight w:val="none"/>
              </w:rPr>
            </w:pPr>
            <w:r>
              <w:rPr>
                <w:rFonts w:hint="eastAsia" w:ascii="仿宋" w:hAnsi="仿宋" w:eastAsia="仿宋" w:cs="仿宋"/>
                <w:color w:val="auto"/>
                <w:kern w:val="0"/>
                <w:sz w:val="21"/>
                <w:szCs w:val="21"/>
                <w:highlight w:val="none"/>
              </w:rPr>
              <w:t>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提供符合要求的课程清单目录，同时附上教育部国家级线上一流本科课程（含2017年、2018年国家精品在线开放课程）正式发文文件（清单中对应课程需突出显示），以便核实，未提供不得分。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kern w:val="0"/>
                <w:szCs w:val="21"/>
                <w:highlight w:val="none"/>
              </w:rPr>
              <w:t>慕课制作能力</w:t>
            </w:r>
          </w:p>
        </w:tc>
        <w:tc>
          <w:tcPr>
            <w:tcW w:w="1080" w:type="dxa"/>
            <w:noWrap/>
            <w:vAlign w:val="center"/>
          </w:tcPr>
          <w:p>
            <w:pPr>
              <w:jc w:val="center"/>
              <w:rPr>
                <w:rFonts w:hint="eastAsia" w:eastAsia="宋体"/>
                <w:color w:val="auto"/>
                <w:highlight w:val="none"/>
                <w:lang w:eastAsia="zh-CN"/>
              </w:rPr>
            </w:pPr>
            <w:r>
              <w:rPr>
                <w:rFonts w:hint="eastAsia"/>
                <w:color w:val="auto"/>
                <w:highlight w:val="none"/>
                <w:lang w:val="en-US" w:eastAsia="zh-CN"/>
              </w:rPr>
              <w:t>3</w:t>
            </w:r>
          </w:p>
        </w:tc>
        <w:tc>
          <w:tcPr>
            <w:tcW w:w="5400" w:type="dxa"/>
            <w:noWrap/>
            <w:vAlign w:val="center"/>
          </w:tcPr>
          <w:p>
            <w:pPr>
              <w:rPr>
                <w:color w:val="auto"/>
                <w:highlight w:val="none"/>
              </w:rPr>
            </w:pPr>
            <w:r>
              <w:rPr>
                <w:rFonts w:hint="eastAsia" w:ascii="仿宋" w:hAnsi="仿宋" w:eastAsia="仿宋" w:cs="仿宋"/>
                <w:color w:val="auto"/>
                <w:kern w:val="0"/>
                <w:sz w:val="21"/>
                <w:szCs w:val="21"/>
                <w:highlight w:val="none"/>
              </w:rPr>
              <w:t>投标人具有视频录播系统类专利，满足得</w:t>
            </w:r>
            <w:r>
              <w:rPr>
                <w:rFonts w:hint="default"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不提供不得分［要求提供有效的产权（专利）证书等证明材料作为得分依据。以上资料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kern w:val="0"/>
                <w:szCs w:val="21"/>
                <w:highlight w:val="none"/>
              </w:rPr>
              <w:t>教育服务能力</w:t>
            </w:r>
          </w:p>
        </w:tc>
        <w:tc>
          <w:tcPr>
            <w:tcW w:w="1080" w:type="dxa"/>
            <w:noWrap/>
            <w:vAlign w:val="center"/>
          </w:tcPr>
          <w:p>
            <w:pPr>
              <w:jc w:val="center"/>
              <w:rPr>
                <w:rFonts w:hint="eastAsia" w:eastAsia="宋体"/>
                <w:color w:val="auto"/>
                <w:highlight w:val="none"/>
                <w:lang w:val="en-US" w:eastAsia="zh-CN"/>
              </w:rPr>
            </w:pPr>
            <w:r>
              <w:rPr>
                <w:rFonts w:hint="eastAsia"/>
                <w:color w:val="auto"/>
                <w:highlight w:val="none"/>
                <w:lang w:val="en-US" w:eastAsia="zh-CN"/>
              </w:rPr>
              <w:t>6</w:t>
            </w:r>
          </w:p>
        </w:tc>
        <w:tc>
          <w:tcPr>
            <w:tcW w:w="5400" w:type="dxa"/>
            <w:noWrap/>
            <w:vAlign w:val="center"/>
          </w:tcPr>
          <w:p>
            <w:pPr>
              <w:rPr>
                <w:color w:val="auto"/>
                <w:szCs w:val="21"/>
                <w:highlight w:val="none"/>
              </w:rPr>
            </w:pPr>
            <w:r>
              <w:rPr>
                <w:rFonts w:hint="eastAsia" w:ascii="仿宋" w:hAnsi="仿宋" w:eastAsia="仿宋" w:cs="仿宋"/>
                <w:color w:val="auto"/>
                <w:kern w:val="0"/>
                <w:sz w:val="21"/>
                <w:szCs w:val="21"/>
                <w:highlight w:val="none"/>
              </w:rPr>
              <w:t>投标人所提供的课程平台（具有相应的软件著作权登记证书以及软件产品证书，如：教学成果展示门户软件、教学数据中台、教学资源管理平台、课程资源库软件、在线协作集体备课平台软件、评审管理平台软件、课程思政数字展示平台软件）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分；每缺少一个软件著作权登记证书及产品证书的扣1分，扣完为止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课程运行能力</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10</w:t>
            </w:r>
          </w:p>
        </w:tc>
        <w:tc>
          <w:tcPr>
            <w:tcW w:w="5400" w:type="dxa"/>
            <w:noWrap/>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szCs w:val="21"/>
                <w:highlight w:val="none"/>
              </w:rPr>
              <w:t>课程运行平台企业</w:t>
            </w:r>
            <w:r>
              <w:rPr>
                <w:rFonts w:hint="eastAsia" w:ascii="仿宋" w:hAnsi="仿宋" w:eastAsia="仿宋" w:cs="仿宋"/>
                <w:color w:val="auto"/>
                <w:kern w:val="0"/>
                <w:szCs w:val="21"/>
                <w:highlight w:val="none"/>
              </w:rPr>
              <w:t>具备多校区直播互动共享课程直播运行能力。提供具备课程直播运行互动相关的软件，提供证书复印件并加盖供应商公章，提供一项得</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分，最多</w:t>
            </w: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分，未提供得0分；提供至少 2 次见面课采风平台和微信报道案例截图。提供截图并加盖供应商公章得2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平台可申报国家在线开放课程</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3</w:t>
            </w:r>
          </w:p>
        </w:tc>
        <w:tc>
          <w:tcPr>
            <w:tcW w:w="5400" w:type="dxa"/>
            <w:noWrap/>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投标人拥有自有或者被授权的课程发布平台是国家在线开放课程申报平台之一。提供证明材料并加盖公章，满足得3分，不满足得0分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知识产权</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2</w:t>
            </w:r>
          </w:p>
        </w:tc>
        <w:tc>
          <w:tcPr>
            <w:tcW w:w="5400" w:type="dxa"/>
            <w:noWrap/>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课程运行平台企业</w:t>
            </w:r>
            <w:r>
              <w:rPr>
                <w:rFonts w:hint="eastAsia" w:ascii="仿宋" w:hAnsi="仿宋" w:eastAsia="仿宋" w:cs="仿宋"/>
                <w:color w:val="auto"/>
                <w:kern w:val="0"/>
                <w:szCs w:val="21"/>
                <w:highlight w:val="none"/>
              </w:rPr>
              <w:t>提供仍在有效期内，认证范围包含数字内容制作服务相关的知识产权管理体系认证证书及评测报告，提供证书复印件和测评报告复印件并加盖供应商公章，提供得</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分，未提供或提供不全得0分。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auto"/>
                <w:szCs w:val="21"/>
                <w:highlight w:val="none"/>
              </w:rPr>
            </w:pPr>
            <w:r>
              <w:rPr>
                <w:rFonts w:hint="eastAsia"/>
                <w:color w:val="auto"/>
                <w:szCs w:val="21"/>
                <w:highlight w:val="none"/>
              </w:rPr>
              <w:t>备注：评分细则中如需要报价人提供证明材料的，供应商应在报价文件中提交证明材料。</w:t>
            </w:r>
          </w:p>
        </w:tc>
      </w:tr>
    </w:tbl>
    <w:p>
      <w:pPr>
        <w:spacing w:line="400" w:lineRule="exact"/>
        <w:ind w:firstLine="480" w:firstLineChars="200"/>
        <w:rPr>
          <w:rFonts w:ascii="宋体" w:hAnsi="宋体"/>
          <w:color w:val="auto"/>
          <w:sz w:val="28"/>
          <w:szCs w:val="28"/>
          <w:highlight w:val="none"/>
        </w:rPr>
      </w:pPr>
      <w:r>
        <w:rPr>
          <w:rFonts w:hint="eastAsia" w:asciiTheme="minorEastAsia" w:hAnsiTheme="minorEastAsia" w:eastAsiaTheme="minorEastAsia"/>
          <w:color w:val="auto"/>
          <w:sz w:val="24"/>
          <w:highlight w:val="none"/>
        </w:rPr>
        <w:t>注：各评委按规定的范围内进行量化打分，并统计总分。</w:t>
      </w:r>
    </w:p>
    <w:p>
      <w:pPr>
        <w:pStyle w:val="2"/>
        <w:rPr>
          <w:color w:val="auto"/>
          <w:highlight w:val="none"/>
        </w:rPr>
      </w:pPr>
      <w:bookmarkStart w:id="23" w:name="_Toc60236707"/>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pPr>
        <w:pStyle w:val="3"/>
        <w:spacing w:line="560" w:lineRule="exact"/>
        <w:rPr>
          <w:color w:val="auto"/>
          <w:highlight w:val="none"/>
        </w:rPr>
      </w:pPr>
      <w:bookmarkStart w:id="25" w:name="_Toc179"/>
      <w:r>
        <w:rPr>
          <w:rFonts w:hint="eastAsia"/>
          <w:color w:val="auto"/>
          <w:highlight w:val="none"/>
        </w:rPr>
        <w:t>一、技术（服务）要求</w:t>
      </w:r>
      <w:bookmarkEnd w:id="25"/>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highlight w:val="none"/>
              </w:rPr>
            </w:pPr>
            <w:r>
              <w:rPr>
                <w:rStyle w:val="31"/>
                <w:rFonts w:hint="eastAsia" w:ascii="宋体" w:hAnsi="宋体" w:cs="宋体"/>
                <w:color w:val="auto"/>
                <w:kern w:val="0"/>
                <w:sz w:val="24"/>
                <w:highlight w:val="none"/>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highlight w:val="none"/>
              </w:rPr>
            </w:pPr>
            <w:r>
              <w:rPr>
                <w:rStyle w:val="31"/>
                <w:rFonts w:hint="eastAsia" w:ascii="宋体" w:hAnsi="宋体" w:cs="宋体"/>
                <w:color w:val="auto"/>
                <w:kern w:val="0"/>
                <w:sz w:val="24"/>
                <w:highlight w:val="none"/>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highlight w:val="none"/>
              </w:rPr>
            </w:pPr>
            <w:r>
              <w:rPr>
                <w:rStyle w:val="31"/>
                <w:rFonts w:hint="eastAsia" w:ascii="宋体" w:hAnsi="宋体" w:cs="宋体"/>
                <w:color w:val="auto"/>
                <w:kern w:val="0"/>
                <w:sz w:val="24"/>
                <w:highlight w:val="none"/>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highlight w:val="none"/>
              </w:rPr>
            </w:pPr>
            <w:r>
              <w:rPr>
                <w:rStyle w:val="31"/>
                <w:rFonts w:hint="eastAsia" w:ascii="宋体" w:hAnsi="宋体" w:cs="宋体"/>
                <w:color w:val="auto"/>
                <w:kern w:val="0"/>
                <w:sz w:val="24"/>
                <w:highlight w:val="none"/>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在线开放课程建设</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门</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bl>
    <w:p>
      <w:pPr>
        <w:spacing w:line="560" w:lineRule="exact"/>
        <w:ind w:firstLine="562" w:firstLineChars="200"/>
        <w:rPr>
          <w:rFonts w:ascii="宋体" w:hAnsi="宋体"/>
          <w:b/>
          <w:bCs/>
          <w:color w:val="auto"/>
          <w:sz w:val="32"/>
          <w:szCs w:val="32"/>
          <w:highlight w:val="none"/>
        </w:rPr>
      </w:pPr>
      <w:r>
        <w:rPr>
          <w:rFonts w:hint="eastAsia" w:ascii="宋体" w:hAnsi="宋体"/>
          <w:b/>
          <w:bCs/>
          <w:color w:val="auto"/>
          <w:kern w:val="0"/>
          <w:sz w:val="28"/>
          <w:szCs w:val="28"/>
          <w:highlight w:val="none"/>
        </w:rPr>
        <w:t>（二）具体技术指标及性能要求：</w:t>
      </w:r>
    </w:p>
    <w:tbl>
      <w:tblPr>
        <w:tblStyle w:val="28"/>
        <w:tblpPr w:leftFromText="180" w:rightFromText="180" w:vertAnchor="text" w:horzAnchor="page" w:tblpX="1903" w:tblpY="390"/>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3"/>
        <w:gridCol w:w="2597"/>
        <w:gridCol w:w="5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序号</w:t>
            </w:r>
          </w:p>
        </w:tc>
        <w:tc>
          <w:tcPr>
            <w:tcW w:w="24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服务名称及内容</w:t>
            </w:r>
          </w:p>
        </w:tc>
        <w:tc>
          <w:tcPr>
            <w:tcW w:w="49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技术指标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制作团队要求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Hans"/>
              </w:rPr>
              <w:t>本</w:t>
            </w:r>
            <w:r>
              <w:rPr>
                <w:rFonts w:hint="eastAsia" w:ascii="仿宋" w:hAnsi="仿宋" w:eastAsia="仿宋" w:cs="仿宋"/>
                <w:color w:val="auto"/>
                <w:sz w:val="21"/>
                <w:szCs w:val="21"/>
                <w:highlight w:val="none"/>
              </w:rPr>
              <w:t>作团队人员名单，各岗位不能兼任。</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highlight w:val="none"/>
              </w:rPr>
              <w:t>制作团队人员在合作期间原则上不允许更换，由于特殊原因确需更换的，需向校方提出申请，校方同意后方可变更。新更换人员的技术职称、资历等条件必须不低于原来人员的技术职称、资历等。否则，按成交人违约处理。情节严重的采购人可以单方面解除合作协议和合同。</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highlight w:val="none"/>
              </w:rPr>
              <w:t>制作团队须按照学校进度要求，提供课程制作服务；如成交人同时承担多门课程制作工作，须保障人员及软硬件数量，达到学校进度要求。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软硬件设备配置要求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须配备2台以上4K全高清摄像机，多台高清摄像机拍摄设备要同型同款，保证录制效果一致，分辨率不低于4096×2160，25fps，</w:t>
            </w:r>
            <w:r>
              <w:rPr>
                <w:rFonts w:hint="eastAsia" w:ascii="仿宋" w:hAnsi="仿宋" w:eastAsia="仿宋" w:cs="仿宋"/>
                <w:color w:val="auto"/>
                <w:sz w:val="21"/>
                <w:szCs w:val="21"/>
                <w:highlight w:val="none"/>
                <w:lang w:eastAsia="zh-Hans"/>
              </w:rPr>
              <w:t>并</w:t>
            </w:r>
            <w:r>
              <w:rPr>
                <w:rFonts w:hint="eastAsia" w:ascii="仿宋" w:hAnsi="仿宋" w:eastAsia="仿宋" w:cs="仿宋"/>
                <w:color w:val="auto"/>
                <w:sz w:val="21"/>
                <w:szCs w:val="21"/>
                <w:highlight w:val="none"/>
              </w:rPr>
              <w:t>配备</w:t>
            </w:r>
            <w:r>
              <w:rPr>
                <w:rFonts w:hint="eastAsia" w:ascii="仿宋" w:hAnsi="仿宋" w:eastAsia="仿宋" w:cs="仿宋"/>
                <w:color w:val="auto"/>
                <w:sz w:val="21"/>
                <w:szCs w:val="21"/>
                <w:highlight w:val="none"/>
                <w:lang w:eastAsia="zh-Hans"/>
              </w:rPr>
              <w:t>其他辅助</w:t>
            </w:r>
            <w:r>
              <w:rPr>
                <w:rFonts w:hint="eastAsia" w:ascii="仿宋" w:hAnsi="仿宋" w:eastAsia="仿宋" w:cs="仿宋"/>
                <w:color w:val="auto"/>
                <w:sz w:val="21"/>
                <w:szCs w:val="21"/>
                <w:highlight w:val="none"/>
              </w:rPr>
              <w:t>设备。</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color w:val="auto"/>
                <w:sz w:val="21"/>
                <w:szCs w:val="21"/>
                <w:highlight w:val="none"/>
              </w:rPr>
              <w:t>配备广播级录音设备，电视台级别专业无线麦。</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w:t>
            </w:r>
            <w:r>
              <w:rPr>
                <w:rFonts w:hint="eastAsia" w:ascii="仿宋" w:hAnsi="仿宋" w:eastAsia="仿宋" w:cs="仿宋"/>
                <w:color w:val="auto"/>
                <w:sz w:val="21"/>
                <w:szCs w:val="21"/>
                <w:highlight w:val="none"/>
              </w:rPr>
              <w:t>配备专业影视摄影镝灯，LED 面光灯等灯光设备。</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sz w:val="21"/>
                <w:szCs w:val="21"/>
                <w:highlight w:val="none"/>
              </w:rPr>
              <w:t>配备辅助记忆设备(提词器)、后期编辑和包装制作软硬件设备等相关拍摄辅助设备1 套。</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w:t>
            </w:r>
            <w:r>
              <w:rPr>
                <w:rFonts w:hint="eastAsia" w:ascii="仿宋" w:hAnsi="仿宋" w:eastAsia="仿宋" w:cs="仿宋"/>
                <w:color w:val="auto"/>
                <w:sz w:val="21"/>
                <w:szCs w:val="21"/>
                <w:highlight w:val="none"/>
              </w:rPr>
              <w:t>制作团队具备专业拍摄场地支撑。</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课程发布平台要求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1.供应商自有或者被授权的慕课平台。</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整合课程资源并协助课程负责老师在指定课程平台上线运行。原厂平台所运行课程认定情况需提供教育部官网课程网站截图和链接。</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课程建设完毕后需要提供校内在线平台进行课程混合式教学运行，具备一键切换学生端、老师端功能：包含课程视频、习题、视频弹题、章节测试、见面课/直播课考核、期末考试、笔记回放、课程论坛等过程化管理模块和运行大数据分析,切实让课程运行起来。</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课程平台需支持自主新建三种类型课程，具体包含：混合式课程、在线式课程、微课程。</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为便于老师的线上教学要求具备课程建设功能和学习功能的苹果和安卓APP手机端的软件，并提供软件截图等证明材料。</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▲6.中标单位具有课程共享联盟平台、教学资源管理平台、课程资源库软件等相关</w:t>
            </w:r>
            <w:r>
              <w:rPr>
                <w:rFonts w:hint="eastAsia" w:ascii="仿宋" w:hAnsi="仿宋" w:eastAsia="仿宋" w:cs="仿宋"/>
                <w:color w:val="auto"/>
                <w:sz w:val="21"/>
                <w:szCs w:val="21"/>
                <w:highlight w:val="none"/>
                <w:lang w:eastAsia="zh-CN"/>
              </w:rPr>
              <w:t>软件著作权</w:t>
            </w:r>
            <w:r>
              <w:rPr>
                <w:rFonts w:hint="eastAsia" w:ascii="仿宋" w:hAnsi="仿宋" w:eastAsia="仿宋" w:cs="仿宋"/>
                <w:color w:val="auto"/>
                <w:sz w:val="21"/>
                <w:szCs w:val="21"/>
                <w:highlight w:val="none"/>
              </w:rPr>
              <w:t>登记证书，所提供的平台需具备校内翻转、全国共享的能力，需提供原厂授权</w:t>
            </w:r>
            <w:r>
              <w:rPr>
                <w:rFonts w:hint="eastAsia" w:ascii="仿宋" w:hAnsi="仿宋" w:eastAsia="仿宋" w:cs="仿宋"/>
                <w:color w:val="auto"/>
                <w:sz w:val="21"/>
                <w:szCs w:val="21"/>
                <w:highlight w:val="none"/>
                <w:lang w:eastAsia="zh-CN"/>
              </w:rPr>
              <w:t>函</w:t>
            </w:r>
            <w:r>
              <w:rPr>
                <w:rFonts w:hint="eastAsia" w:ascii="仿宋" w:hAnsi="仿宋" w:eastAsia="仿宋" w:cs="仿宋"/>
                <w:color w:val="auto"/>
                <w:sz w:val="21"/>
                <w:szCs w:val="21"/>
                <w:highlight w:val="none"/>
              </w:rPr>
              <w:t>。</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支持选择多种图谱框架类型：支持多种图谱框架类型，包括：知识型图谱、问题型图谱、综合型图谱、技能型图谱等</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支持树状、网状图谱类型：支持创建侧重知识结构的树状知识图谱和侧重知识关系的网状知识图谱，支持根据实际需要创</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课程建设技术要求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在线开放课程建设需要提供翻转课堂和混合式的课程设计，包括在线课程设计、互动直播课设计、在线论坛设计和翻转课堂教学设计。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课程设计咨询：辅助教学团队完成课程概要设计，主要包括课程背景、课程目标、课程设计原则、学分学时及学时分配、教学大纲、内容框架、考核方式、教学团队、章、节、知识点、互动直播课教程等的开发与设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线教程制作服务：碎片化视频拍摄、视频编辑脚本制作、互动直播课教程设计咨询、共享课程质量评审、课程VI套件设计服务、课程介绍片花制作服务、中英文字幕、课程内容升级服务和组织资源进行课程上线等服务。</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color w:val="auto"/>
                <w:sz w:val="21"/>
                <w:szCs w:val="21"/>
                <w:highlight w:val="none"/>
              </w:rPr>
              <w:t>提供混合式课程设计案例。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根据课程性质，课程顾问团队与教师一起确定课程最合理拍摄方式。</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制作参数要求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视频信号源：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稳定性：全片图像同步性能稳定，不存在失帧现象，CTL同步控制信号必须连续，图像无抖动跳跃，色彩无突变，编辑点处图像稳定。</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信噪比：图像信噪比不低于55dB，无明显杂波。</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色调：白平衡正确，无明显偏色，多机拍摄的镜头衔接处无明显色差。</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视频电平：视频全讯号幅度为1Ⅴp-p，最大不超过1.1Ⅴp-p。其中，消隐电平为0V时，白电平幅度0.7Ⅴp-p，同步信号0.3Vp-p，色同步信号幅度0.3V p-p (以消隐线上下对称)，全片一致。</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2.颜色数：视频类素材每帧图像颜色数不低于256色或灰度级不低于128级。</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3.视频处理：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视频压缩：采用H.264(MPEG-4Part10：profile=main,level=3.0)编码、使用二次编码、不包含字幕的 MP4格式。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视频码流率：动态码流的最高码率不高于2500 Kbps，最低码率不得低于1024Kbps。</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视频分辨率：前期采用高清16:9拍摄，设定为 1920×1080。在同一课程中，各讲的视频分辨率统一，统一高清。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视频画幅宽高比：分辨率设定为1920×1080的，选定为16:9。在同一课程中，各讲画幅的宽高比统一。</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视频帧率：不少于25帧/秒。扫描方式采用逐行扫描。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4.音频：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音频压缩：采用 AAC(MPEG4 Part3)格式。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声道：必须是双声道，输出通道为立体声；</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音频码率：音频码流率128Kbps (恒定)；</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音频信噪比：不低于48db。</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音频采样率：采样率48KHz，量化位数至少为16位0；</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音频类型：音乐类、音效声、语音等；</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电平指标：2db-8db声音应无明显失真、放音过冲、过弱。</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5.声音效果：</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声音和画面同步</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声音清晰，无杂音，无干扰，无破音和电流音</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伴音清晰、饱满、圆润，无失真、无音量忽大忽小现象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解说声与现场声无明显比例失调，解说声与背景音乐无明显比例失调。</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6.剪辑：剪辑衔接自然，景别丰富、组接流畅、色彩和曝光统一，无跳帧，无跳跃感。</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7.音频处理：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必须使用电视台级专业话筒及音频处理设备，保证录音质量。音频信号源，声道：中文内容音频信号记录于第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视音频课程交付文件要求：所有剪辑完成的课程视频文件及无压缩原码课程视频文件均采用移动硬盘或者U盘拷贝交付，硬盘上附课程内容清单（标记学校名称、课程名称，子文件夹按照章节命名，视频文件标记讲次及标题、主讲教师）；课程在供应商自有校内平台运行，可直接投入混合教学；课程在供应商自有或者被授权的课程平台以慕课形式发布，达到验收条件。</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课程样片</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样片作为课程制作标准的体现，样片确定后，进行批量录制。相关要求如下：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1.样片脚本须包含至少1000字文字、相关素材（动画或图片）、案例及科普趣味内容，侧重体现出导入式的知识点讲授及设计思路。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录制场地应光线明亮充足、环境安静整洁、室内录制现场的背景噪声和混响时间都应达到广播电视演播室的相关规范标准。避免在镜头中出现有广告嫌疑或与课程无关的标识等内容。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拍摄方式：根据授课内容，采用多机位拍摄（2机位以上），机位设置应满足完整记录课程教学活动的要求。视频可为演讲式、讨论式、采访式、PPT动画式、画中画式等形式，可实景拍摄或虚拟场景拍摄。画面以中景、近景为主，使用广播级话筒，保证录音质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多媒体课件的制作及录制：针对实际情况选择适当的摄制方式，与后期制作统筹策划，确保成片中的人物、板书、实操环节完整清晰及素材呈现效果恰当。</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片头、片尾制作：片头时长不超过10秒，根据课程内容，以多种形式贴切设计制作片头，应包括采购方LOGO、课程名称、讲次、主讲教师姓名、专业技术职务、单位等信息；片尾时长不超过10秒，包括版权单位、录制时间等信息。片头与片尾中不得出现与成交人有关的任何信息。</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批量录制</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按照样片标准进行课程批量录像与制作，确保课程视频总时长及单个碎片化知识点视频时长。录像与制作过程中，成交人制作团队须全面落实校方的审核修改意见。</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内容审核</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成交人制作团队须协助校方授课老师严格审核视频内容，同时协助校方邀请相关领域专家就视频内容进行学术性与政策性审核；审核通过后，生成最终视频成片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课程运行服务平台功能要求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1.</w:t>
            </w:r>
            <w:r>
              <w:rPr>
                <w:rFonts w:hint="eastAsia" w:ascii="仿宋" w:hAnsi="仿宋" w:eastAsia="仿宋" w:cs="仿宋"/>
                <w:color w:val="auto"/>
                <w:sz w:val="21"/>
                <w:szCs w:val="21"/>
                <w:highlight w:val="none"/>
              </w:rPr>
              <w:t>供应商自有或者被授权的慕课平台须具备在全国运行推广的服务能力。</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2.</w:t>
            </w:r>
            <w:r>
              <w:rPr>
                <w:rFonts w:hint="eastAsia" w:ascii="仿宋" w:hAnsi="仿宋" w:eastAsia="仿宋" w:cs="仿宋"/>
                <w:color w:val="auto"/>
                <w:sz w:val="21"/>
                <w:szCs w:val="21"/>
                <w:highlight w:val="none"/>
              </w:rPr>
              <w:t>课程建设完毕后须要提供自有校内在线平台进行线上线下混合（课程翻转）教学运行，</w:t>
            </w:r>
            <w:r>
              <w:rPr>
                <w:rFonts w:hint="eastAsia" w:ascii="仿宋" w:hAnsi="仿宋" w:eastAsia="仿宋" w:cs="仿宋"/>
                <w:color w:val="auto"/>
                <w:sz w:val="21"/>
                <w:szCs w:val="21"/>
                <w:highlight w:val="none"/>
                <w:lang w:bidi="ar"/>
              </w:rPr>
              <w:t>支持手机移动智慧教学工具，支持在线教学、课堂智慧教学等混合教学模式的数据统计、分析，可提供按国家在线课程和线上线下混合课程标准的数据支持；</w:t>
            </w:r>
            <w:r>
              <w:rPr>
                <w:rFonts w:hint="eastAsia" w:ascii="仿宋" w:hAnsi="仿宋" w:eastAsia="仿宋" w:cs="仿宋"/>
                <w:color w:val="auto"/>
                <w:sz w:val="21"/>
                <w:szCs w:val="21"/>
                <w:highlight w:val="none"/>
              </w:rPr>
              <w:t xml:space="preserve">具备一键切换学生端、老师端功能：包含课程视频、习题、视频弹题、章节测试、期末考试、笔记回放、课程论坛等过程化管理模块和运行大数据分析,切实让课程运行起来。 </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w:t>
            </w:r>
            <w:r>
              <w:rPr>
                <w:rFonts w:hint="eastAsia" w:ascii="仿宋" w:hAnsi="仿宋" w:eastAsia="仿宋" w:cs="仿宋"/>
                <w:color w:val="auto"/>
                <w:sz w:val="21"/>
                <w:szCs w:val="21"/>
                <w:highlight w:val="none"/>
              </w:rPr>
              <w:t>老师端需提供：我的学堂、课程论坛、成绩管理、课程事务、学籍管理、我的题库、课程资料、招生管理、教学计划、教学运行、学情分析等功能模块；</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sz w:val="21"/>
                <w:szCs w:val="21"/>
                <w:highlight w:val="none"/>
              </w:rPr>
              <w:t>学生端需提供：我的学堂、作业考试、课程论坛、学习分析、课程资料、学习笔记、我的成绩等功能模块。</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w:t>
            </w:r>
            <w:r>
              <w:rPr>
                <w:rFonts w:hint="eastAsia" w:ascii="仿宋" w:hAnsi="仿宋" w:eastAsia="仿宋" w:cs="仿宋"/>
                <w:color w:val="auto"/>
                <w:sz w:val="21"/>
                <w:szCs w:val="21"/>
                <w:highlight w:val="none"/>
              </w:rPr>
              <w:t>课程平台需支持自主新建三种类型课程，具体包含：混合式课程、在线式课程、微课程。</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6.</w:t>
            </w:r>
            <w:r>
              <w:rPr>
                <w:rFonts w:hint="eastAsia" w:ascii="仿宋" w:hAnsi="仿宋" w:eastAsia="仿宋" w:cs="仿宋"/>
                <w:color w:val="auto"/>
                <w:sz w:val="21"/>
                <w:szCs w:val="21"/>
                <w:highlight w:val="none"/>
              </w:rPr>
              <w:t>运行平台需支持个性化设置，需有自主制定课程概要设计、师资介绍、知识点、内容计划、互动直播课、考核方式课程推广，减轻老师工作量提高效率。</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7.</w:t>
            </w:r>
            <w:r>
              <w:rPr>
                <w:rFonts w:hint="eastAsia" w:ascii="仿宋" w:hAnsi="仿宋" w:eastAsia="仿宋" w:cs="仿宋"/>
                <w:color w:val="auto"/>
                <w:sz w:val="21"/>
                <w:szCs w:val="21"/>
                <w:highlight w:val="none"/>
              </w:rPr>
              <w:t>平台需具备支持统一发布公告，下发通知或督促学生完成学习进度。</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8.</w:t>
            </w:r>
            <w:r>
              <w:rPr>
                <w:rFonts w:hint="eastAsia" w:ascii="仿宋" w:hAnsi="仿宋" w:eastAsia="仿宋" w:cs="仿宋"/>
                <w:color w:val="auto"/>
                <w:sz w:val="21"/>
                <w:szCs w:val="21"/>
                <w:highlight w:val="none"/>
              </w:rPr>
              <w:t>平台需支持分步骤创建混合式课程，操作简单易上手。</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9.</w:t>
            </w:r>
            <w:r>
              <w:rPr>
                <w:rFonts w:hint="eastAsia" w:ascii="仿宋" w:hAnsi="仿宋" w:eastAsia="仿宋" w:cs="仿宋"/>
                <w:color w:val="auto"/>
                <w:sz w:val="21"/>
                <w:szCs w:val="21"/>
                <w:highlight w:val="none"/>
              </w:rPr>
              <w:t>平台需具备根据教师在维护章节计划的设置情况自动生成逻辑清晰的学期混合式教学运行计划。</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10.</w:t>
            </w:r>
            <w:r>
              <w:rPr>
                <w:rFonts w:hint="eastAsia" w:ascii="仿宋" w:hAnsi="仿宋" w:eastAsia="仿宋" w:cs="仿宋"/>
                <w:color w:val="auto"/>
                <w:sz w:val="21"/>
                <w:szCs w:val="21"/>
                <w:highlight w:val="none"/>
              </w:rPr>
              <w:t>平台需支持自学辅导式的纯线上授课模式和混合式的线上线下模式招生，录取方式支持预报名、直接录取、验证码和入学考试以及报名表方式，满足各种招生需求。</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11.</w:t>
            </w:r>
            <w:r>
              <w:rPr>
                <w:rFonts w:hint="eastAsia" w:ascii="仿宋" w:hAnsi="仿宋" w:eastAsia="仿宋" w:cs="仿宋"/>
                <w:color w:val="auto"/>
                <w:sz w:val="21"/>
                <w:szCs w:val="21"/>
                <w:highlight w:val="none"/>
              </w:rPr>
              <w:t>平台需具备多种类型的成绩类型、多种方式的创建方式以及客观题自动批阅与选择的随机顺序；实现教师批阅，学生互评多种模式，作业内容可囊括多种题型，作业还可退回重做。</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12.</w:t>
            </w:r>
            <w:r>
              <w:rPr>
                <w:rFonts w:hint="eastAsia" w:ascii="仿宋" w:hAnsi="仿宋" w:eastAsia="仿宋" w:cs="仿宋"/>
                <w:color w:val="auto"/>
                <w:sz w:val="21"/>
                <w:szCs w:val="21"/>
                <w:highlight w:val="none"/>
              </w:rPr>
              <w:t>需支持建课进度提醒功能，显示进度完成情况，提示老师还余下多少课程项目未完成，防止遗漏，并提供证明材料。</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13.</w:t>
            </w:r>
            <w:r>
              <w:rPr>
                <w:rFonts w:hint="eastAsia" w:ascii="仿宋" w:hAnsi="仿宋" w:eastAsia="仿宋" w:cs="仿宋"/>
                <w:color w:val="auto"/>
                <w:sz w:val="21"/>
                <w:szCs w:val="21"/>
                <w:highlight w:val="none"/>
              </w:rPr>
              <w:t>需支持互动直播课的多校区互动以及网上直播，不但学生可以参与课程，相关老师也可以观摩课程。</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14.</w:t>
            </w:r>
            <w:r>
              <w:rPr>
                <w:rFonts w:hint="eastAsia" w:ascii="仿宋" w:hAnsi="仿宋" w:eastAsia="仿宋" w:cs="仿宋"/>
                <w:color w:val="auto"/>
                <w:sz w:val="21"/>
                <w:szCs w:val="21"/>
                <w:highlight w:val="none"/>
              </w:rPr>
              <w:t>需支持个性化门户设计，包括课程、师资、内容的展示，提升课程价值感。</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15.</w:t>
            </w:r>
            <w:r>
              <w:rPr>
                <w:rFonts w:hint="eastAsia" w:ascii="仿宋" w:hAnsi="仿宋" w:eastAsia="仿宋" w:cs="仿宋"/>
                <w:color w:val="auto"/>
                <w:sz w:val="21"/>
                <w:szCs w:val="21"/>
                <w:highlight w:val="none"/>
              </w:rPr>
              <w:t>平台必须满足记录每一个学生在平台上的学习记录，作业考试、资料上传、课程问答、学习笔记以及课程学习进度，了解每一个学生的详细的学习情况。</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16.</w:t>
            </w:r>
            <w:r>
              <w:rPr>
                <w:rFonts w:hint="eastAsia" w:ascii="仿宋" w:hAnsi="仿宋" w:eastAsia="仿宋" w:cs="仿宋"/>
                <w:color w:val="auto"/>
                <w:sz w:val="21"/>
                <w:szCs w:val="21"/>
                <w:highlight w:val="none"/>
              </w:rPr>
              <w:t>有手机端实时查阅所建设课程的运行学情报告，包含学习人次、在线视频、教师情况、在线讨论、见面课参与度等数据分析功能。</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17.</w:t>
            </w:r>
            <w:r>
              <w:rPr>
                <w:rFonts w:hint="eastAsia" w:ascii="仿宋" w:hAnsi="仿宋" w:eastAsia="仿宋" w:cs="仿宋"/>
                <w:color w:val="auto"/>
                <w:sz w:val="21"/>
                <w:szCs w:val="21"/>
                <w:highlight w:val="none"/>
              </w:rPr>
              <w:t>平台必须提供以至少以月度为单位的学情大数据分析报告。</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18.</w:t>
            </w:r>
            <w:r>
              <w:rPr>
                <w:rFonts w:hint="eastAsia" w:ascii="仿宋" w:hAnsi="仿宋" w:eastAsia="仿宋" w:cs="仿宋"/>
                <w:color w:val="auto"/>
                <w:sz w:val="21"/>
                <w:szCs w:val="21"/>
                <w:highlight w:val="none"/>
              </w:rPr>
              <w:t>运行平台支持MOOC课程发布方式。</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知识产权</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参加本次采购所投标的服务活动及其成果（采购方提供的资料除外），须不得存在侵犯知识产权的问题。</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成片及拍摄素材归采购方所有，采购方拥有该片（包括所有动画设计）全部知识产权。课程拍摄制作完成后，成交人须将视频成片和全部素材存入硬盘交付采购方。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需要在知识产权获取、维护、运用和保护等活动过程中，具备基本有效的运行和控制能力。</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课程知识图谱建设培训</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培训如何构建学科知识图谱基础知识层：包含课程下全部知识点、知识点之间的关联关系和知识点所属的内容领域等；</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培训如何构建学科知识图谱教学资源层：需要包含每个知识点完整的知识点内容画像、知识点基本信息、知识点属性介绍及相关的结构化教学资源等；</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培训多种图谱类型：支持按照实际需要创建课程类型的知识图谱，以用于不同教学场景；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培训树状、网状图谱类型：支持创建侧重知识结构的树状知识图谱和侧重知识关系的网状知识图谱，支持根据实际需要创建不同类型的知识图谱；</w:t>
            </w:r>
          </w:p>
          <w:p>
            <w:pPr>
              <w:keepNext w:val="0"/>
              <w:keepLines w:val="0"/>
              <w:pageBreakBefore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培训文件导入知识图谱：如何本地导入xmind格式的思维导图文件，自动读取文件数据，生成课程知识图谱，导入的模板内容需要包含课程名称、教学主题、教学子主题、知识点、知识点类型等内容；</w:t>
            </w:r>
          </w:p>
        </w:tc>
      </w:tr>
    </w:tbl>
    <w:p>
      <w:pPr>
        <w:spacing w:line="560" w:lineRule="exact"/>
        <w:ind w:firstLine="560" w:firstLineChars="200"/>
        <w:rPr>
          <w:rFonts w:ascii="宋体" w:hAnsi="宋体"/>
          <w:color w:val="auto"/>
          <w:kern w:val="0"/>
          <w:sz w:val="28"/>
          <w:szCs w:val="28"/>
          <w:highlight w:val="none"/>
        </w:rPr>
      </w:pPr>
    </w:p>
    <w:p>
      <w:pPr>
        <w:spacing w:line="560" w:lineRule="exact"/>
        <w:ind w:firstLine="560" w:firstLineChars="200"/>
        <w:rPr>
          <w:rFonts w:ascii="宋体" w:hAnsi="宋体"/>
          <w:color w:val="auto"/>
          <w:sz w:val="32"/>
          <w:szCs w:val="32"/>
          <w:highlight w:val="none"/>
        </w:rPr>
      </w:pPr>
      <w:r>
        <w:rPr>
          <w:rFonts w:hint="eastAsia" w:ascii="宋体" w:hAnsi="宋体"/>
          <w:color w:val="auto"/>
          <w:kern w:val="0"/>
          <w:sz w:val="28"/>
          <w:szCs w:val="28"/>
          <w:highlight w:val="none"/>
        </w:rPr>
        <w:t>注：产品技术指标/规格型号中带“</w:t>
      </w:r>
      <w:r>
        <w:rPr>
          <w:rFonts w:hint="eastAsia"/>
          <w:color w:val="auto"/>
          <w:sz w:val="28"/>
          <w:highlight w:val="none"/>
        </w:rPr>
        <w:t>★</w:t>
      </w:r>
      <w:r>
        <w:rPr>
          <w:rFonts w:hint="eastAsia" w:ascii="宋体" w:hAnsi="宋体"/>
          <w:color w:val="auto"/>
          <w:kern w:val="0"/>
          <w:sz w:val="28"/>
          <w:szCs w:val="28"/>
          <w:highlight w:val="none"/>
        </w:rPr>
        <w:t>”的为“</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”不允许“负偏离”，否则报价无效；“非</w:t>
      </w:r>
      <w:r>
        <w:rPr>
          <w:rFonts w:hint="eastAsia" w:ascii="宋体" w:hAnsi="宋体"/>
          <w:color w:val="auto"/>
          <w:kern w:val="0"/>
          <w:sz w:val="28"/>
          <w:szCs w:val="28"/>
          <w:highlight w:val="none"/>
          <w:lang w:val="en-US" w:eastAsia="zh-CN"/>
        </w:rPr>
        <w:t>实质性响应</w:t>
      </w:r>
      <w:r>
        <w:rPr>
          <w:rFonts w:hint="eastAsia" w:ascii="宋体" w:hAnsi="宋体"/>
          <w:color w:val="auto"/>
          <w:kern w:val="0"/>
          <w:sz w:val="28"/>
          <w:szCs w:val="28"/>
          <w:highlight w:val="none"/>
        </w:rPr>
        <w:t>指标”允许“负偏离”，但不能超出偏离范围，否则报价无效</w:t>
      </w:r>
    </w:p>
    <w:p>
      <w:pPr>
        <w:pStyle w:val="3"/>
        <w:spacing w:line="560" w:lineRule="exact"/>
        <w:rPr>
          <w:rFonts w:ascii="宋体" w:hAnsi="宋体" w:cs="宋体"/>
          <w:color w:val="auto"/>
          <w:sz w:val="24"/>
          <w:highlight w:val="none"/>
        </w:rPr>
      </w:pPr>
      <w:bookmarkStart w:id="26" w:name="_Toc17787"/>
      <w:bookmarkStart w:id="27" w:name="_Toc60236709"/>
      <w:r>
        <w:rPr>
          <w:rFonts w:hint="eastAsia"/>
          <w:color w:val="auto"/>
          <w:highlight w:val="none"/>
        </w:rPr>
        <w:t>二、商务要求</w:t>
      </w:r>
      <w:bookmarkEnd w:id="26"/>
      <w:bookmarkEnd w:id="27"/>
    </w:p>
    <w:p>
      <w:pPr>
        <w:adjustRightInd w:val="0"/>
        <w:snapToGrid w:val="0"/>
        <w:spacing w:line="560" w:lineRule="exact"/>
        <w:ind w:firstLine="641" w:firstLineChars="228"/>
        <w:jc w:val="left"/>
        <w:rPr>
          <w:rFonts w:ascii="宋体" w:hAnsi="宋体" w:cs="宋体"/>
          <w:b/>
          <w:color w:val="auto"/>
          <w:sz w:val="28"/>
          <w:szCs w:val="28"/>
          <w:highlight w:val="none"/>
        </w:rPr>
      </w:pPr>
      <w:r>
        <w:rPr>
          <w:rFonts w:hint="eastAsia" w:ascii="宋体" w:hAnsi="宋体" w:cs="宋体"/>
          <w:b/>
          <w:color w:val="auto"/>
          <w:sz w:val="28"/>
          <w:szCs w:val="28"/>
          <w:highlight w:val="none"/>
        </w:rPr>
        <w:t>（一）交货期及地点</w:t>
      </w:r>
    </w:p>
    <w:p>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自合同签订之日起</w:t>
      </w:r>
      <w:r>
        <w:rPr>
          <w:rFonts w:hint="eastAsia" w:ascii="宋体" w:hAnsi="宋体"/>
          <w:bCs/>
          <w:color w:val="auto"/>
          <w:sz w:val="28"/>
          <w:szCs w:val="28"/>
          <w:highlight w:val="none"/>
          <w:lang w:val="en-US" w:eastAsia="zh-CN"/>
        </w:rPr>
        <w:t>6个月</w:t>
      </w:r>
      <w:r>
        <w:rPr>
          <w:rFonts w:hint="eastAsia" w:ascii="宋体" w:hAnsi="宋体"/>
          <w:bCs/>
          <w:color w:val="auto"/>
          <w:sz w:val="28"/>
          <w:szCs w:val="28"/>
          <w:highlight w:val="none"/>
        </w:rPr>
        <w:t>内完成交货，确保正常运行使用。</w:t>
      </w:r>
    </w:p>
    <w:p>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交付地点：广东财经大学</w:t>
      </w:r>
      <w:r>
        <w:rPr>
          <w:rFonts w:hint="eastAsia" w:ascii="宋体" w:hAnsi="宋体"/>
          <w:bCs/>
          <w:color w:val="auto"/>
          <w:sz w:val="28"/>
          <w:szCs w:val="28"/>
          <w:highlight w:val="none"/>
          <w:lang w:val="en-US" w:eastAsia="zh-CN"/>
        </w:rPr>
        <w:t>广州</w:t>
      </w:r>
      <w:r>
        <w:rPr>
          <w:rFonts w:hint="eastAsia" w:ascii="宋体" w:hAnsi="宋体"/>
          <w:bCs/>
          <w:color w:val="auto"/>
          <w:sz w:val="28"/>
          <w:szCs w:val="28"/>
          <w:highlight w:val="none"/>
        </w:rPr>
        <w:t>校区。</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(二)安装、调试与</w:t>
      </w:r>
      <w:r>
        <w:rPr>
          <w:rFonts w:hint="eastAsia" w:ascii="宋体" w:hAnsi="宋体" w:cs="宋体"/>
          <w:b/>
          <w:color w:val="auto"/>
          <w:sz w:val="28"/>
          <w:szCs w:val="28"/>
          <w:highlight w:val="none"/>
        </w:rPr>
        <w:t>培训</w:t>
      </w:r>
      <w:r>
        <w:rPr>
          <w:rFonts w:hint="eastAsia" w:ascii="宋体" w:hAnsi="宋体"/>
          <w:b/>
          <w:color w:val="auto"/>
          <w:sz w:val="28"/>
          <w:szCs w:val="28"/>
          <w:highlight w:val="none"/>
        </w:rPr>
        <w:t>要求</w:t>
      </w:r>
    </w:p>
    <w:p>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本项目采购内容包括安装、调试和培训，于广东财经大学（</w:t>
      </w:r>
      <w:r>
        <w:rPr>
          <w:rFonts w:hint="eastAsia" w:ascii="宋体" w:hAnsi="宋体"/>
          <w:color w:val="auto"/>
          <w:sz w:val="28"/>
          <w:szCs w:val="28"/>
          <w:highlight w:val="none"/>
          <w:lang w:val="en-US" w:eastAsia="zh-CN"/>
        </w:rPr>
        <w:t>广州</w:t>
      </w:r>
      <w:r>
        <w:rPr>
          <w:rFonts w:hint="eastAsia" w:ascii="宋体" w:hAnsi="宋体"/>
          <w:color w:val="auto"/>
          <w:sz w:val="28"/>
          <w:szCs w:val="28"/>
          <w:highlight w:val="none"/>
        </w:rPr>
        <w:t>校区）完成</w:t>
      </w:r>
      <w:r>
        <w:rPr>
          <w:rFonts w:hint="eastAsia" w:ascii="宋体" w:hAnsi="宋体" w:cs="宋体"/>
          <w:color w:val="auto"/>
          <w:sz w:val="28"/>
          <w:szCs w:val="28"/>
          <w:highlight w:val="none"/>
        </w:rPr>
        <w:t>。</w:t>
      </w:r>
    </w:p>
    <w:p>
      <w:pPr>
        <w:numPr>
          <w:ilvl w:val="0"/>
          <w:numId w:val="4"/>
        </w:num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项目质量与验收标准</w:t>
      </w:r>
    </w:p>
    <w:p>
      <w:pPr>
        <w:adjustRightInd w:val="0"/>
        <w:snapToGrid w:val="0"/>
        <w:spacing w:line="560" w:lineRule="exact"/>
        <w:ind w:firstLine="638" w:firstLineChars="228"/>
        <w:jc w:val="left"/>
        <w:rPr>
          <w:rFonts w:ascii="宋体" w:hAnsi="宋体"/>
          <w:b/>
          <w:color w:val="auto"/>
          <w:sz w:val="28"/>
          <w:szCs w:val="28"/>
          <w:highlight w:val="none"/>
        </w:rPr>
      </w:pPr>
      <w:r>
        <w:rPr>
          <w:rFonts w:hint="eastAsia" w:ascii="宋体" w:hAnsi="宋体"/>
          <w:color w:val="auto"/>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（四）质保期</w:t>
      </w:r>
    </w:p>
    <w:p>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质保期自安装验收合格之日起生效，时间为</w:t>
      </w:r>
      <w:r>
        <w:rPr>
          <w:rFonts w:hint="eastAsia" w:ascii="宋体" w:hAnsi="宋体"/>
          <w:color w:val="auto"/>
          <w:sz w:val="28"/>
          <w:szCs w:val="28"/>
          <w:highlight w:val="none"/>
          <w:lang w:val="en-US" w:eastAsia="zh-CN"/>
        </w:rPr>
        <w:t xml:space="preserve"> 1年   </w:t>
      </w:r>
      <w:r>
        <w:rPr>
          <w:rFonts w:hint="eastAsia" w:ascii="宋体" w:hAnsi="宋体" w:cs="宋体"/>
          <w:color w:val="auto"/>
          <w:sz w:val="28"/>
          <w:szCs w:val="28"/>
          <w:highlight w:val="none"/>
        </w:rPr>
        <w:t>。</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（五）售后服务要求</w:t>
      </w:r>
    </w:p>
    <w:p>
      <w:pPr>
        <w:adjustRightInd w:val="0"/>
        <w:snapToGrid w:val="0"/>
        <w:spacing w:line="560" w:lineRule="exact"/>
        <w:ind w:firstLine="638" w:firstLineChars="228"/>
        <w:rPr>
          <w:rFonts w:ascii="宋体" w:hAnsi="宋体"/>
          <w:b/>
          <w:bCs/>
          <w:color w:val="auto"/>
          <w:kern w:val="0"/>
          <w:sz w:val="28"/>
          <w:szCs w:val="28"/>
          <w:highlight w:val="none"/>
        </w:rPr>
      </w:pPr>
      <w:r>
        <w:rPr>
          <w:rFonts w:hint="eastAsia" w:ascii="宋体" w:hAnsi="宋体"/>
          <w:color w:val="auto"/>
          <w:sz w:val="28"/>
          <w:szCs w:val="28"/>
          <w:highlight w:val="none"/>
        </w:rPr>
        <w:t>服务响应速度在</w:t>
      </w:r>
      <w:r>
        <w:rPr>
          <w:rFonts w:hint="eastAsia" w:ascii="宋体" w:hAnsi="宋体"/>
          <w:color w:val="auto"/>
          <w:sz w:val="28"/>
          <w:szCs w:val="28"/>
          <w:highlight w:val="none"/>
          <w:lang w:val="en-US" w:eastAsia="zh-CN"/>
        </w:rPr>
        <w:t xml:space="preserve"> 1小时</w:t>
      </w:r>
      <w:r>
        <w:rPr>
          <w:rFonts w:hint="eastAsia" w:ascii="宋体" w:hAnsi="宋体"/>
          <w:color w:val="auto"/>
          <w:sz w:val="28"/>
          <w:szCs w:val="28"/>
          <w:highlight w:val="none"/>
        </w:rPr>
        <w:t>之内,并在</w:t>
      </w:r>
      <w:r>
        <w:rPr>
          <w:rFonts w:hint="eastAsia" w:ascii="宋体" w:hAnsi="宋体"/>
          <w:color w:val="auto"/>
          <w:sz w:val="28"/>
          <w:szCs w:val="28"/>
          <w:highlight w:val="none"/>
          <w:lang w:val="en-US" w:eastAsia="zh-CN"/>
        </w:rPr>
        <w:t>24小时</w:t>
      </w:r>
      <w:r>
        <w:rPr>
          <w:rFonts w:hint="eastAsia" w:ascii="宋体" w:hAnsi="宋体"/>
          <w:color w:val="auto"/>
          <w:sz w:val="28"/>
          <w:szCs w:val="28"/>
          <w:highlight w:val="none"/>
        </w:rPr>
        <w:t>内解决故障。</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（六）结算与付款方式</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合同生效15日内，采购人凭中标人提供的正式发票，支付合同金额的50%；课程验收合格后，采购人凭中标人提供的正式发票，支付合同剩余金额的50%。</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（七）违约处罚</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1、成交人的违约责任：</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(2)成交人</w:t>
      </w:r>
      <w:r>
        <w:rPr>
          <w:rFonts w:ascii="宋体" w:hAnsi="宋体"/>
          <w:color w:val="auto"/>
          <w:sz w:val="28"/>
          <w:szCs w:val="28"/>
          <w:highlight w:val="none"/>
        </w:rPr>
        <w:t>交付</w:t>
      </w:r>
      <w:r>
        <w:rPr>
          <w:rFonts w:hint="eastAsia" w:ascii="宋体" w:hAnsi="宋体"/>
          <w:color w:val="auto"/>
          <w:sz w:val="28"/>
          <w:szCs w:val="28"/>
          <w:highlight w:val="none"/>
        </w:rPr>
        <w:t>使用</w:t>
      </w:r>
      <w:r>
        <w:rPr>
          <w:rFonts w:ascii="宋体" w:hAnsi="宋体"/>
          <w:color w:val="auto"/>
          <w:sz w:val="28"/>
          <w:szCs w:val="28"/>
          <w:highlight w:val="none"/>
        </w:rPr>
        <w:t>的服务不符合</w:t>
      </w:r>
      <w:r>
        <w:rPr>
          <w:rFonts w:hint="eastAsia" w:ascii="宋体" w:hAnsi="宋体"/>
          <w:color w:val="auto"/>
          <w:sz w:val="28"/>
          <w:szCs w:val="28"/>
          <w:highlight w:val="none"/>
        </w:rPr>
        <w:t>采购书</w:t>
      </w:r>
      <w:r>
        <w:rPr>
          <w:rFonts w:ascii="宋体" w:hAnsi="宋体"/>
          <w:color w:val="auto"/>
          <w:sz w:val="28"/>
          <w:szCs w:val="28"/>
          <w:highlight w:val="none"/>
        </w:rPr>
        <w:t>、</w:t>
      </w:r>
      <w:r>
        <w:rPr>
          <w:rFonts w:hint="eastAsia" w:ascii="宋体" w:hAnsi="宋体"/>
          <w:color w:val="auto"/>
          <w:sz w:val="28"/>
          <w:szCs w:val="28"/>
          <w:highlight w:val="none"/>
        </w:rPr>
        <w:t>报价文件</w:t>
      </w:r>
      <w:r>
        <w:rPr>
          <w:rFonts w:ascii="宋体" w:hAnsi="宋体"/>
          <w:color w:val="auto"/>
          <w:sz w:val="28"/>
          <w:szCs w:val="28"/>
          <w:highlight w:val="none"/>
        </w:rPr>
        <w:t>或合同规定的，</w:t>
      </w:r>
      <w:r>
        <w:rPr>
          <w:rFonts w:hint="eastAsia" w:ascii="宋体" w:hAnsi="宋体"/>
          <w:color w:val="auto"/>
          <w:sz w:val="28"/>
          <w:szCs w:val="28"/>
          <w:highlight w:val="none"/>
        </w:rPr>
        <w:t>采购单位</w:t>
      </w:r>
      <w:r>
        <w:rPr>
          <w:rFonts w:ascii="宋体" w:hAnsi="宋体"/>
          <w:color w:val="auto"/>
          <w:sz w:val="28"/>
          <w:szCs w:val="28"/>
          <w:highlight w:val="none"/>
        </w:rPr>
        <w:t>有权拒收，并且</w:t>
      </w:r>
      <w:r>
        <w:rPr>
          <w:rFonts w:hint="eastAsia" w:ascii="宋体" w:hAnsi="宋体"/>
          <w:color w:val="auto"/>
          <w:sz w:val="28"/>
          <w:szCs w:val="28"/>
          <w:highlight w:val="none"/>
        </w:rPr>
        <w:t>成交</w:t>
      </w:r>
      <w:r>
        <w:rPr>
          <w:rFonts w:ascii="宋体" w:hAnsi="宋体"/>
          <w:color w:val="auto"/>
          <w:sz w:val="28"/>
          <w:szCs w:val="28"/>
          <w:highlight w:val="none"/>
        </w:rPr>
        <w:t>人须向</w:t>
      </w:r>
      <w:r>
        <w:rPr>
          <w:rFonts w:hint="eastAsia" w:ascii="宋体" w:hAnsi="宋体"/>
          <w:color w:val="auto"/>
          <w:sz w:val="28"/>
          <w:szCs w:val="28"/>
          <w:highlight w:val="none"/>
        </w:rPr>
        <w:t>采购单位</w:t>
      </w:r>
      <w:r>
        <w:rPr>
          <w:rFonts w:ascii="宋体" w:hAnsi="宋体"/>
          <w:color w:val="auto"/>
          <w:sz w:val="28"/>
          <w:szCs w:val="28"/>
          <w:highlight w:val="none"/>
        </w:rPr>
        <w:t>支付合同总价5%的违约金。</w:t>
      </w:r>
    </w:p>
    <w:p>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(3)其它违约责任按《中华人民共和国民法典》处理。</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2、采购单位的违约责任：</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(1)采购单位逾期付款的，应按照每日合同总价的3‰的比例向</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偿付逾期付款的违约金；</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(2)采购单位违反合同规定拒绝接受服务的，应当承担由此对</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造成的损失。</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（八）其他要求</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color w:val="auto"/>
          <w:sz w:val="28"/>
          <w:szCs w:val="28"/>
          <w:highlight w:val="none"/>
        </w:rPr>
      </w:pPr>
      <w:r>
        <w:rPr>
          <w:rFonts w:hint="eastAsia" w:ascii="宋体" w:hAnsi="宋体"/>
          <w:b/>
          <w:bCs/>
          <w:color w:val="auto"/>
          <w:sz w:val="28"/>
          <w:szCs w:val="28"/>
          <w:highlight w:val="none"/>
        </w:rPr>
        <w:t>（九）争议解决</w:t>
      </w:r>
      <w:r>
        <w:rPr>
          <w:rFonts w:hint="eastAsia" w:ascii="宋体" w:hAnsi="宋体"/>
          <w:color w:val="auto"/>
          <w:sz w:val="28"/>
          <w:szCs w:val="28"/>
          <w:highlight w:val="none"/>
        </w:rPr>
        <w:t>：双方因合同发生争议，应在采购方的主持下进行调解，协商不成，可按合同约定向人民法院起诉。</w:t>
      </w:r>
    </w:p>
    <w:p>
      <w:pPr>
        <w:spacing w:line="400" w:lineRule="exact"/>
        <w:ind w:firstLine="640" w:firstLineChars="200"/>
        <w:rPr>
          <w:rFonts w:ascii="宋体" w:hAnsi="宋体"/>
          <w:color w:val="auto"/>
          <w:sz w:val="32"/>
          <w:szCs w:val="32"/>
          <w:highlight w:val="none"/>
        </w:rPr>
      </w:pPr>
    </w:p>
    <w:p>
      <w:pPr>
        <w:spacing w:line="400" w:lineRule="exact"/>
        <w:ind w:firstLine="420" w:firstLineChars="200"/>
        <w:rPr>
          <w:rFonts w:ascii="宋体" w:hAnsi="宋体"/>
          <w:color w:val="auto"/>
          <w:sz w:val="28"/>
          <w:szCs w:val="28"/>
          <w:highlight w:val="none"/>
        </w:rPr>
      </w:pPr>
      <w:bookmarkStart w:id="28" w:name="_Toc13543213"/>
      <w:bookmarkStart w:id="29" w:name="_Toc60236710"/>
      <w:r>
        <w:rPr>
          <w:rFonts w:hint="eastAsia"/>
          <w:color w:val="auto"/>
          <w:highlight w:val="none"/>
        </w:rPr>
        <w:br w:type="page"/>
      </w:r>
      <w:bookmarkEnd w:id="28"/>
      <w:bookmarkEnd w:id="29"/>
    </w:p>
    <w:p>
      <w:pPr>
        <w:pStyle w:val="2"/>
        <w:rPr>
          <w:color w:val="auto"/>
          <w:highlight w:val="none"/>
        </w:rPr>
      </w:pPr>
      <w:bookmarkStart w:id="30" w:name="_Toc14310"/>
      <w:r>
        <w:rPr>
          <w:rFonts w:hint="eastAsia"/>
          <w:color w:val="auto"/>
          <w:highlight w:val="none"/>
        </w:rPr>
        <w:t>第三部分  报价文件格式</w:t>
      </w:r>
      <w:bookmarkEnd w:id="30"/>
    </w:p>
    <w:p>
      <w:pPr>
        <w:jc w:val="center"/>
        <w:rPr>
          <w:color w:val="auto"/>
          <w:sz w:val="18"/>
          <w:szCs w:val="18"/>
          <w:highlight w:val="none"/>
        </w:rPr>
      </w:pPr>
      <w:r>
        <w:rPr>
          <w:rFonts w:hint="eastAsia"/>
          <w:b/>
          <w:color w:val="auto"/>
          <w:sz w:val="28"/>
          <w:szCs w:val="28"/>
          <w:highlight w:val="none"/>
        </w:rPr>
        <w:t>校内分散采购报价文件封面</w:t>
      </w:r>
    </w:p>
    <w:p>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pPr>
        <w:jc w:val="center"/>
        <w:rPr>
          <w:color w:val="auto"/>
          <w:highlight w:val="none"/>
        </w:rPr>
      </w:pPr>
    </w:p>
    <w:p>
      <w:pPr>
        <w:rPr>
          <w:color w:val="auto"/>
          <w:highlight w:val="none"/>
        </w:rPr>
      </w:pPr>
    </w:p>
    <w:p>
      <w:pPr>
        <w:rPr>
          <w:color w:val="auto"/>
          <w:highlight w:val="none"/>
        </w:rPr>
      </w:pPr>
    </w:p>
    <w:p>
      <w:pPr>
        <w:rPr>
          <w:color w:val="auto"/>
          <w:highlight w:val="none"/>
        </w:rPr>
      </w:pPr>
    </w:p>
    <w:p>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pPr>
        <w:pStyle w:val="14"/>
        <w:rPr>
          <w:rFonts w:ascii="Calibri" w:hAnsi="Calibri"/>
          <w:b/>
          <w:color w:val="auto"/>
          <w:sz w:val="32"/>
          <w:szCs w:val="32"/>
          <w:highlight w:val="none"/>
        </w:rPr>
      </w:pPr>
    </w:p>
    <w:p>
      <w:pPr>
        <w:pStyle w:val="14"/>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pPr>
        <w:spacing w:line="600" w:lineRule="exact"/>
        <w:ind w:firstLine="1442" w:firstLineChars="399"/>
        <w:rPr>
          <w:rFonts w:ascii="楷体_GB2312" w:hAnsi="楷体" w:eastAsia="楷体_GB2312"/>
          <w:b/>
          <w:bCs/>
          <w:color w:val="auto"/>
          <w:sz w:val="36"/>
          <w:highlight w:val="none"/>
          <w:u w:val="single"/>
        </w:rPr>
      </w:pPr>
    </w:p>
    <w:p>
      <w:pPr>
        <w:spacing w:line="400" w:lineRule="exact"/>
        <w:ind w:firstLine="961" w:firstLineChars="399"/>
        <w:rPr>
          <w:rFonts w:ascii="楷体_GB2312" w:hAnsi="楷体" w:eastAsia="楷体_GB2312"/>
          <w:b/>
          <w:bCs/>
          <w:color w:val="auto"/>
          <w:sz w:val="24"/>
          <w:highlight w:val="none"/>
          <w:u w:val="single"/>
        </w:rPr>
      </w:pPr>
    </w:p>
    <w:p>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pPr>
        <w:jc w:val="center"/>
        <w:rPr>
          <w:b/>
          <w:color w:val="auto"/>
          <w:sz w:val="36"/>
          <w:szCs w:val="36"/>
          <w:highlight w:val="none"/>
        </w:rPr>
      </w:pPr>
    </w:p>
    <w:p>
      <w:pPr>
        <w:spacing w:line="400" w:lineRule="exact"/>
        <w:rPr>
          <w:rFonts w:ascii="宋体" w:hAnsi="宋体"/>
          <w:bCs/>
          <w:color w:val="auto"/>
          <w:sz w:val="28"/>
          <w:szCs w:val="28"/>
          <w:highlight w:val="none"/>
        </w:rPr>
      </w:pPr>
    </w:p>
    <w:p>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pPr>
        <w:jc w:val="center"/>
        <w:rPr>
          <w:b/>
          <w:color w:val="auto"/>
          <w:sz w:val="44"/>
          <w:szCs w:val="44"/>
          <w:highlight w:val="none"/>
        </w:rPr>
      </w:pPr>
      <w:r>
        <w:rPr>
          <w:rFonts w:hint="eastAsia"/>
          <w:color w:val="auto"/>
          <w:sz w:val="44"/>
          <w:szCs w:val="44"/>
          <w:highlight w:val="none"/>
        </w:rPr>
        <w:t>目录</w:t>
      </w:r>
    </w:p>
    <w:p>
      <w:pPr>
        <w:jc w:val="left"/>
        <w:rPr>
          <w:rFonts w:ascii="宋体" w:hAnsi="宋体"/>
          <w:color w:val="auto"/>
          <w:sz w:val="28"/>
          <w:szCs w:val="28"/>
          <w:highlight w:val="none"/>
        </w:rPr>
      </w:pP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pPr>
        <w:numPr>
          <w:ilvl w:val="0"/>
          <w:numId w:val="6"/>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XX页</w:t>
      </w:r>
    </w:p>
    <w:p>
      <w:pPr>
        <w:numPr>
          <w:ilvl w:val="0"/>
          <w:numId w:val="6"/>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证明材料                              XX页</w:t>
      </w:r>
    </w:p>
    <w:p>
      <w:pPr>
        <w:rPr>
          <w:rFonts w:ascii="宋体" w:hAnsi="宋体"/>
          <w:color w:val="auto"/>
          <w:szCs w:val="21"/>
          <w:highlight w:val="none"/>
        </w:rPr>
      </w:pPr>
      <w:r>
        <w:rPr>
          <w:rFonts w:ascii="宋体" w:hAnsi="宋体"/>
          <w:color w:val="auto"/>
          <w:szCs w:val="21"/>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pPr>
        <w:spacing w:line="520" w:lineRule="exact"/>
        <w:rPr>
          <w:rFonts w:ascii="宋体" w:hAnsi="宋体"/>
          <w:bCs/>
          <w:color w:val="auto"/>
          <w:sz w:val="28"/>
          <w:szCs w:val="28"/>
          <w:highlight w:val="none"/>
        </w:rPr>
      </w:pPr>
    </w:p>
    <w:p>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ind w:firstLine="548" w:firstLineChars="196"/>
        <w:rPr>
          <w:rFonts w:ascii="宋体" w:hAnsi="宋体"/>
          <w:bCs/>
          <w:color w:val="auto"/>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pPr>
              <w:spacing w:line="520" w:lineRule="exact"/>
              <w:rPr>
                <w:rFonts w:ascii="宋体" w:hAnsi="宋体"/>
                <w:bCs/>
                <w:color w:val="auto"/>
                <w:sz w:val="28"/>
                <w:szCs w:val="28"/>
                <w:highlight w:val="none"/>
              </w:rPr>
            </w:pPr>
          </w:p>
        </w:tc>
      </w:tr>
    </w:tbl>
    <w:p>
      <w:pPr>
        <w:spacing w:line="520" w:lineRule="exact"/>
        <w:ind w:firstLine="548" w:firstLineChars="196"/>
        <w:rPr>
          <w:rFonts w:ascii="宋体" w:hAnsi="宋体"/>
          <w:bCs/>
          <w:color w:val="auto"/>
          <w:sz w:val="28"/>
          <w:szCs w:val="28"/>
          <w:highlight w:val="none"/>
        </w:rPr>
      </w:pPr>
    </w:p>
    <w:p>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pPr>
        <w:spacing w:line="440" w:lineRule="exact"/>
        <w:ind w:firstLine="548" w:firstLineChars="196"/>
        <w:rPr>
          <w:rFonts w:ascii="宋体" w:hAnsi="宋体"/>
          <w:bCs/>
          <w:color w:val="auto"/>
          <w:sz w:val="28"/>
          <w:szCs w:val="28"/>
          <w:highlight w:val="none"/>
        </w:rPr>
      </w:pPr>
    </w:p>
    <w:p>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pPr>
        <w:rPr>
          <w:b/>
          <w:bCs/>
          <w:color w:val="auto"/>
          <w:sz w:val="32"/>
          <w:szCs w:val="21"/>
          <w:highlight w:val="none"/>
        </w:rPr>
      </w:pPr>
      <w:r>
        <w:rPr>
          <w:rFonts w:hint="eastAsia"/>
          <w:b/>
          <w:bCs/>
          <w:color w:val="auto"/>
          <w:sz w:val="32"/>
          <w:szCs w:val="21"/>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pPr>
        <w:spacing w:line="520" w:lineRule="exact"/>
        <w:rPr>
          <w:bCs/>
          <w:color w:val="auto"/>
          <w:szCs w:val="21"/>
          <w:highlight w:val="none"/>
        </w:rPr>
      </w:pPr>
    </w:p>
    <w:p>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pPr>
        <w:spacing w:line="520" w:lineRule="exact"/>
        <w:rPr>
          <w:rFonts w:ascii="宋体" w:hAnsi="宋体"/>
          <w:bCs/>
          <w:color w:val="auto"/>
          <w:sz w:val="28"/>
          <w:szCs w:val="28"/>
          <w:highlight w:val="none"/>
        </w:rPr>
      </w:pP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pPr>
        <w:spacing w:line="520" w:lineRule="exact"/>
        <w:ind w:firstLine="548" w:firstLineChars="196"/>
        <w:rPr>
          <w:rFonts w:ascii="宋体" w:hAnsi="宋体"/>
          <w:bCs/>
          <w:color w:val="auto"/>
          <w:sz w:val="28"/>
          <w:szCs w:val="28"/>
          <w:highlight w:val="none"/>
        </w:rPr>
      </w:pPr>
    </w:p>
    <w:p>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pPr>
        <w:spacing w:line="52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rPr>
          <w:rFonts w:ascii="宋体" w:hAnsi="宋体"/>
          <w:bCs/>
          <w:color w:val="auto"/>
          <w:sz w:val="28"/>
          <w:szCs w:val="28"/>
          <w:highlight w:val="none"/>
        </w:rPr>
      </w:pPr>
      <w:r>
        <w:rPr>
          <w:rFonts w:hint="eastAsia" w:ascii="宋体" w:hAnsi="宋体"/>
          <w:bCs/>
          <w:color w:val="auto"/>
          <w:sz w:val="28"/>
          <w:szCs w:val="28"/>
          <w:highlight w:val="none"/>
        </w:rPr>
        <w:br w:type="page"/>
      </w:r>
    </w:p>
    <w:p>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pPr>
        <w:spacing w:line="520" w:lineRule="exact"/>
        <w:ind w:firstLine="548" w:firstLineChars="196"/>
        <w:rPr>
          <w:rFonts w:ascii="宋体" w:hAnsi="宋体"/>
          <w:bCs/>
          <w:color w:val="auto"/>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pPr>
              <w:spacing w:line="520" w:lineRule="exact"/>
              <w:rPr>
                <w:rFonts w:ascii="宋体" w:hAnsi="宋体"/>
                <w:bCs/>
                <w:color w:val="auto"/>
                <w:sz w:val="28"/>
                <w:szCs w:val="28"/>
                <w:highlight w:val="none"/>
              </w:rPr>
            </w:pPr>
          </w:p>
        </w:tc>
      </w:tr>
    </w:tbl>
    <w:p>
      <w:pPr>
        <w:spacing w:line="52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rPr>
          <w:rFonts w:ascii="宋体" w:hAnsi="宋体"/>
          <w:bCs/>
          <w:color w:val="auto"/>
          <w:sz w:val="28"/>
          <w:szCs w:val="28"/>
          <w:highlight w:val="none"/>
        </w:rPr>
      </w:pPr>
      <w:r>
        <w:rPr>
          <w:rFonts w:hint="eastAsia" w:ascii="宋体" w:hAnsi="宋体"/>
          <w:bCs/>
          <w:color w:val="auto"/>
          <w:sz w:val="28"/>
          <w:szCs w:val="28"/>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highlight w:val="none"/>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color w:val="auto"/>
                <w:sz w:val="24"/>
                <w:highlight w:val="none"/>
                <w:u w:val="single"/>
              </w:rPr>
            </w:pPr>
          </w:p>
          <w:p>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color w:val="auto"/>
                <w:sz w:val="24"/>
                <w:highlight w:val="none"/>
                <w:u w:val="single"/>
              </w:rPr>
            </w:pPr>
          </w:p>
          <w:p>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highlight w:val="none"/>
              </w:rPr>
            </w:pPr>
          </w:p>
        </w:tc>
      </w:tr>
    </w:tbl>
    <w:p>
      <w:pPr>
        <w:pStyle w:val="14"/>
        <w:spacing w:line="480" w:lineRule="exact"/>
        <w:rPr>
          <w:rFonts w:hAnsi="宋体"/>
          <w:color w:val="auto"/>
          <w:sz w:val="28"/>
          <w:szCs w:val="28"/>
          <w:highlight w:val="none"/>
        </w:rPr>
      </w:pPr>
      <w:r>
        <w:rPr>
          <w:rFonts w:hint="eastAsia" w:hAnsi="宋体"/>
          <w:color w:val="auto"/>
          <w:sz w:val="28"/>
          <w:szCs w:val="28"/>
          <w:highlight w:val="none"/>
        </w:rPr>
        <w:t>注：</w:t>
      </w:r>
    </w:p>
    <w:p>
      <w:pPr>
        <w:pStyle w:val="14"/>
        <w:numPr>
          <w:ilvl w:val="0"/>
          <w:numId w:val="8"/>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pPr>
        <w:pStyle w:val="14"/>
        <w:numPr>
          <w:ilvl w:val="0"/>
          <w:numId w:val="8"/>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pPr>
        <w:pStyle w:val="14"/>
        <w:numPr>
          <w:ilvl w:val="0"/>
          <w:numId w:val="8"/>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pPr>
        <w:pStyle w:val="14"/>
        <w:numPr>
          <w:ilvl w:val="0"/>
          <w:numId w:val="8"/>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pPr>
        <w:adjustRightInd w:val="0"/>
        <w:snapToGrid w:val="0"/>
        <w:rPr>
          <w:rFonts w:ascii="宋体" w:hAnsi="宋体"/>
          <w:b/>
          <w:color w:val="auto"/>
          <w:sz w:val="28"/>
          <w:szCs w:val="28"/>
          <w:highlight w:val="none"/>
        </w:rPr>
      </w:pP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afterLines="50"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spacing w:line="480" w:lineRule="exact"/>
        <w:ind w:left="4599" w:leftChars="2190"/>
        <w:rPr>
          <w:rFonts w:ascii="宋体"/>
          <w:color w:val="auto"/>
          <w:sz w:val="28"/>
          <w:szCs w:val="28"/>
          <w:highlight w:val="none"/>
        </w:rPr>
      </w:pPr>
    </w:p>
    <w:p>
      <w:pPr>
        <w:rPr>
          <w:color w:val="auto"/>
          <w:sz w:val="28"/>
          <w:szCs w:val="28"/>
          <w:highlight w:val="none"/>
        </w:rPr>
      </w:pPr>
    </w:p>
    <w:p>
      <w:pPr>
        <w:rPr>
          <w:color w:val="auto"/>
          <w:sz w:val="24"/>
          <w:highlight w:val="none"/>
        </w:rPr>
      </w:pPr>
    </w:p>
    <w:p>
      <w:pPr>
        <w:rPr>
          <w:color w:val="auto"/>
          <w:sz w:val="24"/>
          <w:highlight w:val="none"/>
        </w:rPr>
      </w:pPr>
      <w:r>
        <w:rPr>
          <w:color w:val="auto"/>
          <w:sz w:val="24"/>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pPr>
        <w:pStyle w:val="14"/>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pPr>
        <w:pStyle w:val="14"/>
        <w:jc w:val="left"/>
        <w:rPr>
          <w:rFonts w:ascii="Times New Roman" w:hAnsi="Times New Roman"/>
          <w:color w:val="auto"/>
          <w:szCs w:val="21"/>
          <w:highlight w:val="none"/>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color w:val="auto"/>
                <w:kern w:val="2"/>
                <w:sz w:val="24"/>
                <w:highlight w:val="none"/>
              </w:rPr>
            </w:pPr>
            <w:r>
              <w:rPr>
                <w:rFonts w:hint="eastAsia" w:hAnsi="宋体"/>
                <w:color w:val="auto"/>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color w:val="auto"/>
                <w:kern w:val="2"/>
                <w:sz w:val="24"/>
                <w:highlight w:val="none"/>
              </w:rPr>
            </w:pPr>
            <w:r>
              <w:rPr>
                <w:rFonts w:hint="eastAsia" w:hAnsi="宋体"/>
                <w:b/>
                <w:color w:val="auto"/>
                <w:kern w:val="2"/>
                <w:sz w:val="24"/>
                <w:highlight w:val="none"/>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 xml:space="preserve"> 人民币：</w:t>
            </w:r>
          </w:p>
        </w:tc>
      </w:tr>
    </w:tbl>
    <w:p>
      <w:pPr>
        <w:pStyle w:val="14"/>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2、本表“报价总价”必须与《报价一览表》中的“报价总价”一致。</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3、对于报价免费的项目必须标明“免费”。</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4、所有根据采购书、合同以及其它原因应由成交人支付的税款和其它应交纳的费用都要包括在报价人提交的报价总价中。</w:t>
      </w:r>
    </w:p>
    <w:p>
      <w:pPr>
        <w:pStyle w:val="14"/>
        <w:jc w:val="left"/>
        <w:rPr>
          <w:rFonts w:ascii="Times New Roman" w:hAnsi="Times New Roman"/>
          <w:color w:val="auto"/>
          <w:szCs w:val="21"/>
          <w:highlight w:val="none"/>
        </w:rPr>
      </w:pPr>
    </w:p>
    <w:p>
      <w:pPr>
        <w:pStyle w:val="14"/>
        <w:jc w:val="left"/>
        <w:rPr>
          <w:rFonts w:ascii="Times New Roman" w:hAnsi="Times New Roman"/>
          <w:color w:val="auto"/>
          <w:szCs w:val="21"/>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afterLines="50" w:line="400" w:lineRule="exact"/>
        <w:rPr>
          <w:rFonts w:ascii="宋体" w:hAnsi="宋体" w:cs="宋体"/>
          <w:bCs/>
          <w:color w:val="auto"/>
          <w:szCs w:val="21"/>
          <w:highlight w:val="none"/>
        </w:rPr>
      </w:pPr>
      <w:r>
        <w:rPr>
          <w:rFonts w:hint="eastAsia" w:ascii="宋体" w:hAnsi="宋体"/>
          <w:color w:val="auto"/>
          <w:sz w:val="32"/>
          <w:szCs w:val="32"/>
          <w:highlight w:val="none"/>
        </w:rPr>
        <w:t>报价人单位（盖章）：</w:t>
      </w:r>
    </w:p>
    <w:p>
      <w:pPr>
        <w:rPr>
          <w:rFonts w:ascii="宋体" w:hAnsi="宋体" w:cs="宋体"/>
          <w:bCs/>
          <w:color w:val="auto"/>
          <w:szCs w:val="21"/>
          <w:highlight w:val="none"/>
        </w:rPr>
      </w:pPr>
      <w:r>
        <w:rPr>
          <w:rFonts w:hint="eastAsia" w:ascii="宋体" w:hAnsi="宋体" w:cs="宋体"/>
          <w:bCs/>
          <w:color w:val="auto"/>
          <w:szCs w:val="21"/>
          <w:highlight w:val="none"/>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bl>
    <w:p>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color w:val="auto"/>
          <w:sz w:val="24"/>
          <w:highlight w:val="none"/>
        </w:rPr>
      </w:pPr>
    </w:p>
    <w:p>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rPr>
          <w:b/>
          <w:bCs/>
          <w:color w:val="auto"/>
          <w:sz w:val="32"/>
          <w:highlight w:val="none"/>
        </w:rPr>
      </w:pPr>
      <w:r>
        <w:rPr>
          <w:rFonts w:hint="eastAsia"/>
          <w:b/>
          <w:bCs/>
          <w:color w:val="auto"/>
          <w:sz w:val="32"/>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bl>
    <w:p>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Pr>
        <w:rPr>
          <w:color w:val="auto"/>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rPr>
          <w:rFonts w:ascii="宋体" w:hAnsi="宋体"/>
          <w:color w:val="auto"/>
          <w:sz w:val="24"/>
          <w:highlight w:val="none"/>
        </w:rPr>
      </w:pPr>
      <w:r>
        <w:rPr>
          <w:rFonts w:hint="eastAsia" w:ascii="宋体" w:hAnsi="宋体"/>
          <w:color w:val="auto"/>
          <w:sz w:val="24"/>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pPr>
        <w:spacing w:line="560" w:lineRule="exact"/>
        <w:rPr>
          <w:rFonts w:ascii="宋体" w:hAnsi="宋体"/>
          <w:color w:val="auto"/>
          <w:sz w:val="28"/>
          <w:szCs w:val="28"/>
          <w:highlight w:val="none"/>
        </w:rPr>
      </w:pPr>
    </w:p>
    <w:p>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采购项目（项目编号：     ）</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pPr>
        <w:numPr>
          <w:ilvl w:val="0"/>
          <w:numId w:val="9"/>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pPr>
        <w:spacing w:line="400" w:lineRule="exact"/>
        <w:rPr>
          <w:rFonts w:ascii="宋体" w:hAnsi="宋体"/>
          <w:color w:val="auto"/>
          <w:sz w:val="24"/>
          <w:highlight w:val="none"/>
        </w:rPr>
      </w:pPr>
    </w:p>
    <w:p>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pPr>
        <w:spacing w:line="480" w:lineRule="exact"/>
        <w:rPr>
          <w:rFonts w:ascii="宋体" w:hAnsi="宋体"/>
          <w:color w:val="auto"/>
          <w:sz w:val="32"/>
          <w:szCs w:val="32"/>
          <w:highlight w:val="none"/>
        </w:rPr>
      </w:pPr>
    </w:p>
    <w:p>
      <w:pPr>
        <w:spacing w:line="48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pPr>
        <w:spacing w:line="320" w:lineRule="exact"/>
        <w:jc w:val="center"/>
        <w:rPr>
          <w:rFonts w:ascii="宋体" w:hAnsi="宋体"/>
          <w:b/>
          <w:color w:val="auto"/>
          <w:sz w:val="28"/>
          <w:szCs w:val="28"/>
          <w:highlight w:val="none"/>
        </w:rPr>
      </w:pPr>
    </w:p>
    <w:p>
      <w:pPr>
        <w:spacing w:line="320" w:lineRule="exact"/>
        <w:jc w:val="center"/>
        <w:rPr>
          <w:rFonts w:ascii="宋体" w:hAnsi="宋体"/>
          <w:b/>
          <w:color w:val="auto"/>
          <w:sz w:val="28"/>
          <w:szCs w:val="28"/>
          <w:highlight w:val="none"/>
        </w:rPr>
      </w:pPr>
    </w:p>
    <w:p>
      <w:pPr>
        <w:rPr>
          <w:rFonts w:ascii="宋体" w:hAnsi="宋体"/>
          <w:b/>
          <w:color w:val="auto"/>
          <w:sz w:val="44"/>
          <w:szCs w:val="44"/>
          <w:highlight w:val="none"/>
        </w:rPr>
      </w:pPr>
      <w:r>
        <w:rPr>
          <w:rFonts w:hint="eastAsia" w:ascii="宋体" w:hAnsi="宋体"/>
          <w:b/>
          <w:color w:val="auto"/>
          <w:sz w:val="44"/>
          <w:szCs w:val="44"/>
          <w:highlight w:val="none"/>
        </w:rPr>
        <w:br w:type="page"/>
      </w:r>
    </w:p>
    <w:p>
      <w:pPr>
        <w:numPr>
          <w:ilvl w:val="0"/>
          <w:numId w:val="7"/>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证明材料</w:t>
      </w:r>
    </w:p>
    <w:p>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5D3EA-D6D6-465F-AE39-5AD0036EE1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CAA663C-B959-4B5D-9FFE-8778D92EAC9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FA11C465-3CAE-45C7-A7EC-DED86129CDFC}"/>
  </w:font>
  <w:font w:name="方正小标宋_GBK">
    <w:panose1 w:val="03000509000000000000"/>
    <w:charset w:val="86"/>
    <w:family w:val="auto"/>
    <w:pitch w:val="default"/>
    <w:sig w:usb0="00000001" w:usb1="080E0000" w:usb2="00000000" w:usb3="00000000" w:csb0="00040000" w:csb1="00000000"/>
    <w:embedRegular r:id="rId4" w:fontKey="{14E75675-6D56-4183-8F38-475D1B2E1AB7}"/>
  </w:font>
  <w:font w:name="楷体_GB2312">
    <w:altName w:val="楷体"/>
    <w:panose1 w:val="00000000000000000000"/>
    <w:charset w:val="86"/>
    <w:family w:val="modern"/>
    <w:pitch w:val="default"/>
    <w:sig w:usb0="00000000" w:usb1="00000000" w:usb2="00000000" w:usb3="00000000" w:csb0="00040000" w:csb1="00000000"/>
    <w:embedRegular r:id="rId5" w:fontKey="{BFF9948E-BB5E-49A5-8103-8F96E1A89369}"/>
  </w:font>
  <w:font w:name="楷体">
    <w:panose1 w:val="02010609060101010101"/>
    <w:charset w:val="86"/>
    <w:family w:val="auto"/>
    <w:pitch w:val="default"/>
    <w:sig w:usb0="800002BF" w:usb1="38CF7CFA" w:usb2="00000016" w:usb3="00000000" w:csb0="00040001" w:csb1="00000000"/>
    <w:embedRegular r:id="rId6" w:fontKey="{FB5FB9FA-3A41-4564-A8BE-4E446D0E02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N2M0ZWVmOTgzOTNmNmM2OGFjZTNiMzlmOWQ2MW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6EA437E"/>
    <w:rsid w:val="173373DC"/>
    <w:rsid w:val="1753107A"/>
    <w:rsid w:val="18DC1D83"/>
    <w:rsid w:val="18DD33E1"/>
    <w:rsid w:val="18EE0C00"/>
    <w:rsid w:val="1AE42B15"/>
    <w:rsid w:val="1BFC52F9"/>
    <w:rsid w:val="20BC39CA"/>
    <w:rsid w:val="213E5304"/>
    <w:rsid w:val="21E00F42"/>
    <w:rsid w:val="245F6E0F"/>
    <w:rsid w:val="24905418"/>
    <w:rsid w:val="263B5217"/>
    <w:rsid w:val="27192484"/>
    <w:rsid w:val="27C423D8"/>
    <w:rsid w:val="28E13EA5"/>
    <w:rsid w:val="291150CE"/>
    <w:rsid w:val="2C6944DC"/>
    <w:rsid w:val="2D392A4B"/>
    <w:rsid w:val="2E2429AD"/>
    <w:rsid w:val="2E7F096C"/>
    <w:rsid w:val="2E950643"/>
    <w:rsid w:val="300E29BD"/>
    <w:rsid w:val="305B2BFC"/>
    <w:rsid w:val="311763F2"/>
    <w:rsid w:val="3237724D"/>
    <w:rsid w:val="32C61B83"/>
    <w:rsid w:val="344B05CF"/>
    <w:rsid w:val="34683033"/>
    <w:rsid w:val="35B77661"/>
    <w:rsid w:val="36583023"/>
    <w:rsid w:val="3713274F"/>
    <w:rsid w:val="376027F7"/>
    <w:rsid w:val="39A6093D"/>
    <w:rsid w:val="3AD13AD5"/>
    <w:rsid w:val="3B5725EA"/>
    <w:rsid w:val="3BF75747"/>
    <w:rsid w:val="3D832EB5"/>
    <w:rsid w:val="3EB43B95"/>
    <w:rsid w:val="3F0535D6"/>
    <w:rsid w:val="401A05CF"/>
    <w:rsid w:val="40652603"/>
    <w:rsid w:val="42532A81"/>
    <w:rsid w:val="42966345"/>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3C45248"/>
    <w:rsid w:val="68186279"/>
    <w:rsid w:val="68742FE5"/>
    <w:rsid w:val="697C1D6F"/>
    <w:rsid w:val="6A80153E"/>
    <w:rsid w:val="6F544E68"/>
    <w:rsid w:val="71301635"/>
    <w:rsid w:val="719242C5"/>
    <w:rsid w:val="72B62304"/>
    <w:rsid w:val="742D0AEA"/>
    <w:rsid w:val="750157C1"/>
    <w:rsid w:val="77F228DE"/>
    <w:rsid w:val="78851ED1"/>
    <w:rsid w:val="79C61CFF"/>
    <w:rsid w:val="7D4F3F9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w:basedOn w:val="1"/>
    <w:next w:val="1"/>
    <w:qFormat/>
    <w:uiPriority w:val="0"/>
    <w:pPr>
      <w:spacing w:after="120"/>
    </w:pPr>
    <w:rPr>
      <w:rFonts w:ascii="Times New Roman" w:hAnsi="Times New Roman" w:eastAsia="宋体" w:cs="Times New Roman"/>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14600</Words>
  <Characters>15167</Characters>
  <Lines>72</Lines>
  <Paragraphs>20</Paragraphs>
  <TotalTime>30</TotalTime>
  <ScaleCrop>false</ScaleCrop>
  <LinksUpToDate>false</LinksUpToDate>
  <CharactersWithSpaces>15761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黄秋雯</cp:lastModifiedBy>
  <cp:lastPrinted>2022-01-21T10:35:00Z</cp:lastPrinted>
  <dcterms:modified xsi:type="dcterms:W3CDTF">2024-11-27T01:23:40Z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EE4A7B5BB48D4B2AAC7E9A9354F2C2B4_13</vt:lpwstr>
  </property>
</Properties>
</file>