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Calibri" w:eastAsia="黑体" w:cs="黑体"/>
          <w:sz w:val="32"/>
          <w:szCs w:val="32"/>
          <w:lang w:val="en-US"/>
        </w:rPr>
      </w:pPr>
      <w:r>
        <w:rPr>
          <w:rFonts w:hint="eastAsia" w:ascii="黑体" w:hAnsi="Calibri" w:eastAsia="黑体" w:cs="黑体"/>
          <w:kern w:val="2"/>
          <w:sz w:val="32"/>
          <w:szCs w:val="32"/>
          <w:lang w:val="en-US" w:eastAsia="zh-CN" w:bidi="ar"/>
        </w:rPr>
        <w:t xml:space="preserve">附件4  </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黑体" w:hAnsi="Calibri" w:eastAsia="黑体" w:cs="黑体"/>
          <w:sz w:val="32"/>
          <w:szCs w:val="32"/>
          <w:lang w:val="en-US"/>
        </w:rPr>
      </w:pP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r>
        <w:rPr>
          <w:rFonts w:hint="eastAsia" w:ascii="黑体" w:hAnsi="Calibri" w:eastAsia="黑体" w:cs="黑体"/>
          <w:kern w:val="2"/>
          <w:sz w:val="72"/>
          <w:szCs w:val="72"/>
          <w:lang w:val="en-US" w:eastAsia="zh-CN" w:bidi="ar"/>
        </w:rPr>
        <w:t>采购需求</w:t>
      </w: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r>
        <w:rPr>
          <w:rFonts w:hint="eastAsia" w:ascii="黑体" w:hAnsi="Calibri" w:eastAsia="黑体" w:cs="黑体"/>
          <w:kern w:val="2"/>
          <w:sz w:val="72"/>
          <w:szCs w:val="72"/>
          <w:lang w:val="en-US" w:eastAsia="zh-CN" w:bidi="ar"/>
        </w:rPr>
        <w:t>与</w:t>
      </w: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r>
        <w:rPr>
          <w:rFonts w:hint="eastAsia" w:ascii="黑体" w:hAnsi="Calibri" w:eastAsia="黑体" w:cs="黑体"/>
          <w:kern w:val="2"/>
          <w:sz w:val="72"/>
          <w:szCs w:val="72"/>
          <w:lang w:val="en-US" w:eastAsia="zh-CN" w:bidi="ar"/>
        </w:rPr>
        <w:t>采购实施计划</w:t>
      </w: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r>
        <w:rPr>
          <w:rFonts w:hint="eastAsia" w:ascii="黑体" w:hAnsi="Calibri" w:eastAsia="黑体" w:cs="黑体"/>
          <w:kern w:val="2"/>
          <w:sz w:val="72"/>
          <w:szCs w:val="72"/>
          <w:lang w:val="en-US" w:eastAsia="zh-CN" w:bidi="ar"/>
        </w:rPr>
        <w:t>审</w:t>
      </w: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r>
        <w:rPr>
          <w:rFonts w:hint="eastAsia" w:ascii="黑体" w:hAnsi="Calibri" w:eastAsia="黑体" w:cs="黑体"/>
          <w:kern w:val="2"/>
          <w:sz w:val="72"/>
          <w:szCs w:val="72"/>
          <w:lang w:val="en-US" w:eastAsia="zh-CN" w:bidi="ar"/>
        </w:rPr>
        <w:t>查</w:t>
      </w: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黑体"/>
          <w:sz w:val="72"/>
          <w:szCs w:val="72"/>
          <w:lang w:val="en-US"/>
        </w:rPr>
      </w:pPr>
    </w:p>
    <w:p>
      <w:pPr>
        <w:keepNext w:val="0"/>
        <w:keepLines w:val="0"/>
        <w:widowControl w:val="0"/>
        <w:suppressLineNumbers w:val="0"/>
        <w:spacing w:before="0" w:beforeAutospacing="0" w:after="0" w:afterAutospacing="0" w:line="360" w:lineRule="auto"/>
        <w:ind w:left="0" w:right="0" w:firstLine="1440" w:firstLineChars="200"/>
        <w:jc w:val="center"/>
        <w:rPr>
          <w:rFonts w:hint="eastAsia" w:ascii="黑体" w:hAnsi="Calibri" w:eastAsia="黑体" w:cs="Arial"/>
          <w:kern w:val="2"/>
          <w:sz w:val="72"/>
          <w:szCs w:val="72"/>
          <w:lang w:val="en-US" w:eastAsia="zh-CN" w:bidi="ar"/>
        </w:rPr>
        <w:sectPr>
          <w:headerReference r:id="rId3" w:type="default"/>
          <w:pgSz w:w="11906" w:h="16838"/>
          <w:pgMar w:top="1135" w:right="1559" w:bottom="1985" w:left="1588" w:header="851" w:footer="992" w:gutter="0"/>
          <w:cols w:space="425" w:num="1"/>
          <w:docGrid w:type="lines" w:linePitch="312" w:charSpace="0"/>
        </w:sectPr>
      </w:pPr>
      <w:r>
        <w:rPr>
          <w:rFonts w:hint="eastAsia" w:ascii="黑体" w:hAnsi="Calibri" w:eastAsia="黑体" w:cs="黑体"/>
          <w:kern w:val="2"/>
          <w:sz w:val="72"/>
          <w:szCs w:val="72"/>
          <w:lang w:val="en-US" w:eastAsia="zh-CN" w:bidi="ar"/>
        </w:rPr>
        <w:t>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编 制 说 明</w:t>
      </w:r>
    </w:p>
    <w:p>
      <w:pPr>
        <w:keepNext w:val="0"/>
        <w:keepLines w:val="0"/>
        <w:widowControl w:val="0"/>
        <w:numPr>
          <w:ilvl w:val="0"/>
          <w:numId w:val="1"/>
        </w:numPr>
        <w:suppressLineNumbers w:val="0"/>
        <w:spacing w:before="0" w:beforeAutospacing="0" w:after="0" w:afterAutospacing="0" w:line="560" w:lineRule="exact"/>
        <w:ind w:left="0" w:right="0" w:firstLine="643" w:firstLineChars="200"/>
        <w:jc w:val="both"/>
        <w:rPr>
          <w:rFonts w:hint="eastAsia" w:ascii="仿宋" w:hAnsi="Calibri" w:eastAsia="仿宋" w:cs="仿宋"/>
          <w:b/>
          <w:bCs/>
          <w:kern w:val="2"/>
          <w:sz w:val="32"/>
          <w:szCs w:val="32"/>
          <w:lang w:val="en-US" w:eastAsia="zh-CN" w:bidi="ar"/>
        </w:rPr>
      </w:pPr>
      <w:r>
        <w:rPr>
          <w:rFonts w:hint="eastAsia" w:ascii="仿宋" w:hAnsi="Calibri" w:eastAsia="仿宋" w:cs="仿宋"/>
          <w:b/>
          <w:bCs/>
          <w:kern w:val="2"/>
          <w:sz w:val="32"/>
          <w:szCs w:val="32"/>
          <w:lang w:val="en-US" w:eastAsia="zh-CN" w:bidi="ar"/>
        </w:rPr>
        <w:t>采购与招投标中心根据审查小组意见编制采购需求与采购实施计划审查书。</w:t>
      </w:r>
    </w:p>
    <w:p>
      <w:pPr>
        <w:keepNext w:val="0"/>
        <w:keepLines w:val="0"/>
        <w:widowControl w:val="0"/>
        <w:numPr>
          <w:ilvl w:val="0"/>
          <w:numId w:val="0"/>
        </w:numPr>
        <w:suppressLineNumbers w:val="0"/>
        <w:spacing w:before="0" w:beforeAutospacing="0" w:after="0" w:afterAutospacing="0" w:line="560" w:lineRule="exact"/>
        <w:ind w:right="0" w:rightChars="0" w:firstLine="643" w:firstLineChars="200"/>
        <w:jc w:val="both"/>
        <w:rPr>
          <w:rFonts w:hint="eastAsia" w:ascii="仿宋" w:hAnsi="Calibri" w:eastAsia="仿宋" w:cs="仿宋"/>
          <w:b/>
          <w:bCs/>
          <w:sz w:val="32"/>
          <w:szCs w:val="32"/>
          <w:lang w:val="en-US"/>
        </w:rPr>
      </w:pPr>
      <w:r>
        <w:rPr>
          <w:rFonts w:hint="eastAsia" w:ascii="仿宋" w:hAnsi="Calibri" w:eastAsia="仿宋" w:cs="仿宋"/>
          <w:b/>
          <w:bCs/>
          <w:kern w:val="2"/>
          <w:sz w:val="32"/>
          <w:szCs w:val="32"/>
          <w:lang w:val="en-US" w:eastAsia="zh-CN" w:bidi="ar"/>
        </w:rPr>
        <w:t>二、编制的采购需求与采购实施计划审查书应当符合《财政部关于印发&lt;政府采购需求管理办法&gt;的通知》（财库〔2021〕22号）第三章、《广东省财政厅关于进一步加强政府采购需求管理工作的通知》（粤财采购函〔2023〕29号）要求、《广东财经大学采购管理办法》（粤财大〔2022〕99号）相关规定。</w:t>
      </w: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p>
    <w:p>
      <w:pPr>
        <w:pStyle w:val="6"/>
        <w:widowControl/>
        <w:pBdr>
          <w:top w:val="none" w:color="auto" w:sz="0" w:space="0"/>
          <w:left w:val="none" w:color="auto" w:sz="0" w:space="0"/>
          <w:bottom w:val="none" w:color="auto" w:sz="0" w:space="0"/>
          <w:right w:val="none" w:color="auto" w:sz="0" w:space="0"/>
          <w:between w:val="none" w:color="auto" w:sz="0" w:space="0"/>
        </w:pBdr>
        <w:ind w:left="0" w:firstLine="510" w:firstLineChars="98"/>
        <w:jc w:val="both"/>
        <w:rPr>
          <w:rFonts w:hint="eastAsia" w:ascii="华文中宋" w:hAnsi="Calibri" w:eastAsia="华文中宋" w:cs="华文中宋"/>
          <w:b/>
          <w:bCs w:val="0"/>
          <w:sz w:val="52"/>
          <w:szCs w:val="52"/>
          <w:u w:val="none"/>
          <w:lang w:eastAsia="zh-CN"/>
        </w:rPr>
      </w:pPr>
      <w:bookmarkStart w:id="0" w:name="_GoBack"/>
      <w:bookmarkEnd w:id="0"/>
    </w:p>
    <w:p>
      <w:pPr>
        <w:pStyle w:val="6"/>
        <w:widowControl/>
        <w:pBdr>
          <w:top w:val="none" w:color="auto" w:sz="0" w:space="0"/>
          <w:left w:val="none" w:color="auto" w:sz="0" w:space="0"/>
          <w:bottom w:val="none" w:color="auto" w:sz="0" w:space="0"/>
          <w:right w:val="none" w:color="auto" w:sz="0" w:space="0"/>
          <w:between w:val="none" w:color="auto" w:sz="0" w:space="0"/>
        </w:pBdr>
        <w:tabs>
          <w:tab w:val="left" w:pos="3168"/>
          <w:tab w:val="clear" w:pos="4153"/>
        </w:tabs>
        <w:ind w:left="0" w:firstLine="313" w:firstLineChars="98"/>
        <w:jc w:val="both"/>
        <w:rPr>
          <w:rFonts w:hint="eastAsia" w:ascii="黑体" w:hAnsi="Calibri" w:eastAsia="黑体" w:cs="黑体"/>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黑体" w:hAnsi="Calibri" w:eastAsia="黑体" w:cs="黑体"/>
          <w:kern w:val="2"/>
          <w:sz w:val="32"/>
          <w:szCs w:val="32"/>
          <w:lang w:val="en-US" w:eastAsia="zh-CN" w:bidi="ar"/>
        </w:rPr>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黑体" w:hAnsi="Calibri" w:eastAsia="黑体" w:cs="黑体"/>
          <w:sz w:val="32"/>
          <w:szCs w:val="32"/>
          <w:lang w:val="en-US"/>
        </w:rPr>
      </w:pPr>
      <w:r>
        <w:rPr>
          <w:rFonts w:hint="eastAsia" w:ascii="黑体" w:hAnsi="Calibri" w:eastAsia="黑体" w:cs="黑体"/>
          <w:kern w:val="2"/>
          <w:sz w:val="32"/>
          <w:szCs w:val="32"/>
          <w:lang w:val="en-US" w:eastAsia="zh-CN" w:bidi="ar"/>
        </w:rPr>
        <w:t>一、审查会议</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（一）会议时间：</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u w:val="single"/>
          <w:lang w:val="en-US"/>
        </w:rPr>
      </w:pPr>
      <w:r>
        <w:rPr>
          <w:rFonts w:hint="eastAsia" w:ascii="仿宋_GB2312" w:hAnsi="Calibri" w:eastAsia="仿宋_GB2312" w:cs="仿宋_GB2312"/>
          <w:kern w:val="2"/>
          <w:sz w:val="32"/>
          <w:szCs w:val="32"/>
          <w:lang w:val="en-US" w:eastAsia="zh-CN" w:bidi="ar"/>
        </w:rPr>
        <w:t>（二）会议地点：</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黑体" w:hAnsi="Calibri" w:eastAsia="黑体" w:cs="黑体"/>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黑体" w:hAnsi="Calibri" w:eastAsia="黑体" w:cs="黑体"/>
          <w:sz w:val="32"/>
          <w:szCs w:val="32"/>
          <w:lang w:val="en-US"/>
        </w:rPr>
      </w:pPr>
      <w:r>
        <w:rPr>
          <w:rFonts w:hint="eastAsia" w:ascii="黑体" w:hAnsi="Calibri" w:eastAsia="黑体" w:cs="黑体"/>
          <w:kern w:val="2"/>
          <w:sz w:val="32"/>
          <w:szCs w:val="32"/>
          <w:lang w:val="en-US" w:eastAsia="zh-CN" w:bidi="ar"/>
        </w:rPr>
        <w:t>二、项目情况</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楷体_GB2312" w:eastAsia="楷体_GB2312" w:cs="楷体_GB2312"/>
          <w:sz w:val="32"/>
          <w:szCs w:val="32"/>
          <w:u w:val="single"/>
          <w:lang w:val="en-US"/>
        </w:rPr>
      </w:pPr>
      <w:r>
        <w:rPr>
          <w:rFonts w:hint="eastAsia" w:ascii="楷体_GB2312" w:hAnsi="Calibri" w:eastAsia="楷体_GB2312" w:cs="楷体_GB2312"/>
          <w:kern w:val="2"/>
          <w:sz w:val="32"/>
          <w:szCs w:val="32"/>
          <w:lang w:val="en-US" w:eastAsia="zh-CN" w:bidi="ar"/>
        </w:rPr>
        <w:t>（一）项目名称：</w:t>
      </w:r>
      <w:r>
        <w:rPr>
          <w:rFonts w:hint="eastAsia" w:ascii="仿宋_GB2312" w:hAnsi="Calibri"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楷体_GB2312" w:eastAsia="楷体_GB2312" w:cs="楷体_GB2312"/>
          <w:sz w:val="32"/>
          <w:szCs w:val="32"/>
          <w:lang w:val="en-US"/>
        </w:rPr>
      </w:pPr>
      <w:r>
        <w:rPr>
          <w:rFonts w:hint="eastAsia" w:ascii="楷体_GB2312" w:hAnsi="Calibri" w:eastAsia="楷体_GB2312" w:cs="楷体_GB2312"/>
          <w:kern w:val="2"/>
          <w:sz w:val="32"/>
          <w:szCs w:val="32"/>
          <w:lang w:val="en-US" w:eastAsia="zh-CN" w:bidi="ar"/>
        </w:rPr>
        <w:t>（二）审查内容：</w:t>
      </w:r>
    </w:p>
    <w:p>
      <w:pPr>
        <w:keepNext w:val="0"/>
        <w:keepLines w:val="0"/>
        <w:widowControl w:val="0"/>
        <w:suppressLineNumbers w:val="0"/>
        <w:spacing w:before="0" w:beforeAutospacing="0" w:after="0" w:afterAutospacing="0" w:line="560" w:lineRule="exact"/>
        <w:ind w:left="0" w:right="0" w:firstLine="640" w:firstLineChars="200"/>
        <w:jc w:val="both"/>
        <w:rPr>
          <w:lang w:val="en-US"/>
        </w:rPr>
      </w:pPr>
      <w:r>
        <w:rPr>
          <w:rFonts w:hint="eastAsia" w:ascii="仿宋_GB2312" w:hAnsi="Calibri" w:eastAsia="仿宋_GB2312" w:cs="仿宋_GB2312"/>
          <w:kern w:val="2"/>
          <w:sz w:val="32"/>
          <w:szCs w:val="32"/>
          <w:lang w:val="en-US" w:eastAsia="zh-CN" w:bidi="ar"/>
        </w:rPr>
        <w:t>采购需求和采购实施计划。</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采购需求是指采购人为实现项目目标，拟采购的标的及其需要满足的技术、商务要求；采购实施计划是指采购人围绕实现采购需求，对合同的订立和管理所做的安排。</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黑体" w:hAnsi="Calibri" w:eastAsia="黑体" w:cs="黑体"/>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黑体" w:hAnsi="Calibri" w:eastAsia="黑体" w:cs="黑体"/>
          <w:sz w:val="32"/>
          <w:szCs w:val="32"/>
          <w:lang w:val="en-US"/>
        </w:rPr>
      </w:pPr>
      <w:r>
        <w:rPr>
          <w:rFonts w:hint="eastAsia" w:ascii="黑体" w:hAnsi="Calibri" w:eastAsia="黑体" w:cs="黑体"/>
          <w:kern w:val="2"/>
          <w:sz w:val="32"/>
          <w:szCs w:val="32"/>
          <w:lang w:val="en-US" w:eastAsia="zh-CN" w:bidi="ar"/>
        </w:rPr>
        <w:t>三、会议意见</w:t>
      </w:r>
    </w:p>
    <w:tbl>
      <w:tblPr>
        <w:tblStyle w:val="8"/>
        <w:tblW w:w="9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612"/>
        <w:gridCol w:w="5043"/>
        <w:gridCol w:w="1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7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sz w:val="28"/>
                <w:szCs w:val="28"/>
                <w:lang w:val="en-US"/>
              </w:rPr>
            </w:pPr>
            <w:r>
              <w:rPr>
                <w:rFonts w:hint="eastAsia" w:ascii="仿宋_GB2312" w:hAnsi="Calibri" w:eastAsia="仿宋_GB2312" w:cs="仿宋_GB2312"/>
                <w:b/>
                <w:bCs w:val="0"/>
                <w:kern w:val="2"/>
                <w:sz w:val="28"/>
                <w:szCs w:val="28"/>
                <w:lang w:val="en-US" w:eastAsia="zh-CN" w:bidi="ar"/>
              </w:rPr>
              <w:t>审查内容</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sz w:val="28"/>
                <w:szCs w:val="28"/>
                <w:lang w:val="en-US"/>
              </w:rPr>
            </w:pPr>
            <w:r>
              <w:rPr>
                <w:rFonts w:hint="eastAsia" w:ascii="仿宋_GB2312" w:hAnsi="Calibri" w:eastAsia="仿宋_GB2312" w:cs="仿宋_GB2312"/>
                <w:b/>
                <w:bCs w:val="0"/>
                <w:kern w:val="2"/>
                <w:sz w:val="28"/>
                <w:szCs w:val="28"/>
                <w:lang w:val="en-US" w:eastAsia="zh-CN" w:bidi="ar"/>
              </w:rPr>
              <w:t>审查结果</w:t>
            </w:r>
          </w:p>
          <w:p>
            <w:pPr>
              <w:pStyle w:val="7"/>
              <w:widowControl/>
              <w:rPr>
                <w:lang w:val="en-US"/>
              </w:rPr>
            </w:pPr>
            <w:r>
              <w:rPr>
                <w:lang w:val="en-US"/>
              </w:rPr>
              <w:t>(</w:t>
            </w:r>
            <w:r>
              <w:rPr>
                <w:rFonts w:hint="eastAsia" w:ascii="Calibri" w:hAnsi="Calibri" w:eastAsia="宋体" w:cs="宋体"/>
              </w:rPr>
              <w:t>通过</w:t>
            </w:r>
            <w:r>
              <w:rPr>
                <w:lang w:val="en-US"/>
              </w:rPr>
              <w:t>/</w:t>
            </w:r>
            <w:r>
              <w:rPr>
                <w:rFonts w:hint="eastAsia" w:ascii="Calibri" w:hAnsi="Calibri" w:eastAsia="宋体" w:cs="宋体"/>
              </w:rPr>
              <w:t>修改</w:t>
            </w:r>
            <w:r>
              <w:rPr>
                <w:lang w:val="en-US"/>
              </w:rPr>
              <w:t>/</w:t>
            </w:r>
            <w:r>
              <w:rPr>
                <w:rFonts w:hint="eastAsia" w:ascii="Calibri" w:hAnsi="Calibri" w:eastAsia="宋体" w:cs="宋体"/>
              </w:rPr>
              <w:t>不通过</w:t>
            </w: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7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b/>
                <w:bCs w:val="0"/>
                <w:sz w:val="28"/>
                <w:szCs w:val="28"/>
                <w:lang w:val="en-US"/>
              </w:rPr>
            </w:pPr>
            <w:r>
              <w:rPr>
                <w:rFonts w:hint="eastAsia" w:ascii="仿宋_GB2312" w:hAnsi="Calibri" w:eastAsia="仿宋_GB2312" w:cs="仿宋_GB2312"/>
                <w:kern w:val="2"/>
                <w:sz w:val="28"/>
                <w:szCs w:val="28"/>
                <w:lang w:val="en-US" w:eastAsia="zh-CN" w:bidi="ar"/>
              </w:rPr>
              <w:t>如需开展需求调查的，按规定开展需求调查</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7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b/>
                <w:bCs w:val="0"/>
                <w:sz w:val="28"/>
                <w:szCs w:val="28"/>
                <w:lang w:val="en-US"/>
              </w:rPr>
            </w:pPr>
            <w:r>
              <w:rPr>
                <w:rFonts w:hint="eastAsia" w:ascii="仿宋_GB2312" w:hAnsi="Calibri" w:eastAsia="仿宋_GB2312" w:cs="仿宋_GB2312"/>
                <w:kern w:val="2"/>
                <w:sz w:val="28"/>
                <w:szCs w:val="28"/>
                <w:lang w:val="en-US" w:eastAsia="zh-CN" w:bidi="ar"/>
              </w:rPr>
              <w:t>采购需求符合预算、资产、财务等管理制度规定</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7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b/>
                <w:bCs w:val="0"/>
                <w:sz w:val="28"/>
                <w:szCs w:val="28"/>
                <w:lang w:val="en-US"/>
              </w:rPr>
            </w:pPr>
            <w:r>
              <w:rPr>
                <w:rFonts w:hint="eastAsia" w:ascii="仿宋_GB2312" w:hAnsi="Calibri" w:eastAsia="仿宋_GB2312" w:cs="仿宋_GB2312"/>
                <w:kern w:val="2"/>
                <w:sz w:val="28"/>
                <w:szCs w:val="28"/>
                <w:lang w:val="en-US" w:eastAsia="zh-CN" w:bidi="ar"/>
              </w:rPr>
              <w:t>对采购方式、评审规则、合同类型、定价方式的选择适当</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7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b/>
                <w:bCs w:val="0"/>
                <w:sz w:val="28"/>
                <w:szCs w:val="28"/>
                <w:lang w:val="en-US"/>
              </w:rPr>
            </w:pPr>
            <w:r>
              <w:rPr>
                <w:rFonts w:hint="eastAsia" w:ascii="仿宋_GB2312" w:hAnsi="Calibri" w:eastAsia="仿宋_GB2312" w:cs="仿宋_GB2312"/>
                <w:kern w:val="2"/>
                <w:sz w:val="28"/>
                <w:szCs w:val="28"/>
                <w:lang w:val="en-US" w:eastAsia="zh-CN" w:bidi="ar"/>
              </w:rPr>
              <w:t>属于按规定需要报相关监管部门批准、核准的事项，作出相关安排</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7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b/>
                <w:bCs w:val="0"/>
                <w:sz w:val="28"/>
                <w:szCs w:val="28"/>
                <w:lang w:val="en-US"/>
              </w:rPr>
            </w:pPr>
            <w:r>
              <w:rPr>
                <w:rFonts w:hint="eastAsia" w:ascii="仿宋_GB2312" w:hAnsi="Calibri" w:eastAsia="仿宋_GB2312" w:cs="仿宋_GB2312"/>
                <w:kern w:val="2"/>
                <w:sz w:val="28"/>
                <w:szCs w:val="28"/>
                <w:lang w:val="en-US" w:eastAsia="zh-CN" w:bidi="ar"/>
              </w:rPr>
              <w:t>采购实施计划完整</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b/>
                <w:bCs w:val="0"/>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2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（一）非歧视性审查（主要审查是否指向特定供应商或者特定产品）</w:t>
            </w:r>
          </w:p>
        </w:tc>
        <w:tc>
          <w:tcPr>
            <w:tcW w:w="5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b/>
                <w:bCs w:val="0"/>
                <w:sz w:val="28"/>
                <w:szCs w:val="28"/>
                <w:lang w:val="en-US"/>
              </w:rPr>
            </w:pPr>
            <w:r>
              <w:rPr>
                <w:rFonts w:hint="eastAsia" w:ascii="仿宋_GB2312" w:hAnsi="Calibri" w:eastAsia="仿宋_GB2312" w:cs="仿宋_GB2312"/>
                <w:kern w:val="2"/>
                <w:sz w:val="28"/>
                <w:szCs w:val="28"/>
                <w:lang w:val="en-US" w:eastAsia="zh-CN" w:bidi="ar"/>
              </w:rPr>
              <w:t>资格条件设置合理</w:t>
            </w:r>
          </w:p>
        </w:tc>
        <w:tc>
          <w:tcPr>
            <w:tcW w:w="1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技术要求无指向特定的专利、商标、品牌、技术路线等</w:t>
            </w:r>
          </w:p>
        </w:tc>
        <w:tc>
          <w:tcPr>
            <w:tcW w:w="19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评审因素设置无倾向性</w:t>
            </w:r>
          </w:p>
        </w:tc>
        <w:tc>
          <w:tcPr>
            <w:tcW w:w="19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将有关履约能力作为评审因素适当</w:t>
            </w:r>
          </w:p>
        </w:tc>
        <w:tc>
          <w:tcPr>
            <w:tcW w:w="1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2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（二）竞争性审查（主要审查是否确保充分竞争）</w:t>
            </w:r>
          </w:p>
        </w:tc>
        <w:tc>
          <w:tcPr>
            <w:tcW w:w="5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采购需求内容完整、明确</w:t>
            </w:r>
          </w:p>
        </w:tc>
        <w:tc>
          <w:tcPr>
            <w:tcW w:w="1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采购需求内容考虑后续采购竞争性</w:t>
            </w:r>
          </w:p>
        </w:tc>
        <w:tc>
          <w:tcPr>
            <w:tcW w:w="19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评审方法、评审因素、价格权重等评审规则适当</w:t>
            </w:r>
          </w:p>
        </w:tc>
        <w:tc>
          <w:tcPr>
            <w:tcW w:w="19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（三）采购政策审查</w:t>
            </w:r>
          </w:p>
        </w:tc>
        <w:tc>
          <w:tcPr>
            <w:tcW w:w="5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落实中小企业发展政府采购政策要求</w:t>
            </w:r>
          </w:p>
        </w:tc>
        <w:tc>
          <w:tcPr>
            <w:tcW w:w="1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落实绿色发展、节能环保政府采购政策要求</w:t>
            </w:r>
          </w:p>
        </w:tc>
        <w:tc>
          <w:tcPr>
            <w:tcW w:w="1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落实支持监狱发展、支持创新、促进残疾人就业等政府采购政策要求</w:t>
            </w:r>
          </w:p>
        </w:tc>
        <w:tc>
          <w:tcPr>
            <w:tcW w:w="1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（四）履约风险审查</w:t>
            </w:r>
          </w:p>
        </w:tc>
        <w:tc>
          <w:tcPr>
            <w:tcW w:w="5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合同文本条款清晰、符合规范；合同文本运用适当</w:t>
            </w:r>
          </w:p>
        </w:tc>
        <w:tc>
          <w:tcPr>
            <w:tcW w:w="1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围绕采购需求和合同履行设置权利义务</w:t>
            </w:r>
          </w:p>
        </w:tc>
        <w:tc>
          <w:tcPr>
            <w:tcW w:w="1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履约验收方案完整、标准明确</w:t>
            </w:r>
          </w:p>
        </w:tc>
        <w:tc>
          <w:tcPr>
            <w:tcW w:w="19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2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50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风险处置措施和替代方案可行</w:t>
            </w:r>
          </w:p>
        </w:tc>
        <w:tc>
          <w:tcPr>
            <w:tcW w:w="19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（五）其他</w:t>
            </w:r>
          </w:p>
        </w:tc>
        <w:tc>
          <w:tcPr>
            <w:tcW w:w="5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eastAsia" w:ascii="仿宋" w:hAnsi="Calibri" w:eastAsia="仿宋" w:cs="仿宋"/>
                <w:i/>
                <w:iCs w:val="0"/>
                <w:sz w:val="28"/>
                <w:szCs w:val="28"/>
                <w:u w:val="single"/>
                <w:lang w:val="en-US"/>
              </w:rPr>
            </w:pPr>
            <w:r>
              <w:rPr>
                <w:rFonts w:hint="eastAsia" w:ascii="仿宋" w:hAnsi="Calibri" w:eastAsia="仿宋" w:cs="仿宋"/>
                <w:i/>
                <w:iCs w:val="0"/>
                <w:kern w:val="2"/>
                <w:sz w:val="28"/>
                <w:szCs w:val="28"/>
                <w:u w:val="single"/>
                <w:lang w:val="en-US" w:eastAsia="zh-CN" w:bidi="ar"/>
              </w:rPr>
              <w:t>应列明审查的具体内容。</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 w:hAnsi="Calibri" w:eastAsia="仿宋" w:cs="仿宋"/>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765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right"/>
              <w:rPr>
                <w:rFonts w:hint="eastAsia" w:ascii="仿宋_GB2312" w:eastAsia="仿宋_GB2312" w:cs="仿宋_GB2312"/>
                <w:b/>
                <w:bCs w:val="0"/>
                <w:sz w:val="28"/>
                <w:szCs w:val="28"/>
                <w:lang w:val="en-US"/>
              </w:rPr>
            </w:pPr>
            <w:r>
              <w:rPr>
                <w:rFonts w:hint="eastAsia" w:ascii="仿宋_GB2312" w:hAnsi="Calibri" w:eastAsia="仿宋_GB2312" w:cs="仿宋_GB2312"/>
                <w:b/>
                <w:bCs w:val="0"/>
                <w:kern w:val="2"/>
                <w:sz w:val="28"/>
                <w:szCs w:val="28"/>
                <w:lang w:val="en-US" w:eastAsia="zh-CN" w:bidi="ar"/>
              </w:rPr>
              <w:t>会议结论</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955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pStyle w:val="3"/>
              <w:widowControl/>
              <w:spacing w:line="560" w:lineRule="exact"/>
              <w:ind w:left="0" w:firstLine="560" w:firstLineChars="200"/>
              <w:rPr>
                <w:rFonts w:hint="eastAsia" w:ascii="仿宋_GB2312" w:eastAsia="仿宋_GB2312" w:cs="仿宋_GB2312"/>
                <w:sz w:val="28"/>
                <w:szCs w:val="28"/>
                <w:lang w:val="en-US"/>
              </w:rPr>
            </w:pPr>
            <w:r>
              <w:rPr>
                <w:rFonts w:hint="eastAsia" w:ascii="仿宋_GB2312" w:eastAsia="仿宋_GB2312" w:cs="仿宋_GB2312"/>
                <w:sz w:val="28"/>
                <w:szCs w:val="28"/>
              </w:rPr>
              <w:t>会议意见：</w:t>
            </w:r>
          </w:p>
          <w:p>
            <w:pPr>
              <w:pStyle w:val="3"/>
              <w:widowControl/>
              <w:ind w:left="0" w:firstLine="560" w:firstLineChars="200"/>
              <w:rPr>
                <w:rFonts w:hint="eastAsia" w:ascii="仿宋_GB2312" w:eastAsia="仿宋_GB2312" w:cs="仿宋_GB2312"/>
                <w:iCs/>
                <w:sz w:val="28"/>
                <w:szCs w:val="28"/>
                <w:u w:val="single"/>
                <w:lang w:val="en-US"/>
              </w:rPr>
            </w:pPr>
            <w:r>
              <w:rPr>
                <w:rFonts w:hint="eastAsia" w:ascii="仿宋_GB2312" w:eastAsia="仿宋_GB2312" w:cs="仿宋_GB2312"/>
                <w:iCs/>
                <w:sz w:val="28"/>
                <w:szCs w:val="28"/>
                <w:u w:val="single"/>
              </w:rPr>
              <w:t>经审查，采购需求、采购实施计划是</w:t>
            </w:r>
            <w:r>
              <w:rPr>
                <w:rFonts w:hint="eastAsia" w:ascii="仿宋_GB2312" w:eastAsia="仿宋_GB2312" w:cs="仿宋_GB2312"/>
                <w:iCs/>
                <w:sz w:val="28"/>
                <w:szCs w:val="28"/>
                <w:u w:val="single"/>
                <w:lang w:val="en-US"/>
              </w:rPr>
              <w:t>/</w:t>
            </w:r>
            <w:r>
              <w:rPr>
                <w:rFonts w:hint="eastAsia" w:ascii="仿宋_GB2312" w:eastAsia="仿宋_GB2312" w:cs="仿宋_GB2312"/>
                <w:iCs/>
                <w:sz w:val="28"/>
                <w:szCs w:val="28"/>
                <w:u w:val="single"/>
              </w:rPr>
              <w:t>否符合相关规定，审查是</w:t>
            </w:r>
            <w:r>
              <w:rPr>
                <w:rFonts w:hint="eastAsia" w:ascii="仿宋_GB2312" w:eastAsia="仿宋_GB2312" w:cs="仿宋_GB2312"/>
                <w:iCs/>
                <w:sz w:val="28"/>
                <w:szCs w:val="28"/>
                <w:u w:val="single"/>
                <w:lang w:val="en-US"/>
              </w:rPr>
              <w:t>/</w:t>
            </w:r>
            <w:r>
              <w:rPr>
                <w:rFonts w:hint="eastAsia" w:ascii="仿宋_GB2312" w:eastAsia="仿宋_GB2312" w:cs="仿宋_GB2312"/>
                <w:iCs/>
                <w:sz w:val="28"/>
                <w:szCs w:val="28"/>
                <w:u w:val="single"/>
              </w:rPr>
              <w:t>否通过。</w:t>
            </w:r>
          </w:p>
          <w:p>
            <w:pPr>
              <w:pStyle w:val="3"/>
              <w:widowControl/>
              <w:ind w:left="0" w:firstLine="560" w:firstLineChars="200"/>
              <w:rPr>
                <w:rFonts w:hint="eastAsia" w:ascii="仿宋_GB2312" w:eastAsia="仿宋_GB2312" w:cs="仿宋_GB2312"/>
                <w:iCs/>
                <w:sz w:val="28"/>
                <w:szCs w:val="28"/>
                <w:u w:val="single"/>
                <w:lang w:val="en-US"/>
              </w:rPr>
            </w:pPr>
            <w:r>
              <w:rPr>
                <w:rFonts w:hint="eastAsia" w:ascii="仿宋_GB2312" w:eastAsia="仿宋_GB2312" w:cs="仿宋_GB2312"/>
                <w:iCs/>
                <w:sz w:val="28"/>
                <w:szCs w:val="28"/>
                <w:u w:val="single"/>
              </w:rPr>
              <w:t>并对以下内容进行完善：</w:t>
            </w:r>
          </w:p>
          <w:p>
            <w:pPr>
              <w:pStyle w:val="3"/>
              <w:widowControl/>
              <w:ind w:left="0" w:firstLine="560" w:firstLineChars="200"/>
              <w:rPr>
                <w:rFonts w:hint="eastAsia" w:ascii="仿宋_GB2312" w:eastAsia="仿宋_GB2312" w:cs="仿宋_GB2312"/>
                <w:i/>
                <w:iCs w:val="0"/>
                <w:sz w:val="28"/>
                <w:szCs w:val="28"/>
                <w:u w:val="single"/>
                <w:lang w:val="en-US"/>
              </w:rPr>
            </w:pPr>
            <w:r>
              <w:rPr>
                <w:rFonts w:hint="eastAsia" w:ascii="仿宋_GB2312" w:eastAsia="仿宋_GB2312" w:cs="仿宋_GB2312"/>
                <w:i/>
                <w:iCs w:val="0"/>
                <w:sz w:val="28"/>
                <w:szCs w:val="28"/>
                <w:u w:val="single"/>
                <w:lang w:val="en-US"/>
              </w:rPr>
              <w:t xml:space="preserve"> </w:t>
            </w:r>
          </w:p>
        </w:tc>
      </w:tr>
    </w:tbl>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 w:hAnsi="Calibri" w:eastAsia="仿宋" w:cs="仿宋"/>
          <w:iCs/>
          <w:sz w:val="32"/>
          <w:szCs w:val="32"/>
          <w:lang w:val="en-US"/>
        </w:rPr>
      </w:pPr>
      <w:r>
        <w:rPr>
          <w:rFonts w:hint="eastAsia" w:ascii="仿宋" w:hAnsi="Calibri" w:eastAsia="仿宋" w:cs="仿宋"/>
          <w:iCs/>
          <w:kern w:val="2"/>
          <w:sz w:val="32"/>
          <w:szCs w:val="32"/>
          <w:lang w:val="en-US" w:eastAsia="zh-CN" w:bidi="ar"/>
        </w:rPr>
        <w:t>说明：1.审查结果为“通过”或“修改”或“不通过”，审查结果“不通过”的，还需说明具体原因。</w:t>
      </w:r>
    </w:p>
    <w:p>
      <w:pPr>
        <w:keepNext w:val="0"/>
        <w:keepLines w:val="0"/>
        <w:widowControl w:val="0"/>
        <w:suppressLineNumbers w:val="0"/>
        <w:spacing w:before="0" w:beforeAutospacing="0" w:after="0" w:afterAutospacing="0" w:line="560" w:lineRule="exact"/>
        <w:ind w:left="0" w:right="0" w:firstLine="1600" w:firstLineChars="500"/>
        <w:jc w:val="left"/>
        <w:rPr>
          <w:rFonts w:hint="eastAsia" w:ascii="仿宋" w:hAnsi="Calibri" w:eastAsia="仿宋" w:cs="仿宋"/>
          <w:iCs/>
          <w:sz w:val="32"/>
          <w:szCs w:val="32"/>
          <w:lang w:val="en-US"/>
        </w:rPr>
      </w:pPr>
      <w:r>
        <w:rPr>
          <w:rFonts w:hint="eastAsia" w:ascii="仿宋" w:hAnsi="Calibri" w:eastAsia="仿宋" w:cs="仿宋"/>
          <w:iCs/>
          <w:kern w:val="2"/>
          <w:sz w:val="32"/>
          <w:szCs w:val="32"/>
          <w:lang w:val="en-US" w:eastAsia="zh-CN" w:bidi="ar"/>
        </w:rPr>
        <w:t>2.审查结果全部为“通过”的，则审查结论为“通过”。审查结果有一项为“不通过”的，则审查结论为“不通过”。</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 w:hAnsi="Calibri" w:eastAsia="仿宋" w:cs="仿宋"/>
          <w:i/>
          <w:iCs w:val="0"/>
          <w:sz w:val="32"/>
          <w:szCs w:val="32"/>
          <w:u w:val="single"/>
          <w:lang w:val="en-US"/>
        </w:rPr>
      </w:pP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参会人员（签字）：</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附表：1.商务技术评审表</w:t>
      </w:r>
    </w:p>
    <w:p>
      <w:pPr>
        <w:pStyle w:val="7"/>
        <w:widowControl/>
        <w:ind w:left="0" w:firstLine="1600" w:firstLineChars="500"/>
        <w:rPr>
          <w:rFonts w:hint="eastAsia" w:ascii="仿宋_GB2312" w:eastAsia="仿宋_GB2312" w:cs="仿宋_GB2312"/>
          <w:sz w:val="32"/>
          <w:szCs w:val="32"/>
          <w:lang w:val="en-US"/>
        </w:rPr>
      </w:pPr>
      <w:r>
        <w:rPr>
          <w:rFonts w:hint="eastAsia" w:ascii="仿宋_GB2312" w:eastAsia="仿宋_GB2312" w:cs="仿宋_GB2312"/>
          <w:sz w:val="32"/>
          <w:szCs w:val="32"/>
          <w:lang w:val="en-US"/>
        </w:rPr>
        <w:t>2.</w:t>
      </w:r>
      <w:r>
        <w:rPr>
          <w:rFonts w:hint="eastAsia" w:ascii="仿宋_GB2312" w:eastAsia="仿宋_GB2312" w:cs="仿宋_GB2312"/>
          <w:sz w:val="32"/>
          <w:szCs w:val="32"/>
          <w:lang w:eastAsia="zh-CN"/>
        </w:rPr>
        <w:t>会议签到表</w:t>
      </w: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pStyle w:val="7"/>
        <w:widowControl/>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黑体" w:hAnsi="Calibri" w:eastAsia="黑体" w:cs="宋体"/>
          <w:sz w:val="32"/>
          <w:szCs w:val="32"/>
          <w:lang w:val="en-US"/>
        </w:rPr>
      </w:pP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E8DF6"/>
    <w:multiLevelType w:val="singleLevel"/>
    <w:tmpl w:val="A28E8D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32BD2"/>
    <w:rsid w:val="0A220AAD"/>
    <w:rsid w:val="130D347A"/>
    <w:rsid w:val="1ADA169B"/>
    <w:rsid w:val="24485B15"/>
    <w:rsid w:val="408B7DFA"/>
    <w:rsid w:val="46603AD2"/>
    <w:rsid w:val="4DF55A74"/>
    <w:rsid w:val="58FF415C"/>
    <w:rsid w:val="5A5874C6"/>
    <w:rsid w:val="6A232BD2"/>
    <w:rsid w:val="7CF2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val="0"/>
      <w:widowControl w:val="0"/>
      <w:suppressLineNumbers w:val="0"/>
      <w:spacing w:before="0" w:beforeAutospacing="0" w:after="0" w:afterAutospacing="0"/>
      <w:ind w:left="0" w:right="0"/>
      <w:jc w:val="both"/>
      <w:outlineLvl w:val="2"/>
    </w:pPr>
    <w:rPr>
      <w:rFonts w:hint="eastAsia" w:ascii="楷体_GB2312" w:hAnsi="楷体_GB2312" w:eastAsia="黑体" w:cs="Arial"/>
      <w:b/>
      <w:bCs/>
      <w:kern w:val="2"/>
      <w:sz w:val="32"/>
      <w:szCs w:val="22"/>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annotation text"/>
    <w:basedOn w:val="1"/>
    <w:next w:val="4"/>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Arial"/>
      <w:kern w:val="2"/>
      <w:sz w:val="21"/>
      <w:szCs w:val="22"/>
      <w:lang w:val="en-US" w:eastAsia="zh-CN" w:bidi="ar"/>
    </w:rPr>
  </w:style>
  <w:style w:type="paragraph" w:styleId="4">
    <w:name w:val="Balloon Text"/>
    <w:basedOn w:val="1"/>
    <w:qFormat/>
    <w:uiPriority w:val="0"/>
    <w:rPr>
      <w:sz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Calibri" w:hAnsi="Calibri" w:eastAsia="宋体" w:cs="Arial"/>
      <w:kern w:val="2"/>
      <w:sz w:val="18"/>
      <w:szCs w:val="18"/>
      <w:lang w:val="en-US" w:eastAsia="zh-CN" w:bidi="ar"/>
    </w:rPr>
  </w:style>
  <w:style w:type="paragraph" w:styleId="7">
    <w:name w:val="footnote text"/>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eastAsia="宋体" w:cs="Arial"/>
      <w:kern w:val="2"/>
      <w:sz w:val="18"/>
      <w:szCs w:val="1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2023-07-03T00:26:00Z</dcterms:created>
  <dc:creator>蒋桂芹</dc:creator>
  <cp:lastModifiedBy>蒋桂芹</cp:lastModifiedBy>
  <dcterms:modified xsi:type="dcterms:W3CDTF">2023-07-03T02:36:38Z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EAC67FDD20DD406C8C463185037E368A</vt:lpwstr>
  </property>
</Properties>
</file>