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 xml:space="preserve">佛山校区共建教师宿舍电表改造项目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佛山校区管理委员会</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w:t>
      </w:r>
      <w:r>
        <w:rPr>
          <w:rFonts w:ascii="宋体" w:hAnsi="宋体"/>
          <w:b/>
          <w:sz w:val="36"/>
          <w:u w:val="single"/>
        </w:rPr>
        <w:t>4</w:t>
      </w:r>
      <w:r>
        <w:rPr>
          <w:rFonts w:hint="eastAsia" w:ascii="宋体" w:hAnsi="宋体"/>
          <w:b/>
          <w:sz w:val="36"/>
          <w:u w:val="single"/>
        </w:rPr>
        <w:t>年</w:t>
      </w:r>
      <w:r>
        <w:rPr>
          <w:rFonts w:hint="eastAsia" w:ascii="宋体" w:hAnsi="宋体"/>
          <w:b/>
          <w:sz w:val="36"/>
          <w:u w:val="single"/>
          <w:lang w:val="en-US" w:eastAsia="zh-CN"/>
        </w:rPr>
        <w:t>11</w:t>
      </w:r>
      <w:r>
        <w:rPr>
          <w:rFonts w:hint="eastAsia" w:ascii="宋体" w:hAnsi="宋体"/>
          <w:b/>
          <w:sz w:val="36"/>
          <w:u w:val="single"/>
        </w:rPr>
        <w:t>月</w:t>
      </w:r>
      <w:r>
        <w:rPr>
          <w:rFonts w:hint="eastAsia" w:ascii="宋体" w:hAnsi="宋体"/>
          <w:b/>
          <w:sz w:val="36"/>
          <w:u w:val="single"/>
          <w:lang w:val="en-US" w:eastAsia="zh-CN"/>
        </w:rPr>
        <w:t>04</w:t>
      </w:r>
      <w:bookmarkStart w:id="31" w:name="_GoBack"/>
      <w:bookmarkEnd w:id="31"/>
      <w:r>
        <w:rPr>
          <w:rFonts w:hint="eastAsia" w:ascii="宋体" w:hAnsi="宋体"/>
          <w:b/>
          <w:sz w:val="36"/>
          <w:u w:val="single"/>
        </w:rPr>
        <w:t>日</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为确保电费计量准确和收费公平透明，提供便捷的管理手段，减少</w:t>
      </w:r>
      <w:r>
        <w:rPr>
          <w:rFonts w:hint="eastAsia" w:ascii="宋体" w:hAnsi="宋体"/>
          <w:sz w:val="28"/>
          <w:szCs w:val="28"/>
        </w:rPr>
        <w:t>人力成本，提高工作效率</w:t>
      </w:r>
      <w:r>
        <w:rPr>
          <w:rFonts w:hint="eastAsia" w:ascii="宋体" w:hAnsi="宋体"/>
          <w:sz w:val="28"/>
          <w:szCs w:val="28"/>
          <w:lang w:eastAsia="zh-CN"/>
        </w:rPr>
        <w:t>，</w:t>
      </w:r>
      <w:r>
        <w:rPr>
          <w:rFonts w:hint="eastAsia" w:ascii="宋体" w:hAnsi="宋体"/>
          <w:sz w:val="28"/>
          <w:szCs w:val="28"/>
          <w:lang w:val="en-US" w:eastAsia="zh-CN"/>
        </w:rPr>
        <w:t>并有效防止因人为操作失误而引发的损失和浪费情况</w:t>
      </w:r>
      <w:r>
        <w:rPr>
          <w:rFonts w:hint="eastAsia" w:ascii="宋体" w:hAnsi="宋体"/>
          <w:sz w:val="28"/>
          <w:szCs w:val="28"/>
          <w:lang w:eastAsia="zh-CN"/>
        </w:rPr>
        <w:t>，</w:t>
      </w:r>
      <w:r>
        <w:rPr>
          <w:rFonts w:hint="eastAsia" w:ascii="宋体" w:hAnsi="宋体"/>
          <w:sz w:val="28"/>
          <w:szCs w:val="28"/>
          <w:lang w:val="en-US" w:eastAsia="zh-CN"/>
        </w:rPr>
        <w:t>需对佛山校区共建教师宿舍电表进行改造，对接校区电控系统，实现远程抄表功能。</w:t>
      </w:r>
    </w:p>
    <w:p>
      <w:pPr>
        <w:spacing w:line="560" w:lineRule="exact"/>
        <w:ind w:firstLine="560" w:firstLineChars="200"/>
        <w:rPr>
          <w:rFonts w:ascii="宋体" w:hAnsi="宋体"/>
          <w:sz w:val="28"/>
          <w:szCs w:val="28"/>
        </w:rPr>
      </w:pPr>
      <w:r>
        <w:rPr>
          <w:rFonts w:hint="eastAsia" w:ascii="宋体" w:hAnsi="宋体"/>
          <w:sz w:val="28"/>
          <w:szCs w:val="28"/>
          <w:lang w:val="en-US" w:eastAsia="zh-CN"/>
        </w:rPr>
        <w:t>二、经费预算：</w:t>
      </w:r>
      <w:r>
        <w:rPr>
          <w:rFonts w:hint="eastAsia" w:ascii="宋体" w:hAnsi="宋体"/>
          <w:sz w:val="28"/>
          <w:szCs w:val="28"/>
        </w:rPr>
        <w:t>本项目采购预算控制价</w:t>
      </w:r>
      <w:r>
        <w:rPr>
          <w:rFonts w:hint="eastAsia" w:ascii="宋体" w:hAnsi="宋体"/>
          <w:sz w:val="28"/>
          <w:szCs w:val="28"/>
          <w:lang w:val="en-US" w:eastAsia="zh-CN"/>
        </w:rPr>
        <w:t>20000</w:t>
      </w:r>
      <w:r>
        <w:rPr>
          <w:rFonts w:hint="eastAsia" w:ascii="宋体" w:hAnsi="宋体"/>
          <w:sz w:val="28"/>
          <w:szCs w:val="28"/>
        </w:rPr>
        <w:t>元，</w:t>
      </w:r>
      <w:r>
        <w:rPr>
          <w:rFonts w:hint="eastAsia" w:ascii="宋体" w:hAnsi="宋体"/>
          <w:sz w:val="28"/>
          <w:szCs w:val="28"/>
          <w:lang w:val="en-US" w:eastAsia="zh-CN"/>
        </w:rPr>
        <w:t>超出预算价的报价无效</w:t>
      </w:r>
      <w:r>
        <w:rPr>
          <w:rFonts w:ascii="宋体" w:hAnsi="宋体"/>
          <w:sz w:val="28"/>
          <w:szCs w:val="28"/>
        </w:rPr>
        <w:t>。</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lang w:val="en-US" w:eastAsia="zh-CN"/>
        </w:rPr>
        <w:t>非联合体投标</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color w:val="000000" w:themeColor="text1"/>
          <w:sz w:val="28"/>
          <w:szCs w:val="28"/>
          <w:u w:val="single"/>
          <w14:textFill>
            <w14:solidFill>
              <w14:schemeClr w14:val="tx1"/>
            </w14:solidFill>
          </w14:textFill>
        </w:rPr>
        <w:t>（ 一 ）</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宋体" w:hAnsi="宋体"/>
          <w:sz w:val="28"/>
          <w:szCs w:val="28"/>
        </w:rPr>
        <w:t>采购单位应对评审小组推荐的成交供应商确认后，</w:t>
      </w:r>
      <w:r>
        <w:rPr>
          <w:rFonts w:hint="eastAsia" w:ascii="Times New Roman" w:hAnsi="Times New Roman" w:eastAsia="宋体" w:cs="Times New Roman"/>
          <w:sz w:val="28"/>
          <w:szCs w:val="28"/>
          <w:lang w:val="en-US" w:eastAsia="zh-CN"/>
        </w:rPr>
        <w:t>成交结果公告发布在广东财经大学采购网站（http://bidding.gdufe.edu.cn/）和广东财经大学佛山校区网站。</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hint="eastAsia" w:ascii="宋体" w:hAnsi="宋体" w:eastAsia="宋体"/>
          <w:b/>
          <w:bCs/>
          <w:sz w:val="28"/>
          <w:szCs w:val="28"/>
          <w:lang w:eastAsia="zh-CN"/>
        </w:rPr>
      </w:pPr>
      <w:r>
        <w:rPr>
          <w:rFonts w:hint="eastAsia" w:ascii="宋体" w:hAnsi="宋体"/>
          <w:b/>
          <w:bCs/>
          <w:sz w:val="28"/>
          <w:szCs w:val="28"/>
        </w:rPr>
        <w:t>详细评审表</w:t>
      </w:r>
      <w:r>
        <w:rPr>
          <w:rFonts w:hint="eastAsia" w:ascii="宋体" w:hAnsi="宋体"/>
          <w:b/>
          <w:bCs/>
          <w:sz w:val="28"/>
          <w:szCs w:val="28"/>
          <w:lang w:eastAsia="zh-CN"/>
        </w:rPr>
        <w:t>（</w:t>
      </w:r>
      <w:r>
        <w:rPr>
          <w:rFonts w:hint="eastAsia" w:ascii="宋体" w:hAnsi="宋体"/>
          <w:b/>
          <w:bCs/>
          <w:sz w:val="28"/>
          <w:szCs w:val="28"/>
          <w:lang w:val="en-US" w:eastAsia="zh-CN"/>
        </w:rPr>
        <w:t>评审方法二使用</w:t>
      </w:r>
      <w:r>
        <w:rPr>
          <w:rFonts w:hint="eastAsia" w:ascii="宋体" w:hAnsi="宋体"/>
          <w:b/>
          <w:bCs/>
          <w:sz w:val="28"/>
          <w:szCs w:val="28"/>
          <w:lang w:eastAsia="zh-CN"/>
        </w:rPr>
        <w:t>）</w:t>
      </w:r>
    </w:p>
    <w:tbl>
      <w:tblPr>
        <w:tblStyle w:val="29"/>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XX（取小数点后二位）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auto"/>
              </w:rPr>
            </w:pPr>
            <w:r>
              <w:rPr>
                <w:color w:val="auto"/>
              </w:rPr>
              <w:t>技术</w:t>
            </w:r>
            <w:r>
              <w:rPr>
                <w:rFonts w:hint="eastAsia"/>
                <w:color w:val="auto"/>
              </w:rPr>
              <w:t>因素</w:t>
            </w:r>
          </w:p>
        </w:tc>
        <w:tc>
          <w:tcPr>
            <w:tcW w:w="1980" w:type="dxa"/>
            <w:noWrap/>
            <w:vAlign w:val="center"/>
          </w:tcPr>
          <w:p>
            <w:pPr>
              <w:jc w:val="center"/>
              <w:rPr>
                <w:color w:val="auto"/>
              </w:rPr>
            </w:pPr>
            <w:r>
              <w:rPr>
                <w:color w:val="auto"/>
              </w:rPr>
              <w:t>技术指标</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完全满足</w:t>
            </w:r>
            <w:r>
              <w:rPr>
                <w:rFonts w:hint="eastAsia"/>
                <w:color w:val="auto"/>
                <w:szCs w:val="21"/>
              </w:rPr>
              <w:t>采购书</w:t>
            </w:r>
            <w:r>
              <w:rPr>
                <w:color w:val="auto"/>
                <w:szCs w:val="21"/>
              </w:rPr>
              <w:t>技术指标</w:t>
            </w:r>
            <w:r>
              <w:rPr>
                <w:rFonts w:hint="eastAsia"/>
                <w:color w:val="auto"/>
                <w:szCs w:val="21"/>
              </w:rPr>
              <w:t>及</w:t>
            </w:r>
            <w:r>
              <w:rPr>
                <w:color w:val="auto"/>
                <w:szCs w:val="21"/>
              </w:rPr>
              <w:t>配置要求得基准分</w:t>
            </w:r>
            <w:r>
              <w:rPr>
                <w:rFonts w:hint="eastAsia"/>
                <w:color w:val="auto"/>
                <w:szCs w:val="21"/>
              </w:rPr>
              <w:t>X</w:t>
            </w:r>
            <w:r>
              <w:rPr>
                <w:color w:val="auto"/>
                <w:szCs w:val="21"/>
              </w:rPr>
              <w:t>分；有实质性</w:t>
            </w:r>
            <w:r>
              <w:rPr>
                <w:rFonts w:hint="eastAsia"/>
                <w:color w:val="auto"/>
                <w:szCs w:val="21"/>
              </w:rPr>
              <w:t>正偏离</w:t>
            </w:r>
            <w:r>
              <w:rPr>
                <w:color w:val="auto"/>
                <w:szCs w:val="21"/>
              </w:rPr>
              <w:t>、确有实用价值且为用户所需，每项加</w:t>
            </w:r>
            <w:r>
              <w:rPr>
                <w:rFonts w:hint="eastAsia"/>
                <w:color w:val="auto"/>
                <w:szCs w:val="21"/>
              </w:rPr>
              <w:t>X</w:t>
            </w:r>
            <w:r>
              <w:rPr>
                <w:color w:val="auto"/>
                <w:szCs w:val="21"/>
              </w:rPr>
              <w:t>分，最多加</w:t>
            </w:r>
            <w:r>
              <w:rPr>
                <w:rFonts w:hint="eastAsia"/>
                <w:color w:val="auto"/>
                <w:szCs w:val="21"/>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性能及品质</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对</w:t>
            </w:r>
            <w:r>
              <w:rPr>
                <w:rFonts w:hint="eastAsia"/>
                <w:color w:val="auto"/>
                <w:szCs w:val="21"/>
              </w:rPr>
              <w:t>报价</w:t>
            </w:r>
            <w:r>
              <w:rPr>
                <w:color w:val="auto"/>
                <w:szCs w:val="21"/>
              </w:rPr>
              <w:t>产品的品牌、影响力以及产品的先进性、可靠性、稳定性等方面进行综合评价，评价好得</w:t>
            </w:r>
            <w:r>
              <w:rPr>
                <w:rFonts w:hint="eastAsia"/>
                <w:color w:val="auto"/>
                <w:szCs w:val="21"/>
              </w:rPr>
              <w:t>XX</w:t>
            </w:r>
            <w:r>
              <w:rPr>
                <w:color w:val="auto"/>
                <w:szCs w:val="21"/>
              </w:rPr>
              <w:t>—</w:t>
            </w:r>
            <w:r>
              <w:rPr>
                <w:rFonts w:hint="eastAsia"/>
                <w:color w:val="auto"/>
                <w:szCs w:val="21"/>
              </w:rPr>
              <w:t>XX</w:t>
            </w:r>
            <w:r>
              <w:rPr>
                <w:color w:val="auto"/>
                <w:szCs w:val="21"/>
              </w:rPr>
              <w:t>分；评价较好得</w:t>
            </w:r>
            <w:r>
              <w:rPr>
                <w:rFonts w:hint="eastAsia"/>
                <w:color w:val="auto"/>
                <w:szCs w:val="21"/>
              </w:rPr>
              <w:t>XX</w:t>
            </w:r>
            <w:r>
              <w:rPr>
                <w:color w:val="auto"/>
                <w:szCs w:val="21"/>
              </w:rPr>
              <w:t>—</w:t>
            </w:r>
            <w:r>
              <w:rPr>
                <w:rFonts w:hint="eastAsia"/>
                <w:color w:val="auto"/>
                <w:szCs w:val="21"/>
              </w:rPr>
              <w:t>XX</w:t>
            </w:r>
            <w:r>
              <w:rPr>
                <w:color w:val="auto"/>
                <w:szCs w:val="21"/>
              </w:rPr>
              <w:t>分；评价一般得</w:t>
            </w:r>
            <w:r>
              <w:rPr>
                <w:rFonts w:hint="eastAsia"/>
                <w:color w:val="auto"/>
                <w:szCs w:val="21"/>
              </w:rPr>
              <w:t>XX</w:t>
            </w:r>
            <w:r>
              <w:rPr>
                <w:color w:val="auto"/>
                <w:szCs w:val="21"/>
              </w:rPr>
              <w:t>—</w:t>
            </w:r>
            <w:r>
              <w:rPr>
                <w:rFonts w:hint="eastAsia"/>
                <w:color w:val="auto"/>
                <w:szCs w:val="21"/>
              </w:rPr>
              <w:t>XX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w:t>
            </w:r>
            <w:r>
              <w:rPr>
                <w:rFonts w:hint="eastAsia"/>
                <w:color w:val="auto"/>
              </w:rPr>
              <w:t>.</w:t>
            </w:r>
          </w:p>
        </w:tc>
        <w:tc>
          <w:tcPr>
            <w:tcW w:w="1080" w:type="dxa"/>
            <w:noWrap/>
            <w:vAlign w:val="center"/>
          </w:tcPr>
          <w:p>
            <w:pPr>
              <w:jc w:val="center"/>
              <w:rPr>
                <w:color w:val="auto"/>
              </w:rPr>
            </w:pPr>
            <w:r>
              <w:rPr>
                <w:color w:val="auto"/>
              </w:rPr>
              <w:t>……</w:t>
            </w:r>
            <w:r>
              <w:rPr>
                <w:rFonts w:hint="eastAsia"/>
                <w:color w:val="auto"/>
              </w:rPr>
              <w:t>.</w:t>
            </w:r>
          </w:p>
        </w:tc>
        <w:tc>
          <w:tcPr>
            <w:tcW w:w="5400" w:type="dxa"/>
            <w:noWrap/>
            <w:vAlign w:val="center"/>
          </w:tcPr>
          <w:p>
            <w:pPr>
              <w:rPr>
                <w:color w:val="auto"/>
                <w:szCs w:val="21"/>
              </w:rPr>
            </w:pPr>
            <w:r>
              <w:rPr>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auto"/>
              </w:rPr>
            </w:pPr>
            <w:r>
              <w:rPr>
                <w:rFonts w:hint="eastAsia"/>
                <w:color w:val="auto"/>
              </w:rPr>
              <w:t>商务因素</w:t>
            </w:r>
          </w:p>
        </w:tc>
        <w:tc>
          <w:tcPr>
            <w:tcW w:w="1980" w:type="dxa"/>
            <w:noWrap/>
            <w:vAlign w:val="center"/>
          </w:tcPr>
          <w:p>
            <w:pPr>
              <w:jc w:val="center"/>
              <w:rPr>
                <w:color w:val="auto"/>
              </w:rPr>
            </w:pPr>
            <w:r>
              <w:rPr>
                <w:color w:val="auto"/>
              </w:rPr>
              <w:t>保修期</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满足</w:t>
            </w:r>
            <w:r>
              <w:rPr>
                <w:rFonts w:hint="eastAsia"/>
                <w:color w:val="auto"/>
                <w:szCs w:val="21"/>
              </w:rPr>
              <w:t>采购书</w:t>
            </w:r>
            <w:r>
              <w:rPr>
                <w:color w:val="auto"/>
                <w:szCs w:val="21"/>
              </w:rPr>
              <w:t>要求得</w:t>
            </w:r>
            <w:r>
              <w:rPr>
                <w:rFonts w:hint="eastAsia"/>
                <w:color w:val="auto"/>
              </w:rPr>
              <w:t>X</w:t>
            </w:r>
            <w:r>
              <w:rPr>
                <w:color w:val="auto"/>
                <w:szCs w:val="21"/>
              </w:rPr>
              <w:t>分；每延长一年加</w:t>
            </w:r>
            <w:r>
              <w:rPr>
                <w:rFonts w:hint="eastAsia"/>
                <w:color w:val="auto"/>
              </w:rPr>
              <w:t>X</w:t>
            </w:r>
            <w:r>
              <w:rPr>
                <w:color w:val="auto"/>
                <w:szCs w:val="21"/>
              </w:rPr>
              <w:t>分，最多加</w:t>
            </w:r>
            <w:r>
              <w:rPr>
                <w:rFonts w:hint="eastAsia"/>
                <w:color w:val="auto"/>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服务承诺</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rPr>
            </w:pPr>
            <w:r>
              <w:rPr>
                <w:color w:val="auto"/>
                <w:szCs w:val="21"/>
              </w:rPr>
              <w:t>根据</w:t>
            </w:r>
            <w:r>
              <w:rPr>
                <w:rFonts w:hint="eastAsia"/>
                <w:color w:val="auto"/>
                <w:szCs w:val="21"/>
              </w:rPr>
              <w:t>对</w:t>
            </w:r>
            <w:r>
              <w:rPr>
                <w:color w:val="auto"/>
                <w:szCs w:val="21"/>
              </w:rPr>
              <w:t>产品故障报修的响应时间、处理速度、定期巡检以及技术支持、软件升级、技术培训等服务</w:t>
            </w:r>
            <w:r>
              <w:rPr>
                <w:color w:val="auto"/>
              </w:rPr>
              <w:t>承诺</w:t>
            </w:r>
            <w:r>
              <w:rPr>
                <w:rFonts w:hint="eastAsia"/>
                <w:color w:val="auto"/>
              </w:rPr>
              <w:t>进行评价，</w:t>
            </w:r>
            <w:r>
              <w:rPr>
                <w:color w:val="auto"/>
                <w:szCs w:val="21"/>
              </w:rPr>
              <w:t>评价好得</w:t>
            </w:r>
            <w:r>
              <w:rPr>
                <w:rFonts w:hint="eastAsia"/>
                <w:color w:val="auto"/>
              </w:rPr>
              <w:t>X</w:t>
            </w:r>
            <w:r>
              <w:rPr>
                <w:color w:val="auto"/>
                <w:szCs w:val="21"/>
              </w:rPr>
              <w:t>分；评价较好得</w:t>
            </w:r>
            <w:r>
              <w:rPr>
                <w:rFonts w:hint="eastAsia"/>
                <w:color w:val="auto"/>
              </w:rPr>
              <w:t>X</w:t>
            </w:r>
            <w:r>
              <w:rPr>
                <w:color w:val="auto"/>
                <w:szCs w:val="21"/>
              </w:rPr>
              <w:t>分；评价一般得</w:t>
            </w:r>
            <w:r>
              <w:rPr>
                <w:rFonts w:hint="eastAsia"/>
                <w:color w:val="auto"/>
              </w:rPr>
              <w:t>X</w:t>
            </w:r>
            <w:r>
              <w:rPr>
                <w:color w:val="auto"/>
                <w:szCs w:val="21"/>
              </w:rPr>
              <w:t>分</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业   绩</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rPr>
            </w:pPr>
            <w:r>
              <w:rPr>
                <w:color w:val="auto"/>
                <w:szCs w:val="21"/>
              </w:rPr>
              <w:t>根据</w:t>
            </w:r>
            <w:r>
              <w:rPr>
                <w:rFonts w:hint="eastAsia"/>
                <w:color w:val="auto"/>
                <w:szCs w:val="21"/>
              </w:rPr>
              <w:t>报价人近3</w:t>
            </w:r>
            <w:r>
              <w:rPr>
                <w:color w:val="auto"/>
                <w:szCs w:val="21"/>
              </w:rPr>
              <w:t>年来</w:t>
            </w:r>
            <w:r>
              <w:rPr>
                <w:rFonts w:hint="eastAsia"/>
                <w:color w:val="auto"/>
                <w:szCs w:val="21"/>
              </w:rPr>
              <w:t>近似项目业绩进行评价</w:t>
            </w:r>
            <w:r>
              <w:rPr>
                <w:color w:val="auto"/>
                <w:szCs w:val="21"/>
              </w:rPr>
              <w:t>（以合同为准），每份</w:t>
            </w:r>
            <w:r>
              <w:rPr>
                <w:rFonts w:hint="eastAsia"/>
                <w:color w:val="auto"/>
                <w:szCs w:val="21"/>
              </w:rPr>
              <w:t>得</w:t>
            </w:r>
            <w:r>
              <w:rPr>
                <w:rFonts w:hint="eastAsia"/>
                <w:color w:val="auto"/>
              </w:rPr>
              <w:t>X</w:t>
            </w:r>
            <w:r>
              <w:rPr>
                <w:color w:val="auto"/>
                <w:szCs w:val="21"/>
              </w:rPr>
              <w:t>分，最多得</w:t>
            </w:r>
            <w:r>
              <w:rPr>
                <w:rFonts w:hint="eastAsia"/>
                <w:color w:val="auto"/>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w:t>
            </w:r>
          </w:p>
        </w:tc>
        <w:tc>
          <w:tcPr>
            <w:tcW w:w="1080" w:type="dxa"/>
            <w:noWrap/>
            <w:vAlign w:val="center"/>
          </w:tcPr>
          <w:p>
            <w:pPr>
              <w:jc w:val="center"/>
              <w:rPr>
                <w:color w:val="auto"/>
              </w:rPr>
            </w:pPr>
          </w:p>
        </w:tc>
        <w:tc>
          <w:tcPr>
            <w:tcW w:w="5400" w:type="dxa"/>
            <w:noWrap/>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auto"/>
                <w:szCs w:val="21"/>
              </w:rPr>
            </w:pPr>
            <w:r>
              <w:rPr>
                <w:rFonts w:hint="eastAsia"/>
                <w:color w:val="auto"/>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auto"/>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30"/>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87"/>
        <w:gridCol w:w="1890"/>
        <w:gridCol w:w="3030"/>
        <w:gridCol w:w="72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3" w:type="dxa"/>
            <w:noWrap w:val="0"/>
            <w:vAlign w:val="center"/>
          </w:tcPr>
          <w:p>
            <w:pPr>
              <w:rPr>
                <w:rFonts w:hint="eastAsia"/>
                <w:color w:val="auto"/>
                <w:szCs w:val="21"/>
                <w:lang w:val="en-US" w:eastAsia="zh-CN"/>
              </w:rPr>
            </w:pPr>
            <w:r>
              <w:rPr>
                <w:rFonts w:hint="eastAsia"/>
                <w:color w:val="auto"/>
                <w:szCs w:val="21"/>
                <w:lang w:val="en-US" w:eastAsia="zh-CN"/>
              </w:rPr>
              <w:t>序号</w:t>
            </w:r>
          </w:p>
        </w:tc>
        <w:tc>
          <w:tcPr>
            <w:tcW w:w="1787" w:type="dxa"/>
            <w:noWrap w:val="0"/>
            <w:vAlign w:val="center"/>
          </w:tcPr>
          <w:p>
            <w:pPr>
              <w:rPr>
                <w:rFonts w:hint="eastAsia"/>
                <w:color w:val="auto"/>
                <w:szCs w:val="21"/>
                <w:lang w:val="en-US" w:eastAsia="zh-CN"/>
              </w:rPr>
            </w:pPr>
            <w:r>
              <w:rPr>
                <w:rFonts w:hint="eastAsia"/>
                <w:color w:val="auto"/>
                <w:szCs w:val="21"/>
                <w:lang w:val="en-US" w:eastAsia="zh-CN"/>
              </w:rPr>
              <w:t>项目</w:t>
            </w:r>
          </w:p>
        </w:tc>
        <w:tc>
          <w:tcPr>
            <w:tcW w:w="1890" w:type="dxa"/>
            <w:noWrap w:val="0"/>
            <w:vAlign w:val="center"/>
          </w:tcPr>
          <w:p>
            <w:pPr>
              <w:rPr>
                <w:rFonts w:hint="default"/>
                <w:color w:val="auto"/>
                <w:szCs w:val="21"/>
                <w:lang w:val="en-US" w:eastAsia="zh-CN"/>
              </w:rPr>
            </w:pPr>
            <w:r>
              <w:rPr>
                <w:rFonts w:hint="eastAsia"/>
                <w:color w:val="auto"/>
                <w:szCs w:val="21"/>
                <w:lang w:val="en-US" w:eastAsia="zh-CN"/>
              </w:rPr>
              <w:t>型号规格</w:t>
            </w:r>
          </w:p>
        </w:tc>
        <w:tc>
          <w:tcPr>
            <w:tcW w:w="3030" w:type="dxa"/>
            <w:noWrap w:val="0"/>
            <w:vAlign w:val="center"/>
          </w:tcPr>
          <w:p>
            <w:pPr>
              <w:rPr>
                <w:rFonts w:hint="eastAsia"/>
                <w:color w:val="auto"/>
                <w:szCs w:val="21"/>
                <w:lang w:val="en-US" w:eastAsia="zh-CN"/>
              </w:rPr>
            </w:pPr>
            <w:r>
              <w:rPr>
                <w:rFonts w:hint="eastAsia"/>
                <w:color w:val="auto"/>
                <w:szCs w:val="21"/>
                <w:lang w:val="en-US" w:eastAsia="zh-CN"/>
              </w:rPr>
              <w:t>技术要求</w:t>
            </w:r>
          </w:p>
        </w:tc>
        <w:tc>
          <w:tcPr>
            <w:tcW w:w="720" w:type="dxa"/>
            <w:noWrap w:val="0"/>
            <w:vAlign w:val="center"/>
          </w:tcPr>
          <w:p>
            <w:pPr>
              <w:rPr>
                <w:rFonts w:hint="eastAsia"/>
                <w:color w:val="auto"/>
                <w:szCs w:val="21"/>
                <w:lang w:val="en-US" w:eastAsia="zh-CN"/>
              </w:rPr>
            </w:pPr>
            <w:r>
              <w:rPr>
                <w:rFonts w:hint="eastAsia"/>
                <w:color w:val="auto"/>
                <w:szCs w:val="21"/>
                <w:lang w:val="en-US" w:eastAsia="zh-CN"/>
              </w:rPr>
              <w:t>单位</w:t>
            </w:r>
          </w:p>
        </w:tc>
        <w:tc>
          <w:tcPr>
            <w:tcW w:w="885" w:type="dxa"/>
            <w:noWrap w:val="0"/>
            <w:vAlign w:val="center"/>
          </w:tcPr>
          <w:p>
            <w:pPr>
              <w:rPr>
                <w:rFonts w:hint="eastAsia"/>
                <w:color w:val="auto"/>
                <w:szCs w:val="21"/>
                <w:lang w:val="en-US" w:eastAsia="zh-CN"/>
              </w:rPr>
            </w:pPr>
            <w:r>
              <w:rPr>
                <w:rFonts w:hint="eastAsia"/>
                <w:color w:val="auto"/>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3" w:type="dxa"/>
            <w:noWrap w:val="0"/>
            <w:vAlign w:val="center"/>
          </w:tcPr>
          <w:p>
            <w:pPr>
              <w:rPr>
                <w:rFonts w:hint="eastAsia"/>
                <w:color w:val="auto"/>
                <w:szCs w:val="21"/>
                <w:lang w:val="en-US" w:eastAsia="zh-CN"/>
              </w:rPr>
            </w:pPr>
            <w:r>
              <w:rPr>
                <w:rFonts w:hint="eastAsia"/>
                <w:color w:val="auto"/>
                <w:szCs w:val="21"/>
                <w:lang w:val="en-US" w:eastAsia="zh-CN"/>
              </w:rPr>
              <w:t>1</w:t>
            </w:r>
          </w:p>
        </w:tc>
        <w:tc>
          <w:tcPr>
            <w:tcW w:w="1787" w:type="dxa"/>
            <w:noWrap w:val="0"/>
            <w:vAlign w:val="center"/>
          </w:tcPr>
          <w:p>
            <w:pPr>
              <w:rPr>
                <w:rFonts w:hint="eastAsia"/>
                <w:color w:val="auto"/>
                <w:szCs w:val="21"/>
                <w:lang w:val="en-US" w:eastAsia="zh-CN"/>
              </w:rPr>
            </w:pPr>
            <w:r>
              <w:rPr>
                <w:rFonts w:hint="eastAsia"/>
                <w:color w:val="auto"/>
                <w:szCs w:val="21"/>
                <w:lang w:val="en-US" w:eastAsia="zh-CN"/>
              </w:rPr>
              <w:t>网络转换器</w:t>
            </w:r>
          </w:p>
        </w:tc>
        <w:tc>
          <w:tcPr>
            <w:tcW w:w="1890" w:type="dxa"/>
            <w:noWrap w:val="0"/>
            <w:vAlign w:val="center"/>
          </w:tcPr>
          <w:p>
            <w:pPr>
              <w:rPr>
                <w:rFonts w:hint="eastAsia"/>
                <w:color w:val="auto"/>
                <w:szCs w:val="21"/>
                <w:lang w:val="en-US" w:eastAsia="zh-CN"/>
              </w:rPr>
            </w:pPr>
            <w:r>
              <w:rPr>
                <w:rFonts w:hint="eastAsia"/>
                <w:color w:val="auto"/>
                <w:szCs w:val="21"/>
                <w:lang w:val="en-US" w:eastAsia="zh-CN"/>
              </w:rPr>
              <w:t>EL100-S</w:t>
            </w:r>
          </w:p>
        </w:tc>
        <w:tc>
          <w:tcPr>
            <w:tcW w:w="3030" w:type="dxa"/>
            <w:noWrap w:val="0"/>
            <w:vAlign w:val="center"/>
          </w:tcPr>
          <w:p>
            <w:pPr>
              <w:rPr>
                <w:rFonts w:hint="eastAsia"/>
                <w:color w:val="auto"/>
                <w:szCs w:val="21"/>
                <w:lang w:val="en-US" w:eastAsia="zh-CN"/>
              </w:rPr>
            </w:pPr>
            <w:r>
              <w:rPr>
                <w:rFonts w:hint="eastAsia"/>
                <w:color w:val="auto"/>
                <w:szCs w:val="21"/>
              </w:rPr>
              <w:t>转换485、Internet通讯信号</w:t>
            </w:r>
          </w:p>
        </w:tc>
        <w:tc>
          <w:tcPr>
            <w:tcW w:w="720" w:type="dxa"/>
            <w:noWrap w:val="0"/>
            <w:vAlign w:val="center"/>
          </w:tcPr>
          <w:p>
            <w:pPr>
              <w:rPr>
                <w:rFonts w:hint="eastAsia"/>
                <w:color w:val="auto"/>
                <w:szCs w:val="21"/>
                <w:lang w:val="en-US" w:eastAsia="zh-CN"/>
              </w:rPr>
            </w:pPr>
            <w:r>
              <w:rPr>
                <w:rFonts w:hint="eastAsia"/>
                <w:color w:val="auto"/>
                <w:szCs w:val="21"/>
                <w:lang w:val="en-US" w:eastAsia="zh-CN"/>
              </w:rPr>
              <w:t>个</w:t>
            </w:r>
          </w:p>
        </w:tc>
        <w:tc>
          <w:tcPr>
            <w:tcW w:w="885" w:type="dxa"/>
            <w:noWrap w:val="0"/>
            <w:vAlign w:val="center"/>
          </w:tcPr>
          <w:p>
            <w:pPr>
              <w:rPr>
                <w:rFonts w:hint="eastAsia"/>
                <w:color w:val="auto"/>
                <w:szCs w:val="21"/>
                <w:lang w:val="en-US" w:eastAsia="zh-CN"/>
              </w:rPr>
            </w:pPr>
            <w:r>
              <w:rPr>
                <w:rFonts w:hint="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3" w:type="dxa"/>
            <w:noWrap w:val="0"/>
            <w:vAlign w:val="center"/>
          </w:tcPr>
          <w:p>
            <w:pPr>
              <w:rPr>
                <w:rFonts w:hint="eastAsia"/>
                <w:color w:val="auto"/>
                <w:szCs w:val="21"/>
                <w:lang w:val="en-US" w:eastAsia="zh-CN"/>
              </w:rPr>
            </w:pPr>
            <w:r>
              <w:rPr>
                <w:rFonts w:hint="eastAsia"/>
                <w:color w:val="auto"/>
                <w:szCs w:val="21"/>
                <w:lang w:val="en-US" w:eastAsia="zh-CN"/>
              </w:rPr>
              <w:t>2</w:t>
            </w:r>
          </w:p>
        </w:tc>
        <w:tc>
          <w:tcPr>
            <w:tcW w:w="1787" w:type="dxa"/>
            <w:noWrap w:val="0"/>
            <w:vAlign w:val="center"/>
          </w:tcPr>
          <w:p>
            <w:pPr>
              <w:rPr>
                <w:rFonts w:hint="eastAsia"/>
                <w:color w:val="auto"/>
                <w:szCs w:val="21"/>
                <w:lang w:val="en-US" w:eastAsia="zh-CN"/>
              </w:rPr>
            </w:pPr>
            <w:r>
              <w:rPr>
                <w:rFonts w:hint="eastAsia"/>
                <w:color w:val="auto"/>
                <w:szCs w:val="21"/>
                <w:lang w:eastAsia="zh-CN"/>
              </w:rPr>
              <w:t>数据集中器</w:t>
            </w:r>
          </w:p>
        </w:tc>
        <w:tc>
          <w:tcPr>
            <w:tcW w:w="1890" w:type="dxa"/>
            <w:noWrap w:val="0"/>
            <w:vAlign w:val="center"/>
          </w:tcPr>
          <w:p>
            <w:pPr>
              <w:rPr>
                <w:rFonts w:hint="eastAsia"/>
                <w:color w:val="auto"/>
                <w:szCs w:val="21"/>
                <w:lang w:val="en-US" w:eastAsia="zh-CN"/>
              </w:rPr>
            </w:pPr>
            <w:r>
              <w:rPr>
                <w:rFonts w:hint="eastAsia"/>
                <w:color w:val="auto"/>
                <w:szCs w:val="21"/>
                <w:lang w:val="en-US" w:eastAsia="zh-CN"/>
              </w:rPr>
              <w:t>EDC-680</w:t>
            </w:r>
          </w:p>
        </w:tc>
        <w:tc>
          <w:tcPr>
            <w:tcW w:w="3030" w:type="dxa"/>
            <w:noWrap w:val="0"/>
            <w:vAlign w:val="center"/>
          </w:tcPr>
          <w:p>
            <w:pPr>
              <w:rPr>
                <w:rFonts w:hint="eastAsia"/>
                <w:color w:val="auto"/>
                <w:szCs w:val="21"/>
                <w:lang w:val="en-US" w:eastAsia="zh-CN"/>
              </w:rPr>
            </w:pPr>
            <w:r>
              <w:rPr>
                <w:rFonts w:hint="eastAsia"/>
                <w:color w:val="auto"/>
                <w:szCs w:val="21"/>
              </w:rPr>
              <w:t>通讯和管理的节点</w:t>
            </w:r>
            <w:r>
              <w:rPr>
                <w:rFonts w:hint="eastAsia"/>
                <w:color w:val="auto"/>
                <w:szCs w:val="21"/>
                <w:lang w:eastAsia="zh-CN"/>
              </w:rPr>
              <w:t>，</w:t>
            </w:r>
            <w:r>
              <w:rPr>
                <w:rFonts w:hint="eastAsia"/>
                <w:color w:val="auto"/>
                <w:szCs w:val="21"/>
              </w:rPr>
              <w:t>对每层的电表进行数据抄收和控制管理</w:t>
            </w:r>
          </w:p>
        </w:tc>
        <w:tc>
          <w:tcPr>
            <w:tcW w:w="720" w:type="dxa"/>
            <w:noWrap w:val="0"/>
            <w:vAlign w:val="center"/>
          </w:tcPr>
          <w:p>
            <w:pPr>
              <w:rPr>
                <w:rFonts w:hint="eastAsia"/>
                <w:color w:val="auto"/>
                <w:szCs w:val="21"/>
                <w:lang w:val="en-US" w:eastAsia="zh-CN"/>
              </w:rPr>
            </w:pPr>
            <w:r>
              <w:rPr>
                <w:rFonts w:hint="eastAsia"/>
                <w:color w:val="auto"/>
                <w:szCs w:val="21"/>
                <w:lang w:val="en-US" w:eastAsia="zh-CN"/>
              </w:rPr>
              <w:t>个</w:t>
            </w:r>
          </w:p>
        </w:tc>
        <w:tc>
          <w:tcPr>
            <w:tcW w:w="885" w:type="dxa"/>
            <w:noWrap w:val="0"/>
            <w:vAlign w:val="center"/>
          </w:tcPr>
          <w:p>
            <w:pPr>
              <w:rPr>
                <w:rFonts w:hint="eastAsia"/>
                <w:color w:val="auto"/>
                <w:szCs w:val="21"/>
                <w:lang w:val="en-US" w:eastAsia="zh-CN"/>
              </w:rPr>
            </w:pPr>
            <w:r>
              <w:rPr>
                <w:rFonts w:hint="eastAsia"/>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3" w:type="dxa"/>
            <w:noWrap w:val="0"/>
            <w:vAlign w:val="center"/>
          </w:tcPr>
          <w:p>
            <w:pPr>
              <w:rPr>
                <w:rFonts w:hint="eastAsia"/>
                <w:color w:val="auto"/>
                <w:szCs w:val="21"/>
                <w:lang w:val="en-US" w:eastAsia="zh-CN"/>
              </w:rPr>
            </w:pPr>
            <w:r>
              <w:rPr>
                <w:rFonts w:hint="eastAsia"/>
                <w:color w:val="auto"/>
                <w:szCs w:val="21"/>
                <w:lang w:val="en-US" w:eastAsia="zh-CN"/>
              </w:rPr>
              <w:t>3</w:t>
            </w:r>
          </w:p>
        </w:tc>
        <w:tc>
          <w:tcPr>
            <w:tcW w:w="1787" w:type="dxa"/>
            <w:noWrap w:val="0"/>
            <w:vAlign w:val="center"/>
          </w:tcPr>
          <w:p>
            <w:pPr>
              <w:rPr>
                <w:rFonts w:hint="eastAsia"/>
                <w:color w:val="auto"/>
                <w:szCs w:val="21"/>
                <w:lang w:val="en-US" w:eastAsia="zh-CN"/>
              </w:rPr>
            </w:pPr>
            <w:r>
              <w:rPr>
                <w:rFonts w:hint="eastAsia"/>
                <w:color w:val="auto"/>
                <w:szCs w:val="21"/>
                <w:lang w:val="en-US" w:eastAsia="zh-CN"/>
              </w:rPr>
              <w:t>网线</w:t>
            </w:r>
          </w:p>
        </w:tc>
        <w:tc>
          <w:tcPr>
            <w:tcW w:w="1890" w:type="dxa"/>
            <w:noWrap w:val="0"/>
            <w:vAlign w:val="center"/>
          </w:tcPr>
          <w:p>
            <w:pPr>
              <w:rPr>
                <w:rFonts w:hint="eastAsia"/>
                <w:color w:val="auto"/>
                <w:szCs w:val="21"/>
                <w:lang w:val="en-US" w:eastAsia="zh-CN"/>
              </w:rPr>
            </w:pPr>
            <w:r>
              <w:rPr>
                <w:rFonts w:hint="eastAsia"/>
                <w:color w:val="auto"/>
                <w:szCs w:val="21"/>
              </w:rPr>
              <w:t>CAT6</w:t>
            </w:r>
          </w:p>
        </w:tc>
        <w:tc>
          <w:tcPr>
            <w:tcW w:w="3030" w:type="dxa"/>
            <w:noWrap w:val="0"/>
            <w:vAlign w:val="center"/>
          </w:tcPr>
          <w:p>
            <w:pPr>
              <w:rPr>
                <w:rFonts w:hint="eastAsia"/>
                <w:color w:val="auto"/>
                <w:szCs w:val="21"/>
                <w:lang w:val="en-US" w:eastAsia="zh-CN"/>
              </w:rPr>
            </w:pPr>
            <w:r>
              <w:rPr>
                <w:rFonts w:hint="eastAsia"/>
                <w:color w:val="auto"/>
                <w:szCs w:val="21"/>
                <w:lang w:val="en-US" w:eastAsia="zh-CN"/>
              </w:rPr>
              <w:t>六类</w:t>
            </w:r>
          </w:p>
        </w:tc>
        <w:tc>
          <w:tcPr>
            <w:tcW w:w="720" w:type="dxa"/>
            <w:noWrap w:val="0"/>
            <w:vAlign w:val="center"/>
          </w:tcPr>
          <w:p>
            <w:pPr>
              <w:rPr>
                <w:rFonts w:hint="eastAsia"/>
                <w:color w:val="auto"/>
                <w:szCs w:val="21"/>
                <w:lang w:val="en-US" w:eastAsia="zh-CN"/>
              </w:rPr>
            </w:pPr>
            <w:r>
              <w:rPr>
                <w:rFonts w:hint="eastAsia"/>
                <w:color w:val="auto"/>
                <w:szCs w:val="21"/>
                <w:lang w:val="en-US" w:eastAsia="zh-CN"/>
              </w:rPr>
              <w:t>米</w:t>
            </w:r>
          </w:p>
        </w:tc>
        <w:tc>
          <w:tcPr>
            <w:tcW w:w="885" w:type="dxa"/>
            <w:noWrap w:val="0"/>
            <w:vAlign w:val="center"/>
          </w:tcPr>
          <w:p>
            <w:pPr>
              <w:rPr>
                <w:rFonts w:hint="eastAsia"/>
                <w:color w:val="auto"/>
                <w:szCs w:val="21"/>
                <w:lang w:val="en-US" w:eastAsia="zh-CN"/>
              </w:rPr>
            </w:pPr>
            <w:r>
              <w:rPr>
                <w:rFonts w:hint="eastAsia"/>
                <w:color w:val="auto"/>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3" w:type="dxa"/>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1787" w:type="dxa"/>
            <w:noWrap w:val="0"/>
            <w:vAlign w:val="center"/>
          </w:tcPr>
          <w:p>
            <w:pPr>
              <w:rPr>
                <w:rFonts w:hint="eastAsia"/>
                <w:color w:val="auto"/>
                <w:szCs w:val="21"/>
                <w:lang w:val="en-US" w:eastAsia="zh-CN"/>
              </w:rPr>
            </w:pPr>
            <w:r>
              <w:rPr>
                <w:rFonts w:hint="eastAsia"/>
                <w:color w:val="auto"/>
                <w:szCs w:val="21"/>
                <w:lang w:val="en-US" w:eastAsia="zh-CN"/>
              </w:rPr>
              <w:t>线管</w:t>
            </w:r>
          </w:p>
        </w:tc>
        <w:tc>
          <w:tcPr>
            <w:tcW w:w="1890" w:type="dxa"/>
            <w:noWrap w:val="0"/>
            <w:vAlign w:val="center"/>
          </w:tcPr>
          <w:p>
            <w:pPr>
              <w:rPr>
                <w:rFonts w:hint="eastAsia"/>
                <w:color w:val="auto"/>
                <w:szCs w:val="21"/>
                <w:lang w:val="en-US" w:eastAsia="zh-CN"/>
              </w:rPr>
            </w:pPr>
            <w:r>
              <w:rPr>
                <w:rFonts w:hint="eastAsia"/>
                <w:color w:val="auto"/>
                <w:szCs w:val="21"/>
                <w:lang w:val="en-US" w:eastAsia="zh-CN"/>
              </w:rPr>
              <w:t>ɸ20</w:t>
            </w:r>
          </w:p>
        </w:tc>
        <w:tc>
          <w:tcPr>
            <w:tcW w:w="3030" w:type="dxa"/>
            <w:noWrap w:val="0"/>
            <w:vAlign w:val="center"/>
          </w:tcPr>
          <w:p>
            <w:pPr>
              <w:rPr>
                <w:rFonts w:hint="eastAsia"/>
                <w:color w:val="auto"/>
                <w:szCs w:val="21"/>
                <w:lang w:val="en-US" w:eastAsia="zh-CN"/>
              </w:rPr>
            </w:pPr>
            <w:r>
              <w:rPr>
                <w:rFonts w:hint="eastAsia"/>
                <w:color w:val="auto"/>
                <w:szCs w:val="21"/>
                <w:lang w:val="en-US" w:eastAsia="zh-CN"/>
              </w:rPr>
              <w:t>国标，联塑</w:t>
            </w:r>
          </w:p>
        </w:tc>
        <w:tc>
          <w:tcPr>
            <w:tcW w:w="720" w:type="dxa"/>
            <w:noWrap w:val="0"/>
            <w:vAlign w:val="center"/>
          </w:tcPr>
          <w:p>
            <w:pPr>
              <w:rPr>
                <w:rFonts w:hint="eastAsia"/>
                <w:color w:val="auto"/>
                <w:szCs w:val="21"/>
                <w:lang w:val="en-US" w:eastAsia="zh-CN"/>
              </w:rPr>
            </w:pPr>
            <w:r>
              <w:rPr>
                <w:rFonts w:hint="eastAsia"/>
                <w:color w:val="auto"/>
                <w:szCs w:val="21"/>
                <w:lang w:val="en-US" w:eastAsia="zh-CN"/>
              </w:rPr>
              <w:t>米</w:t>
            </w:r>
          </w:p>
        </w:tc>
        <w:tc>
          <w:tcPr>
            <w:tcW w:w="885" w:type="dxa"/>
            <w:noWrap w:val="0"/>
            <w:vAlign w:val="center"/>
          </w:tcPr>
          <w:p>
            <w:pPr>
              <w:rPr>
                <w:rFonts w:hint="eastAsia"/>
                <w:color w:val="auto"/>
                <w:szCs w:val="21"/>
                <w:lang w:val="en-US" w:eastAsia="zh-CN"/>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3" w:type="dxa"/>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p>
        </w:tc>
        <w:tc>
          <w:tcPr>
            <w:tcW w:w="1787" w:type="dxa"/>
            <w:noWrap w:val="0"/>
            <w:vAlign w:val="center"/>
          </w:tcPr>
          <w:p>
            <w:pPr>
              <w:rPr>
                <w:rFonts w:hint="eastAsia"/>
                <w:color w:val="auto"/>
                <w:szCs w:val="21"/>
                <w:lang w:val="en-US" w:eastAsia="zh-CN"/>
              </w:rPr>
            </w:pPr>
            <w:r>
              <w:rPr>
                <w:rFonts w:hint="eastAsia"/>
                <w:color w:val="auto"/>
                <w:szCs w:val="21"/>
                <w:lang w:val="en-US" w:eastAsia="zh-CN"/>
              </w:rPr>
              <w:t>配电箱</w:t>
            </w:r>
          </w:p>
        </w:tc>
        <w:tc>
          <w:tcPr>
            <w:tcW w:w="1890" w:type="dxa"/>
            <w:noWrap w:val="0"/>
            <w:vAlign w:val="center"/>
          </w:tcPr>
          <w:p>
            <w:pPr>
              <w:rPr>
                <w:rFonts w:hint="default"/>
                <w:color w:val="auto"/>
                <w:szCs w:val="21"/>
                <w:lang w:val="en-US" w:eastAsia="zh-CN"/>
              </w:rPr>
            </w:pPr>
            <w:r>
              <w:rPr>
                <w:rFonts w:hint="eastAsia"/>
                <w:color w:val="auto"/>
                <w:szCs w:val="21"/>
                <w:lang w:val="en-US" w:eastAsia="zh-CN"/>
              </w:rPr>
              <w:t>200*200*100mm</w:t>
            </w:r>
          </w:p>
        </w:tc>
        <w:tc>
          <w:tcPr>
            <w:tcW w:w="3030" w:type="dxa"/>
            <w:noWrap w:val="0"/>
            <w:vAlign w:val="center"/>
          </w:tcPr>
          <w:p>
            <w:pPr>
              <w:rPr>
                <w:rFonts w:hint="eastAsia"/>
                <w:color w:val="auto"/>
                <w:szCs w:val="21"/>
                <w:lang w:val="en-US" w:eastAsia="zh-CN"/>
              </w:rPr>
            </w:pPr>
            <w:r>
              <w:rPr>
                <w:rFonts w:hint="eastAsia"/>
                <w:color w:val="auto"/>
                <w:szCs w:val="21"/>
                <w:lang w:val="en-US" w:eastAsia="zh-CN"/>
              </w:rPr>
              <w:t>金属，国标</w:t>
            </w:r>
          </w:p>
        </w:tc>
        <w:tc>
          <w:tcPr>
            <w:tcW w:w="720" w:type="dxa"/>
            <w:noWrap w:val="0"/>
            <w:vAlign w:val="center"/>
          </w:tcPr>
          <w:p>
            <w:pPr>
              <w:rPr>
                <w:rFonts w:hint="eastAsia"/>
                <w:color w:val="auto"/>
                <w:szCs w:val="21"/>
                <w:lang w:val="en-US" w:eastAsia="zh-CN"/>
              </w:rPr>
            </w:pPr>
            <w:r>
              <w:rPr>
                <w:rFonts w:hint="eastAsia"/>
                <w:color w:val="auto"/>
                <w:szCs w:val="21"/>
                <w:lang w:val="en-US" w:eastAsia="zh-CN"/>
              </w:rPr>
              <w:t>个</w:t>
            </w:r>
          </w:p>
        </w:tc>
        <w:tc>
          <w:tcPr>
            <w:tcW w:w="885" w:type="dxa"/>
            <w:noWrap w:val="0"/>
            <w:vAlign w:val="center"/>
          </w:tcPr>
          <w:p>
            <w:pPr>
              <w:rPr>
                <w:rFonts w:hint="eastAsia"/>
                <w:color w:val="auto"/>
                <w:szCs w:val="21"/>
                <w:lang w:val="en-US" w:eastAsia="zh-CN"/>
              </w:rPr>
            </w:pPr>
            <w:r>
              <w:rPr>
                <w:rFonts w:hint="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3" w:type="dxa"/>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6</w:t>
            </w:r>
          </w:p>
        </w:tc>
        <w:tc>
          <w:tcPr>
            <w:tcW w:w="1787" w:type="dxa"/>
            <w:noWrap w:val="0"/>
            <w:vAlign w:val="center"/>
          </w:tcPr>
          <w:p>
            <w:pPr>
              <w:rPr>
                <w:rFonts w:hint="eastAsia"/>
                <w:color w:val="auto"/>
                <w:szCs w:val="21"/>
                <w:lang w:val="en-US" w:eastAsia="zh-CN"/>
              </w:rPr>
            </w:pPr>
            <w:r>
              <w:rPr>
                <w:rFonts w:hint="eastAsia"/>
                <w:color w:val="auto"/>
                <w:szCs w:val="21"/>
                <w:lang w:val="en-US" w:eastAsia="zh-CN"/>
              </w:rPr>
              <w:t>网线敷设</w:t>
            </w:r>
          </w:p>
        </w:tc>
        <w:tc>
          <w:tcPr>
            <w:tcW w:w="1890" w:type="dxa"/>
            <w:noWrap w:val="0"/>
            <w:vAlign w:val="center"/>
          </w:tcPr>
          <w:p>
            <w:pPr>
              <w:rPr>
                <w:rFonts w:hint="eastAsia"/>
                <w:color w:val="auto"/>
                <w:szCs w:val="21"/>
                <w:lang w:val="en-US" w:eastAsia="zh-CN"/>
              </w:rPr>
            </w:pPr>
            <w:r>
              <w:rPr>
                <w:rFonts w:hint="eastAsia"/>
                <w:color w:val="auto"/>
                <w:szCs w:val="21"/>
                <w:lang w:val="en-US" w:eastAsia="zh-CN"/>
              </w:rPr>
              <w:t>地下挖沟</w:t>
            </w:r>
          </w:p>
        </w:tc>
        <w:tc>
          <w:tcPr>
            <w:tcW w:w="3030" w:type="dxa"/>
            <w:noWrap w:val="0"/>
            <w:vAlign w:val="center"/>
          </w:tcPr>
          <w:p>
            <w:pPr>
              <w:rPr>
                <w:rFonts w:hint="default"/>
                <w:color w:val="auto"/>
                <w:szCs w:val="21"/>
                <w:lang w:val="en-US" w:eastAsia="zh-CN"/>
              </w:rPr>
            </w:pPr>
            <w:r>
              <w:rPr>
                <w:rFonts w:hint="eastAsia"/>
                <w:color w:val="auto"/>
                <w:szCs w:val="21"/>
                <w:lang w:val="en-US" w:eastAsia="zh-CN"/>
              </w:rPr>
              <w:t>深度50cm</w:t>
            </w:r>
          </w:p>
        </w:tc>
        <w:tc>
          <w:tcPr>
            <w:tcW w:w="720" w:type="dxa"/>
            <w:noWrap w:val="0"/>
            <w:vAlign w:val="center"/>
          </w:tcPr>
          <w:p>
            <w:pPr>
              <w:rPr>
                <w:rFonts w:hint="eastAsia"/>
                <w:color w:val="auto"/>
                <w:szCs w:val="21"/>
                <w:lang w:val="en-US" w:eastAsia="zh-CN"/>
              </w:rPr>
            </w:pPr>
            <w:r>
              <w:rPr>
                <w:rFonts w:hint="eastAsia"/>
                <w:color w:val="auto"/>
                <w:szCs w:val="21"/>
                <w:lang w:val="en-US" w:eastAsia="zh-CN"/>
              </w:rPr>
              <w:t>米</w:t>
            </w:r>
          </w:p>
        </w:tc>
        <w:tc>
          <w:tcPr>
            <w:tcW w:w="885" w:type="dxa"/>
            <w:noWrap w:val="0"/>
            <w:vAlign w:val="center"/>
          </w:tcPr>
          <w:p>
            <w:pPr>
              <w:rPr>
                <w:rFonts w:hint="eastAsia"/>
                <w:color w:val="auto"/>
                <w:szCs w:val="21"/>
                <w:lang w:val="en-US" w:eastAsia="zh-CN"/>
              </w:rPr>
            </w:pPr>
            <w:r>
              <w:rPr>
                <w:rFonts w:hint="eastAsia"/>
                <w:color w:val="auto"/>
                <w:szCs w:val="21"/>
                <w:lang w:val="en-US" w:eastAsia="zh-CN"/>
              </w:rPr>
              <w:t>100</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w:t>
      </w:r>
      <w:r>
        <w:rPr>
          <w:rFonts w:hint="eastAsia" w:ascii="宋体" w:hAnsi="宋体"/>
          <w:b/>
          <w:bCs/>
          <w:kern w:val="0"/>
          <w:sz w:val="28"/>
          <w:szCs w:val="28"/>
          <w:lang w:val="en-US" w:eastAsia="zh-CN"/>
        </w:rPr>
        <w:t>具体改造</w:t>
      </w:r>
      <w:r>
        <w:rPr>
          <w:rFonts w:hint="eastAsia" w:ascii="宋体" w:hAnsi="宋体"/>
          <w:b/>
          <w:bCs/>
          <w:kern w:val="0"/>
          <w:sz w:val="28"/>
          <w:szCs w:val="28"/>
        </w:rPr>
        <w:t>内容</w:t>
      </w:r>
      <w:r>
        <w:rPr>
          <w:rFonts w:hint="eastAsia" w:ascii="宋体" w:hAnsi="宋体"/>
          <w:b/>
          <w:bCs/>
          <w:kern w:val="0"/>
          <w:sz w:val="28"/>
          <w:szCs w:val="28"/>
          <w:lang w:val="en-US" w:eastAsia="zh-CN"/>
        </w:rPr>
        <w:t>及要求</w:t>
      </w:r>
      <w:r>
        <w:rPr>
          <w:rFonts w:hint="eastAsia" w:ascii="宋体" w:hAnsi="宋体"/>
          <w:b/>
          <w:bCs/>
          <w:kern w:val="0"/>
          <w:sz w:val="28"/>
          <w:szCs w:val="28"/>
        </w:rPr>
        <w:t>：</w:t>
      </w:r>
    </w:p>
    <w:p>
      <w:pPr>
        <w:adjustRightInd w:val="0"/>
        <w:snapToGrid w:val="0"/>
        <w:spacing w:line="560" w:lineRule="exact"/>
        <w:ind w:firstLine="638" w:firstLineChars="228"/>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1.全面检查所有电表，确保全部电表计量通讯正常，异常电表和问题电表负责免费更换或维修</w:t>
      </w:r>
      <w:r>
        <w:rPr>
          <w:rFonts w:hint="eastAsia" w:ascii="宋体" w:hAnsi="宋体"/>
          <w:color w:val="000000" w:themeColor="text1"/>
          <w:sz w:val="28"/>
          <w:szCs w:val="28"/>
          <w14:textFill>
            <w14:solidFill>
              <w14:schemeClr w14:val="tx1"/>
            </w14:solidFill>
          </w14:textFill>
        </w:rPr>
        <w:t>。</w:t>
      </w:r>
    </w:p>
    <w:p>
      <w:pPr>
        <w:adjustRightInd w:val="0"/>
        <w:snapToGrid w:val="0"/>
        <w:spacing w:line="560" w:lineRule="exact"/>
        <w:ind w:firstLine="638" w:firstLineChars="228"/>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2.每个电表箱增加一个电表采集和通讯用的数据集中器，共计8个，连通电表箱内所有电表。</w:t>
      </w:r>
    </w:p>
    <w:p>
      <w:pPr>
        <w:adjustRightInd w:val="0"/>
        <w:snapToGrid w:val="0"/>
        <w:spacing w:line="560" w:lineRule="exact"/>
        <w:ind w:firstLine="638" w:firstLineChars="228"/>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3.每个电表房增加一个网络转换器，共计5个，连通数据集中器和网络交换机，实现485通讯转换成TCP/IP。</w:t>
      </w:r>
    </w:p>
    <w:p>
      <w:pPr>
        <w:adjustRightInd w:val="0"/>
        <w:snapToGrid w:val="0"/>
        <w:spacing w:line="560" w:lineRule="exact"/>
        <w:ind w:firstLine="638" w:firstLineChars="228"/>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4.每个电表房拉一条网线至本栋的网络房交换机，并由学校提供固定端口和IP。</w:t>
      </w:r>
    </w:p>
    <w:p>
      <w:pPr>
        <w:adjustRightInd w:val="0"/>
        <w:snapToGrid w:val="0"/>
        <w:spacing w:line="560" w:lineRule="exact"/>
        <w:ind w:firstLine="638" w:firstLineChars="228"/>
        <w:rPr>
          <w:rFonts w:hint="eastAsia" w:ascii="仿宋" w:hAnsi="仿宋" w:eastAsia="仿宋"/>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5.将全部电表并入学校在用的水电抄表系统管理软件，并完成全部硬件设备和系统软件的匹配和连通，实现远程抄表和统计报表，同时同步到一卡通对接中间库，可以按学校要求随时设置成为预收费。</w:t>
      </w:r>
    </w:p>
    <w:p>
      <w:pPr>
        <w:pStyle w:val="3"/>
        <w:pageBreakBefore w:val="0"/>
        <w:widowControl w:val="0"/>
        <w:numPr>
          <w:ilvl w:val="0"/>
          <w:numId w:val="4"/>
        </w:numPr>
        <w:kinsoku/>
        <w:wordWrap/>
        <w:overflowPunct/>
        <w:topLinePunct w:val="0"/>
        <w:autoSpaceDE/>
        <w:autoSpaceDN/>
        <w:bidi w:val="0"/>
        <w:spacing w:line="560" w:lineRule="exact"/>
        <w:textAlignment w:val="auto"/>
      </w:pPr>
      <w:bookmarkStart w:id="26" w:name="_Toc60236709"/>
      <w:bookmarkStart w:id="27" w:name="_Toc17787"/>
      <w:r>
        <w:rPr>
          <w:rFonts w:hint="eastAsia"/>
        </w:rPr>
        <w:t>商务要求</w:t>
      </w:r>
      <w:bookmarkEnd w:id="26"/>
      <w:bookmarkEnd w:id="27"/>
    </w:p>
    <w:p>
      <w:pPr>
        <w:pageBreakBefore w:val="0"/>
        <w:widowControl w:val="0"/>
        <w:kinsoku/>
        <w:wordWrap/>
        <w:overflowPunct/>
        <w:topLinePunct w:val="0"/>
        <w:autoSpaceDE/>
        <w:autoSpaceDN/>
        <w:bidi w:val="0"/>
        <w:adjustRightInd w:val="0"/>
        <w:snapToGrid w:val="0"/>
        <w:spacing w:line="560" w:lineRule="exact"/>
        <w:ind w:firstLine="641" w:firstLineChars="228"/>
        <w:jc w:val="left"/>
        <w:textAlignment w:val="auto"/>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交货时间：自</w:t>
      </w:r>
      <w:r>
        <w:rPr>
          <w:rFonts w:hint="eastAsia" w:ascii="Times New Roman" w:hAnsi="Times New Roman" w:eastAsia="宋体" w:cs="Times New Roman"/>
          <w:sz w:val="28"/>
          <w:szCs w:val="28"/>
          <w:lang w:val="en-US" w:eastAsia="zh-CN"/>
        </w:rPr>
        <w:t>供应商收到成交结果通知</w:t>
      </w:r>
      <w:r>
        <w:rPr>
          <w:rFonts w:hint="eastAsia" w:ascii="宋体" w:hAnsi="宋体"/>
          <w:bCs/>
          <w:sz w:val="28"/>
          <w:szCs w:val="28"/>
        </w:rPr>
        <w:t>之日起</w:t>
      </w:r>
      <w:r>
        <w:rPr>
          <w:rFonts w:hint="eastAsia" w:ascii="宋体" w:hAnsi="宋体"/>
          <w:bCs/>
          <w:sz w:val="28"/>
          <w:szCs w:val="28"/>
          <w:lang w:val="en-US" w:eastAsia="zh-CN"/>
        </w:rPr>
        <w:t>30</w:t>
      </w:r>
      <w:r>
        <w:rPr>
          <w:rFonts w:hint="eastAsia" w:ascii="宋体" w:hAnsi="宋体"/>
          <w:bCs/>
          <w:sz w:val="28"/>
          <w:szCs w:val="28"/>
        </w:rPr>
        <w:t>天内完成。</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佛山</w:t>
      </w:r>
      <w:r>
        <w:rPr>
          <w:rFonts w:hint="eastAsia" w:ascii="宋体" w:hAnsi="宋体"/>
          <w:bCs/>
          <w:sz w:val="28"/>
          <w:szCs w:val="28"/>
        </w:rPr>
        <w:t>校区</w:t>
      </w:r>
      <w:r>
        <w:rPr>
          <w:rFonts w:hint="eastAsia" w:ascii="宋体" w:hAnsi="宋体"/>
          <w:bCs/>
          <w:sz w:val="28"/>
          <w:szCs w:val="28"/>
          <w:lang w:val="en-US" w:eastAsia="zh-CN"/>
        </w:rPr>
        <w:t>用户指定地点</w:t>
      </w:r>
      <w:r>
        <w:rPr>
          <w:rFonts w:hint="eastAsia" w:ascii="宋体" w:hAnsi="宋体"/>
          <w:bCs/>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w:t>
      </w:r>
    </w:p>
    <w:p>
      <w:pPr>
        <w:numPr>
          <w:ilvl w:val="0"/>
          <w:numId w:val="5"/>
        </w:num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项目质量与验收标准</w:t>
      </w:r>
    </w:p>
    <w:p>
      <w:pPr>
        <w:adjustRightInd w:val="0"/>
        <w:snapToGrid w:val="0"/>
        <w:spacing w:line="560" w:lineRule="exact"/>
        <w:ind w:firstLine="638" w:firstLineChars="228"/>
        <w:jc w:val="lef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（四）质保期</w:t>
      </w:r>
    </w:p>
    <w:p>
      <w:pPr>
        <w:adjustRightInd w:val="0"/>
        <w:snapToGrid w:val="0"/>
        <w:spacing w:line="560" w:lineRule="exact"/>
        <w:ind w:firstLine="638" w:firstLineChars="228"/>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本项目的质量保证期限为</w:t>
      </w:r>
      <w:r>
        <w:rPr>
          <w:rFonts w:hint="eastAsia" w:ascii="宋体" w:hAnsi="宋体"/>
          <w:b/>
          <w:bCs/>
          <w:color w:val="000000" w:themeColor="text1"/>
          <w:sz w:val="28"/>
          <w:szCs w:val="28"/>
          <w:lang w:val="en-US" w:eastAsia="zh-CN"/>
          <w14:textFill>
            <w14:solidFill>
              <w14:schemeClr w14:val="tx1"/>
            </w14:solidFill>
          </w14:textFill>
        </w:rPr>
        <w:t>两</w:t>
      </w:r>
      <w:r>
        <w:rPr>
          <w:rFonts w:hint="eastAsia" w:ascii="宋体" w:hAnsi="宋体"/>
          <w:b/>
          <w:bCs/>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，质保期内</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免费提供系统正常使用情况下的维修及保养服务，质保期内的任何问题（人为及自然灾害除外），</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负责免费维修更换处理。如国家质保标准或生产厂商产品质保标准优于本条款，从其规定。质保期从验收合格之日起计算。</w:t>
      </w:r>
    </w:p>
    <w:p>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（五）售后服务要求</w:t>
      </w:r>
    </w:p>
    <w:p>
      <w:pPr>
        <w:adjustRightInd w:val="0"/>
        <w:snapToGrid w:val="0"/>
        <w:spacing w:line="560" w:lineRule="exact"/>
        <w:ind w:firstLine="638" w:firstLineChars="228"/>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必须依照采购文件的要求和投标文件的承诺，将设备、系统安装并调试至正常运行的最佳状态。对</w:t>
      </w:r>
      <w:r>
        <w:rPr>
          <w:rFonts w:hint="eastAsia" w:ascii="宋体" w:hAnsi="宋体"/>
          <w:sz w:val="28"/>
          <w:szCs w:val="28"/>
        </w:rPr>
        <w:t>采购方</w:t>
      </w:r>
      <w:r>
        <w:rPr>
          <w:rFonts w:hint="eastAsia" w:ascii="宋体" w:hAnsi="宋体"/>
          <w:color w:val="000000" w:themeColor="text1"/>
          <w:sz w:val="28"/>
          <w:szCs w:val="28"/>
          <w14:textFill>
            <w14:solidFill>
              <w14:schemeClr w14:val="tx1"/>
            </w14:solidFill>
          </w14:textFill>
        </w:rPr>
        <w:t>的服务通知，</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在接报后</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小时内响应，</w:t>
      </w:r>
      <w:r>
        <w:rPr>
          <w:rFonts w:hint="eastAsia" w:ascii="宋体" w:hAnsi="宋体"/>
          <w:color w:val="000000" w:themeColor="text1"/>
          <w:sz w:val="28"/>
          <w:szCs w:val="28"/>
          <w:lang w:val="en-US" w:eastAsia="zh-CN"/>
          <w14:textFill>
            <w14:solidFill>
              <w14:schemeClr w14:val="tx1"/>
            </w14:solidFill>
          </w14:textFill>
        </w:rPr>
        <w:t>2小时内到达现场，</w:t>
      </w:r>
      <w:r>
        <w:rPr>
          <w:rFonts w:hint="eastAsia" w:ascii="宋体" w:hAnsi="宋体"/>
          <w:color w:val="000000" w:themeColor="text1"/>
          <w:sz w:val="28"/>
          <w:szCs w:val="28"/>
          <w14:textFill>
            <w14:solidFill>
              <w14:schemeClr w14:val="tx1"/>
            </w14:solidFill>
          </w14:textFill>
        </w:rPr>
        <w:t>24小时内处理完毕。若在24小时内仍未能有效解决，</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须免费提供同档次的设备予</w:t>
      </w:r>
      <w:r>
        <w:rPr>
          <w:rFonts w:hint="eastAsia" w:ascii="宋体" w:hAnsi="宋体"/>
          <w:sz w:val="28"/>
          <w:szCs w:val="28"/>
        </w:rPr>
        <w:t>采购方</w:t>
      </w:r>
      <w:r>
        <w:rPr>
          <w:rFonts w:hint="eastAsia" w:ascii="宋体" w:hAnsi="宋体"/>
          <w:color w:val="000000" w:themeColor="text1"/>
          <w:sz w:val="28"/>
          <w:szCs w:val="28"/>
          <w14:textFill>
            <w14:solidFill>
              <w14:schemeClr w14:val="tx1"/>
            </w14:solidFill>
          </w14:textFill>
        </w:rPr>
        <w:t>临时使用。</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hint="eastAsia" w:ascii="宋体" w:hAnsi="宋体"/>
          <w:sz w:val="28"/>
          <w:szCs w:val="28"/>
        </w:rPr>
      </w:pPr>
      <w:r>
        <w:rPr>
          <w:rFonts w:hint="eastAsia" w:ascii="宋体" w:hAnsi="宋体"/>
          <w:sz w:val="28"/>
          <w:szCs w:val="28"/>
        </w:rPr>
        <w:t>该项目验收合格后，在成交人提供发票后，采购方1个月内将合同款100%转账支付给成交人。</w:t>
      </w:r>
    </w:p>
    <w:p>
      <w:pPr>
        <w:spacing w:line="560" w:lineRule="exact"/>
        <w:ind w:firstLine="638" w:firstLineChars="228"/>
        <w:rPr>
          <w:rFonts w:hint="eastAsia" w:ascii="宋体" w:hAnsi="宋体"/>
          <w:sz w:val="28"/>
          <w:szCs w:val="28"/>
        </w:rPr>
      </w:pPr>
      <w:r>
        <w:rPr>
          <w:rFonts w:hint="eastAsia" w:ascii="宋体" w:hAnsi="宋体"/>
          <w:sz w:val="28"/>
          <w:szCs w:val="28"/>
        </w:rPr>
        <w:t>如遇节假日或学校寒暑假期，支付时间相应顺延，具体以学校财务部门办理时限为准。付款方式：银行网转。</w:t>
      </w:r>
    </w:p>
    <w:p>
      <w:pPr>
        <w:adjustRightInd w:val="0"/>
        <w:snapToGrid w:val="0"/>
        <w:spacing w:line="560" w:lineRule="exact"/>
        <w:ind w:firstLine="641" w:firstLineChars="228"/>
        <w:jc w:val="left"/>
        <w:rPr>
          <w:rFonts w:hint="eastAsia" w:ascii="宋体" w:hAnsi="宋体" w:eastAsia="宋体"/>
          <w:b/>
          <w:sz w:val="28"/>
          <w:szCs w:val="28"/>
          <w:lang w:val="en-US" w:eastAsia="zh-CN"/>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）违约</w:t>
      </w:r>
      <w:r>
        <w:rPr>
          <w:rFonts w:hint="eastAsia" w:ascii="宋体" w:hAnsi="宋体"/>
          <w:b/>
          <w:sz w:val="28"/>
          <w:szCs w:val="28"/>
          <w:lang w:val="en-US" w:eastAsia="zh-CN"/>
        </w:rPr>
        <w:t>责任</w:t>
      </w:r>
    </w:p>
    <w:p>
      <w:pPr>
        <w:pStyle w:val="105"/>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（1）</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交付的货物/提供的服务不符合</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规定的，</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有权拒收，并且</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须向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支付</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总价5%的违约金。</w:t>
      </w:r>
    </w:p>
    <w:p>
      <w:pPr>
        <w:pStyle w:val="105"/>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（2）</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未能按</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规定的交货时间交付货物或提供服务，从逾期之日起每日按</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总价0.1%的数额向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支付违约金；逾期半个月以上的，</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需向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支付</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总价5%的违约金作为赔偿，由此造成的</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经济损失均由</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承担。</w:t>
      </w:r>
    </w:p>
    <w:p>
      <w:pPr>
        <w:pStyle w:val="105"/>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（3）</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无正当理由拒收货物或接受服务，无正当理由到期拒付货物或服务款项的，</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向</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偿付</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总价的5%的违约金。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无正当理由逾期付款的，则每日按</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总价的0.1 %向</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偿付违约金，违约金累计总额不超过欠款总价的10%。</w:t>
      </w:r>
    </w:p>
    <w:p>
      <w:pPr>
        <w:pStyle w:val="105"/>
        <w:spacing w:before="0" w:beforeAutospacing="0" w:after="0" w:afterAutospacing="0" w:line="360" w:lineRule="auto"/>
        <w:ind w:firstLine="560" w:firstLineChars="200"/>
        <w:jc w:val="both"/>
        <w:rPr>
          <w:rFonts w:hint="eastAsia" w:ascii="宋体" w:hAnsi="宋体"/>
          <w:sz w:val="28"/>
          <w:szCs w:val="28"/>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（4）其它违约责任按《中华人民共和国民法典》处理。</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八</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采购方</w:t>
      </w:r>
      <w:r>
        <w:rPr>
          <w:rFonts w:hint="eastAsia" w:ascii="宋体" w:hAnsi="宋体"/>
          <w:sz w:val="28"/>
          <w:szCs w:val="28"/>
          <w:lang w:val="en-US" w:eastAsia="zh-CN"/>
        </w:rPr>
        <w:t>在项目实施过程中</w:t>
      </w:r>
      <w:r>
        <w:rPr>
          <w:rFonts w:hint="eastAsia" w:ascii="宋体" w:hAnsi="宋体"/>
          <w:sz w:val="28"/>
          <w:szCs w:val="28"/>
        </w:rPr>
        <w:t>提供给成交人使用保管的全部图纸、文件和其他含有数据和信息的资料，其知识产权属于采购方。</w:t>
      </w:r>
    </w:p>
    <w:p>
      <w:pPr>
        <w:numPr>
          <w:ilvl w:val="0"/>
          <w:numId w:val="6"/>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项目涉及知识产权、专利权、软件著作权的，成交人应当提供产品原生产厂家针对本项目的签字盖章的授权销售及质保承诺书原件，并保证采购方在使用过程中免受第三方提出的有关知识产权、专利权、软件著作权等侵权的主张、索赔或诉讼的伤害，否则采购方有权取消成交人资格。</w:t>
      </w:r>
    </w:p>
    <w:p>
      <w:pPr>
        <w:numPr>
          <w:ilvl w:val="0"/>
          <w:numId w:val="6"/>
        </w:numPr>
        <w:tabs>
          <w:tab w:val="left" w:pos="0"/>
          <w:tab w:val="left" w:pos="210"/>
          <w:tab w:val="left" w:pos="420"/>
          <w:tab w:val="left" w:pos="851"/>
          <w:tab w:val="left" w:pos="993"/>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hint="eastAsia"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九</w:t>
      </w:r>
      <w:r>
        <w:rPr>
          <w:rFonts w:hint="eastAsia" w:ascii="宋体" w:hAnsi="宋体"/>
          <w:b/>
          <w:bCs/>
          <w:sz w:val="28"/>
          <w:szCs w:val="28"/>
        </w:rPr>
        <w:t>）争议解决</w:t>
      </w:r>
      <w:r>
        <w:rPr>
          <w:rFonts w:hint="eastAsia" w:ascii="宋体" w:hAnsi="宋体"/>
          <w:sz w:val="28"/>
          <w:szCs w:val="28"/>
        </w:rPr>
        <w:t>：双方发生争议，应友好协商解决，如协商不成则应提交甲方所在地人民法院诉讼解决。</w:t>
      </w:r>
    </w:p>
    <w:p>
      <w:pPr>
        <w:spacing w:line="560" w:lineRule="exact"/>
        <w:ind w:firstLine="638" w:firstLineChars="228"/>
        <w:rPr>
          <w:rFonts w:ascii="宋体" w:hAnsi="宋体"/>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9"/>
        </w:numPr>
        <w:spacing w:line="0" w:lineRule="atLeast"/>
        <w:rPr>
          <w:rFonts w:hAnsi="宋体"/>
          <w:sz w:val="28"/>
          <w:szCs w:val="28"/>
        </w:rPr>
      </w:pPr>
      <w:r>
        <w:rPr>
          <w:rFonts w:hint="eastAsia"/>
          <w:sz w:val="28"/>
          <w:szCs w:val="28"/>
        </w:rPr>
        <w:t>填写此表时不得改变表格的形式。</w:t>
      </w:r>
    </w:p>
    <w:p>
      <w:pPr>
        <w:pStyle w:val="14"/>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960" w:firstLineChars="300"/>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960" w:firstLineChars="300"/>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640" w:firstLineChars="200"/>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320" w:firstLineChars="100"/>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960" w:firstLineChars="300"/>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fmt="decimal" w:start="1" w:chapStyle="1" w:chapSep="hyphen"/>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D445B1-21CB-4DDD-BC0B-EE924FC81A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7E23D7E-B0D3-41EF-8EEE-DC4CE64DD514}"/>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7F04C86C-55BE-4201-BD9B-D9B082406653}"/>
  </w:font>
  <w:font w:name="方正小标宋_GBK">
    <w:panose1 w:val="02000000000000000000"/>
    <w:charset w:val="86"/>
    <w:family w:val="auto"/>
    <w:pitch w:val="default"/>
    <w:sig w:usb0="A00002BF" w:usb1="38CF7CFA" w:usb2="00082016" w:usb3="00000000" w:csb0="00040001" w:csb1="00000000"/>
    <w:embedRegular r:id="rId4" w:fontKey="{E33244D8-486A-4C40-9BD6-B3FBDCA6C458}"/>
  </w:font>
  <w:font w:name="楷体_GB2312">
    <w:panose1 w:val="02010609030101010101"/>
    <w:charset w:val="86"/>
    <w:family w:val="modern"/>
    <w:pitch w:val="default"/>
    <w:sig w:usb0="00000001" w:usb1="080E0000" w:usb2="00000000" w:usb3="00000000" w:csb0="00040000" w:csb1="00000000"/>
    <w:embedRegular r:id="rId5" w:fontKey="{045B8E75-1F86-47E0-898C-F5921E73B40C}"/>
  </w:font>
  <w:font w:name="楷体">
    <w:panose1 w:val="02010609060101010101"/>
    <w:charset w:val="86"/>
    <w:family w:val="modern"/>
    <w:pitch w:val="default"/>
    <w:sig w:usb0="800002BF" w:usb1="38CF7CFA" w:usb2="00000016" w:usb3="00000000" w:csb0="00040001" w:csb1="00000000"/>
    <w:embedRegular r:id="rId6" w:fontKey="{75BFA2F0-7585-4CEA-9367-6CDAEB07D3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7ECBDDF7"/>
    <w:multiLevelType w:val="singleLevel"/>
    <w:tmpl w:val="7ECBDDF7"/>
    <w:lvl w:ilvl="0" w:tentative="0">
      <w:start w:val="2"/>
      <w:numFmt w:val="chineseCounting"/>
      <w:suff w:val="nothing"/>
      <w:lvlText w:val="%1、"/>
      <w:lvlJc w:val="left"/>
      <w:rPr>
        <w:rFonts w:hint="eastAsia"/>
      </w:rPr>
    </w:lvl>
  </w:abstractNum>
  <w:num w:numId="1">
    <w:abstractNumId w:val="5"/>
  </w:num>
  <w:num w:numId="2">
    <w:abstractNumId w:val="8"/>
  </w:num>
  <w:num w:numId="3">
    <w:abstractNumId w:val="3"/>
  </w:num>
  <w:num w:numId="4">
    <w:abstractNumId w:val="9"/>
  </w:num>
  <w:num w:numId="5">
    <w:abstractNumId w:val="2"/>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wNjZmNzU1ODdiOGM4MmJkYjdkNTUwNTQ0NDRkNT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B55611"/>
    <w:rsid w:val="029C7941"/>
    <w:rsid w:val="0338148D"/>
    <w:rsid w:val="03AD1858"/>
    <w:rsid w:val="03D568F0"/>
    <w:rsid w:val="05940418"/>
    <w:rsid w:val="05CA273A"/>
    <w:rsid w:val="07654F6A"/>
    <w:rsid w:val="079E325C"/>
    <w:rsid w:val="080A5070"/>
    <w:rsid w:val="08F82AEF"/>
    <w:rsid w:val="0A2F4D76"/>
    <w:rsid w:val="0B5944CA"/>
    <w:rsid w:val="0BEE41F8"/>
    <w:rsid w:val="0C263B52"/>
    <w:rsid w:val="0C465008"/>
    <w:rsid w:val="0D0015C5"/>
    <w:rsid w:val="0D86163D"/>
    <w:rsid w:val="0E6949B3"/>
    <w:rsid w:val="0ECF31D6"/>
    <w:rsid w:val="0F666038"/>
    <w:rsid w:val="0FEF4AD0"/>
    <w:rsid w:val="10881228"/>
    <w:rsid w:val="109D132A"/>
    <w:rsid w:val="10AC3A44"/>
    <w:rsid w:val="11FA2096"/>
    <w:rsid w:val="12254861"/>
    <w:rsid w:val="12B4052F"/>
    <w:rsid w:val="12EC524A"/>
    <w:rsid w:val="13071F04"/>
    <w:rsid w:val="139A6EC9"/>
    <w:rsid w:val="13C52591"/>
    <w:rsid w:val="14A66120"/>
    <w:rsid w:val="14E23522"/>
    <w:rsid w:val="152D1711"/>
    <w:rsid w:val="15BE479B"/>
    <w:rsid w:val="168532DC"/>
    <w:rsid w:val="173373DC"/>
    <w:rsid w:val="1753107A"/>
    <w:rsid w:val="18DC1D83"/>
    <w:rsid w:val="18DD33E1"/>
    <w:rsid w:val="18EE0C00"/>
    <w:rsid w:val="1A4172FB"/>
    <w:rsid w:val="1AE42B15"/>
    <w:rsid w:val="1DBA5515"/>
    <w:rsid w:val="1DFE0D7B"/>
    <w:rsid w:val="1E8E6D3C"/>
    <w:rsid w:val="20BC39CA"/>
    <w:rsid w:val="20F40738"/>
    <w:rsid w:val="213E5304"/>
    <w:rsid w:val="218617B3"/>
    <w:rsid w:val="21E00F42"/>
    <w:rsid w:val="22162FFB"/>
    <w:rsid w:val="239F2545"/>
    <w:rsid w:val="245F6E0F"/>
    <w:rsid w:val="24905418"/>
    <w:rsid w:val="263B5217"/>
    <w:rsid w:val="27192484"/>
    <w:rsid w:val="27C423D8"/>
    <w:rsid w:val="28E13EA5"/>
    <w:rsid w:val="28E3573D"/>
    <w:rsid w:val="291150CE"/>
    <w:rsid w:val="29AD0563"/>
    <w:rsid w:val="2B3334EE"/>
    <w:rsid w:val="2E2429AD"/>
    <w:rsid w:val="2E4F1FE5"/>
    <w:rsid w:val="2E7F096C"/>
    <w:rsid w:val="2E950643"/>
    <w:rsid w:val="305B2BFC"/>
    <w:rsid w:val="30B70974"/>
    <w:rsid w:val="311763F2"/>
    <w:rsid w:val="3237724D"/>
    <w:rsid w:val="32C61B83"/>
    <w:rsid w:val="32DA4D73"/>
    <w:rsid w:val="344B05CF"/>
    <w:rsid w:val="34683033"/>
    <w:rsid w:val="34C77CC1"/>
    <w:rsid w:val="350619E7"/>
    <w:rsid w:val="35B77661"/>
    <w:rsid w:val="36583023"/>
    <w:rsid w:val="3713274F"/>
    <w:rsid w:val="39A6093D"/>
    <w:rsid w:val="3A0A6BEF"/>
    <w:rsid w:val="3A52375B"/>
    <w:rsid w:val="3AFE4B50"/>
    <w:rsid w:val="3BF75747"/>
    <w:rsid w:val="3D7E6242"/>
    <w:rsid w:val="3D832EB5"/>
    <w:rsid w:val="3EB43B95"/>
    <w:rsid w:val="3F0535D6"/>
    <w:rsid w:val="401A05CF"/>
    <w:rsid w:val="40652603"/>
    <w:rsid w:val="40B86185"/>
    <w:rsid w:val="41BD6C4B"/>
    <w:rsid w:val="42532A81"/>
    <w:rsid w:val="42F56F60"/>
    <w:rsid w:val="442F0A64"/>
    <w:rsid w:val="44CF72A4"/>
    <w:rsid w:val="44FE771E"/>
    <w:rsid w:val="453D2E2E"/>
    <w:rsid w:val="455B5F6E"/>
    <w:rsid w:val="457C47F0"/>
    <w:rsid w:val="45927D9D"/>
    <w:rsid w:val="462D713C"/>
    <w:rsid w:val="4678338B"/>
    <w:rsid w:val="476B2D91"/>
    <w:rsid w:val="48833F13"/>
    <w:rsid w:val="4ADD6003"/>
    <w:rsid w:val="4B9C0C82"/>
    <w:rsid w:val="4BEB2A35"/>
    <w:rsid w:val="4C8E1DBB"/>
    <w:rsid w:val="4C9204F0"/>
    <w:rsid w:val="4CC74B6F"/>
    <w:rsid w:val="4DBA5FA6"/>
    <w:rsid w:val="4DD5065C"/>
    <w:rsid w:val="507A5425"/>
    <w:rsid w:val="50C30629"/>
    <w:rsid w:val="51577DD1"/>
    <w:rsid w:val="51AB09AF"/>
    <w:rsid w:val="51BA4830"/>
    <w:rsid w:val="520732F2"/>
    <w:rsid w:val="531269D1"/>
    <w:rsid w:val="5322177A"/>
    <w:rsid w:val="53E251E4"/>
    <w:rsid w:val="54B4589B"/>
    <w:rsid w:val="55B90436"/>
    <w:rsid w:val="57434CFA"/>
    <w:rsid w:val="5A165665"/>
    <w:rsid w:val="5A965CB3"/>
    <w:rsid w:val="5C097FBF"/>
    <w:rsid w:val="5C837B0E"/>
    <w:rsid w:val="5CEE19DF"/>
    <w:rsid w:val="5CFE645C"/>
    <w:rsid w:val="5D5241C7"/>
    <w:rsid w:val="5D901B4E"/>
    <w:rsid w:val="5DCB7EB6"/>
    <w:rsid w:val="5EB743B6"/>
    <w:rsid w:val="6194517C"/>
    <w:rsid w:val="62437726"/>
    <w:rsid w:val="628F0A4F"/>
    <w:rsid w:val="6296560A"/>
    <w:rsid w:val="62D60C04"/>
    <w:rsid w:val="62DB6DB3"/>
    <w:rsid w:val="63065FF8"/>
    <w:rsid w:val="63550335"/>
    <w:rsid w:val="68742FE5"/>
    <w:rsid w:val="697C1D6F"/>
    <w:rsid w:val="6A80153E"/>
    <w:rsid w:val="6C501630"/>
    <w:rsid w:val="6C9B174C"/>
    <w:rsid w:val="6E5725FE"/>
    <w:rsid w:val="6ECB3E6A"/>
    <w:rsid w:val="6F544E68"/>
    <w:rsid w:val="6FC93427"/>
    <w:rsid w:val="6FCC6D8D"/>
    <w:rsid w:val="70514B2D"/>
    <w:rsid w:val="70D5507C"/>
    <w:rsid w:val="719242C5"/>
    <w:rsid w:val="72B62304"/>
    <w:rsid w:val="74051876"/>
    <w:rsid w:val="742D0AEA"/>
    <w:rsid w:val="750157C1"/>
    <w:rsid w:val="775F256E"/>
    <w:rsid w:val="77F228DE"/>
    <w:rsid w:val="78851ED1"/>
    <w:rsid w:val="79C61CFF"/>
    <w:rsid w:val="79C9679D"/>
    <w:rsid w:val="7A6D1E7C"/>
    <w:rsid w:val="7BD43762"/>
    <w:rsid w:val="7C197054"/>
    <w:rsid w:val="7DBD7DE5"/>
    <w:rsid w:val="7E740121"/>
    <w:rsid w:val="7F750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9414</Words>
  <Characters>9721</Characters>
  <Lines>444</Lines>
  <Paragraphs>180</Paragraphs>
  <TotalTime>392</TotalTime>
  <ScaleCrop>false</ScaleCrop>
  <LinksUpToDate>false</LinksUpToDate>
  <CharactersWithSpaces>10319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郭超超</cp:lastModifiedBy>
  <cp:lastPrinted>2022-01-21T10:35:00Z</cp:lastPrinted>
  <dcterms:modified xsi:type="dcterms:W3CDTF">2024-11-04T03:16:42Z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FB3266A24AFE4AB0BC45BD24B4352F21_13</vt:lpwstr>
  </property>
</Properties>
</file>