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2024年</w:t>
      </w:r>
      <w:bookmarkStart w:id="31" w:name="_GoBack"/>
      <w:bookmarkEnd w:id="31"/>
      <w:r>
        <w:rPr>
          <w:rFonts w:hint="eastAsia" w:ascii="宋体" w:hAnsi="宋体"/>
          <w:b/>
          <w:sz w:val="36"/>
          <w:u w:val="single"/>
        </w:rPr>
        <w:t>除颤仪采购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门诊部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w:t>
      </w:r>
      <w:r>
        <w:rPr>
          <w:rFonts w:ascii="宋体" w:hAnsi="宋体"/>
          <w:b/>
          <w:sz w:val="36"/>
          <w:u w:val="single"/>
        </w:rPr>
        <w:t>4</w:t>
      </w:r>
      <w:r>
        <w:rPr>
          <w:rFonts w:hint="eastAsia" w:ascii="宋体" w:hAnsi="宋体"/>
          <w:b/>
          <w:sz w:val="36"/>
          <w:u w:val="single"/>
        </w:rPr>
        <w:t xml:space="preserve">年5月6日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提高我校急救能力，对突发心搏骤停者实施有效的现场急救，门诊部计划今年采购配置四台自动除颤仪，以保障校园内出现心搏骤停事件时能获得除颤仪使用，通过恰当及时的使用，可使患者停搏的心脏在短时间恢复，对挽救患者生命，维护平安校园意义重大。</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6.5</w:t>
      </w:r>
      <w:r>
        <w:rPr>
          <w:rFonts w:hint="eastAsia" w:ascii="宋体" w:hAnsi="宋体"/>
          <w:sz w:val="28"/>
          <w:szCs w:val="28"/>
        </w:rPr>
        <w:t>万元，</w:t>
      </w:r>
      <w:r>
        <w:rPr>
          <w:rFonts w:ascii="宋体" w:hAnsi="宋体"/>
          <w:sz w:val="28"/>
          <w:szCs w:val="28"/>
        </w:rPr>
        <w:t>资金已到位。</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color w:val="000000" w:themeColor="text1"/>
          <w:sz w:val="28"/>
          <w:szCs w:val="28"/>
          <w:u w:val="single"/>
          <w14:textFill>
            <w14:solidFill>
              <w14:schemeClr w14:val="tx1"/>
            </w14:solidFill>
          </w14:textFill>
        </w:rPr>
        <w:t>（ 一 ）</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r>
              <w:rPr>
                <w:rFonts w:hint="eastAsia"/>
                <w:color w:val="FF0000"/>
              </w:rPr>
              <w:t>.</w:t>
            </w:r>
          </w:p>
        </w:tc>
        <w:tc>
          <w:tcPr>
            <w:tcW w:w="1080" w:type="dxa"/>
            <w:noWrap/>
            <w:vAlign w:val="center"/>
          </w:tcPr>
          <w:p>
            <w:pPr>
              <w:jc w:val="center"/>
              <w:rPr>
                <w:color w:val="FF0000"/>
              </w:rPr>
            </w:pPr>
            <w:r>
              <w:rPr>
                <w:color w:val="FF0000"/>
              </w:rPr>
              <w:t>……</w:t>
            </w:r>
            <w:r>
              <w:rPr>
                <w:rFonts w:hint="eastAsia"/>
                <w:color w:val="FF0000"/>
              </w:rPr>
              <w:t>.</w:t>
            </w:r>
          </w:p>
        </w:tc>
        <w:tc>
          <w:tcPr>
            <w:tcW w:w="5400" w:type="dxa"/>
            <w:noWrap/>
            <w:vAlign w:val="center"/>
          </w:tcPr>
          <w:p>
            <w:pPr>
              <w:rPr>
                <w:color w:val="FF0000"/>
                <w:szCs w:val="21"/>
              </w:rPr>
            </w:pPr>
            <w:r>
              <w:rPr>
                <w:color w:val="FF0000"/>
              </w:rPr>
              <w:t>……</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7"/>
        <w:gridCol w:w="2377"/>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Fonts w:hint="eastAsia" w:ascii="宋体" w:hAnsi="宋体" w:cs="宋体"/>
                <w:sz w:val="28"/>
                <w:szCs w:val="28"/>
              </w:rPr>
              <w:t>迈瑞牌除颤仪主机（BeneHeart C2A）</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Fonts w:hint="eastAsia" w:ascii="宋体" w:hAnsi="宋体" w:cs="宋体"/>
                <w:sz w:val="28"/>
                <w:szCs w:val="28"/>
              </w:rPr>
              <w:t>台</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Fonts w:ascii="宋体" w:hAnsi="宋体" w:cs="宋体"/>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2</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一次性电池</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ascii="宋体" w:hAnsi="宋体" w:cs="宋体"/>
                <w:sz w:val="24"/>
              </w:rPr>
            </w:pPr>
            <w:r>
              <w:rPr>
                <w:rFonts w:hint="eastAsia"/>
                <w:sz w:val="30"/>
                <w:szCs w:val="30"/>
              </w:rPr>
              <w:t>块</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pPr>
              <w:jc w:val="center"/>
            </w:pPr>
            <w:r>
              <w:rPr>
                <w:rFonts w:ascii="宋体" w:hAnsi="宋体" w:cs="宋体"/>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3</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一次性电极片</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ascii="宋体" w:hAnsi="宋体" w:cs="宋体"/>
                <w:sz w:val="24"/>
              </w:rPr>
            </w:pPr>
            <w:r>
              <w:rPr>
                <w:rFonts w:hint="eastAsia"/>
                <w:sz w:val="30"/>
                <w:szCs w:val="30"/>
              </w:rPr>
              <w:t>副</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pPr>
              <w:jc w:val="center"/>
            </w:pPr>
            <w:r>
              <w:rPr>
                <w:rFonts w:ascii="宋体" w:hAnsi="宋体" w:cs="宋体"/>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4</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使用说明书</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ascii="宋体" w:hAnsi="宋体" w:cs="宋体"/>
                <w:sz w:val="24"/>
              </w:rPr>
            </w:pPr>
            <w:r>
              <w:rPr>
                <w:rFonts w:hint="eastAsia"/>
                <w:sz w:val="30"/>
                <w:szCs w:val="30"/>
              </w:rPr>
              <w:t>本</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pPr>
              <w:jc w:val="center"/>
            </w:pPr>
            <w:r>
              <w:rPr>
                <w:rFonts w:ascii="宋体" w:hAnsi="宋体" w:cs="宋体"/>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5</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质保卡</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ascii="宋体" w:hAnsi="宋体" w:cs="宋体"/>
                <w:sz w:val="24"/>
              </w:rPr>
            </w:pPr>
            <w:r>
              <w:rPr>
                <w:rFonts w:hint="eastAsia"/>
                <w:sz w:val="30"/>
                <w:szCs w:val="30"/>
              </w:rPr>
              <w:t>张</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pPr>
              <w:jc w:val="center"/>
            </w:pPr>
            <w:r>
              <w:rPr>
                <w:rFonts w:ascii="宋体" w:hAnsi="宋体" w:cs="宋体"/>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6</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eastAsiaTheme="minorEastAsia"/>
                <w:sz w:val="30"/>
                <w:szCs w:val="30"/>
              </w:rPr>
            </w:pPr>
            <w:r>
              <w:rPr>
                <w:rFonts w:hint="eastAsia"/>
                <w:sz w:val="30"/>
                <w:szCs w:val="30"/>
              </w:rPr>
              <w:t>外挂箱</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ascii="宋体" w:hAnsi="宋体" w:cs="宋体"/>
                <w:sz w:val="24"/>
              </w:rPr>
            </w:pPr>
            <w:r>
              <w:rPr>
                <w:rFonts w:hint="eastAsia"/>
                <w:sz w:val="30"/>
                <w:szCs w:val="30"/>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pPr>
              <w:jc w:val="center"/>
            </w:pPr>
            <w:r>
              <w:rPr>
                <w:rFonts w:ascii="宋体" w:hAnsi="宋体" w:cs="宋体"/>
                <w:sz w:val="28"/>
                <w:szCs w:val="28"/>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7</w:t>
            </w:r>
          </w:p>
        </w:tc>
        <w:tc>
          <w:tcPr>
            <w:tcW w:w="2701" w:type="pct"/>
            <w:tcBorders>
              <w:top w:val="nil"/>
              <w:left w:val="nil"/>
              <w:bottom w:val="single" w:color="000000"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指示板</w:t>
            </w:r>
          </w:p>
        </w:tc>
        <w:tc>
          <w:tcPr>
            <w:tcW w:w="1298" w:type="pct"/>
            <w:tcBorders>
              <w:top w:val="nil"/>
              <w:left w:val="nil"/>
              <w:bottom w:val="single" w:color="000000" w:sz="4" w:space="0"/>
              <w:right w:val="single" w:color="000000" w:sz="4" w:space="0"/>
            </w:tcBorders>
            <w:shd w:val="clear" w:color="auto" w:fill="auto"/>
            <w:tcMar>
              <w:left w:w="70" w:type="dxa"/>
              <w:right w:w="70" w:type="dxa"/>
            </w:tcMar>
          </w:tcPr>
          <w:p>
            <w:pPr>
              <w:jc w:val="center"/>
              <w:rPr>
                <w:rFonts w:ascii="宋体" w:hAnsi="宋体" w:cs="宋体"/>
                <w:sz w:val="24"/>
              </w:rPr>
            </w:pPr>
            <w:r>
              <w:rPr>
                <w:rFonts w:hint="eastAsia"/>
                <w:sz w:val="30"/>
                <w:szCs w:val="30"/>
              </w:rPr>
              <w:t>个</w:t>
            </w:r>
          </w:p>
        </w:tc>
        <w:tc>
          <w:tcPr>
            <w:tcW w:w="554" w:type="pct"/>
            <w:tcBorders>
              <w:top w:val="nil"/>
              <w:left w:val="nil"/>
              <w:bottom w:val="single" w:color="000000" w:sz="4" w:space="0"/>
              <w:right w:val="single" w:color="000000" w:sz="4" w:space="0"/>
            </w:tcBorders>
            <w:shd w:val="clear" w:color="auto" w:fill="auto"/>
            <w:tcMar>
              <w:left w:w="70" w:type="dxa"/>
              <w:right w:w="70" w:type="dxa"/>
            </w:tcMar>
          </w:tcPr>
          <w:p>
            <w:pPr>
              <w:jc w:val="center"/>
            </w:pPr>
            <w:r>
              <w:rPr>
                <w:rFonts w:ascii="宋体" w:hAnsi="宋体" w:cs="宋体"/>
                <w:sz w:val="28"/>
                <w:szCs w:val="28"/>
              </w:rPr>
              <w:t>4</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rPr>
          <w:sz w:val="28"/>
          <w:szCs w:val="28"/>
        </w:rPr>
      </w:pPr>
      <w:r>
        <w:rPr>
          <w:rFonts w:hint="eastAsia"/>
          <w:sz w:val="28"/>
          <w:szCs w:val="28"/>
        </w:rPr>
        <w:t>1.体积、重量大小适中。</w:t>
      </w:r>
    </w:p>
    <w:p>
      <w:pPr>
        <w:rPr>
          <w:sz w:val="28"/>
          <w:szCs w:val="28"/>
        </w:rPr>
      </w:pPr>
      <w:r>
        <w:rPr>
          <w:rFonts w:hint="eastAsia"/>
          <w:sz w:val="28"/>
          <w:szCs w:val="28"/>
        </w:rPr>
        <w:t>★2.设备操作提示良好，为确保及时除颤，在需要除颤时，除颤按钮必须有醒目的闪烁提示。</w:t>
      </w:r>
    </w:p>
    <w:p>
      <w:pPr>
        <w:rPr>
          <w:sz w:val="28"/>
          <w:szCs w:val="28"/>
        </w:rPr>
      </w:pPr>
      <w:r>
        <w:rPr>
          <w:rFonts w:hint="eastAsia"/>
          <w:sz w:val="28"/>
          <w:szCs w:val="28"/>
        </w:rPr>
        <w:t>★3.在待机状态下，电极片和自动体外除颤仪预先连接，且电极片可放在机器上，方便携带和及时救治。</w:t>
      </w:r>
    </w:p>
    <w:p>
      <w:pPr>
        <w:rPr>
          <w:sz w:val="28"/>
          <w:szCs w:val="28"/>
        </w:rPr>
      </w:pPr>
      <w:r>
        <w:rPr>
          <w:rFonts w:hint="eastAsia"/>
          <w:sz w:val="28"/>
          <w:szCs w:val="28"/>
        </w:rPr>
        <w:t>★4.提供中英文双语语音提示，可一键快速切换中英文，无需重新启动。</w:t>
      </w:r>
    </w:p>
    <w:p>
      <w:pPr>
        <w:rPr>
          <w:sz w:val="28"/>
          <w:szCs w:val="28"/>
        </w:rPr>
      </w:pPr>
      <w:r>
        <w:rPr>
          <w:rFonts w:hint="eastAsia"/>
          <w:sz w:val="28"/>
          <w:szCs w:val="28"/>
        </w:rPr>
        <w:t>★5.不小于</w:t>
      </w:r>
      <w:r>
        <w:rPr>
          <w:rFonts w:hint="eastAsia"/>
          <w:color w:val="FF0000"/>
          <w:sz w:val="28"/>
          <w:szCs w:val="28"/>
        </w:rPr>
        <w:t>7英寸</w:t>
      </w:r>
      <w:r>
        <w:rPr>
          <w:rFonts w:hint="eastAsia"/>
          <w:sz w:val="28"/>
          <w:szCs w:val="28"/>
        </w:rPr>
        <w:t>彩屏，提高对普通施救人员的操作指导、准确施救。</w:t>
      </w:r>
    </w:p>
    <w:p>
      <w:pPr>
        <w:rPr>
          <w:sz w:val="28"/>
          <w:szCs w:val="28"/>
        </w:rPr>
      </w:pPr>
      <w:r>
        <w:rPr>
          <w:rFonts w:hint="eastAsia"/>
          <w:sz w:val="28"/>
          <w:szCs w:val="28"/>
        </w:rPr>
        <w:t>★6.屏幕分辨率不低于800×480，有清晰的动画指导贴放多功能电极片，放电，心肺复苏（CPR)等操作，可以指导普通民众施救人员进行高效施救操作。</w:t>
      </w:r>
    </w:p>
    <w:p>
      <w:pPr>
        <w:rPr>
          <w:kern w:val="0"/>
          <w:sz w:val="28"/>
          <w:szCs w:val="28"/>
        </w:rPr>
      </w:pPr>
      <w:r>
        <w:rPr>
          <w:rFonts w:hint="eastAsia"/>
          <w:sz w:val="28"/>
          <w:szCs w:val="28"/>
        </w:rPr>
        <w:t>★</w:t>
      </w:r>
      <w:r>
        <w:rPr>
          <w:rFonts w:hint="eastAsia"/>
          <w:kern w:val="0"/>
          <w:sz w:val="28"/>
          <w:szCs w:val="28"/>
        </w:rPr>
        <w:t>7.提供智能语音播报。设备根据急救人员响应速度，智能提示急救人员除去病人的衣物、粘贴电极片。</w:t>
      </w:r>
    </w:p>
    <w:p>
      <w:pPr>
        <w:rPr>
          <w:sz w:val="28"/>
          <w:szCs w:val="28"/>
        </w:rPr>
      </w:pPr>
      <w:r>
        <w:rPr>
          <w:rFonts w:hint="eastAsia"/>
          <w:sz w:val="28"/>
          <w:szCs w:val="28"/>
        </w:rPr>
        <w:t>★</w:t>
      </w:r>
      <w:r>
        <w:rPr>
          <w:rFonts w:hint="eastAsia"/>
          <w:kern w:val="0"/>
          <w:sz w:val="28"/>
          <w:szCs w:val="28"/>
        </w:rPr>
        <w:t>8.</w:t>
      </w:r>
      <w:r>
        <w:rPr>
          <w:rFonts w:hint="eastAsia"/>
          <w:sz w:val="28"/>
          <w:szCs w:val="28"/>
        </w:rPr>
        <w:t>除颤采用双相波技术，除颤波形：双相指数截断波形（BTE），具备自动阻抗补偿功能。</w:t>
      </w:r>
    </w:p>
    <w:p>
      <w:pPr>
        <w:rPr>
          <w:sz w:val="28"/>
          <w:szCs w:val="28"/>
        </w:rPr>
      </w:pPr>
      <w:r>
        <w:rPr>
          <w:rFonts w:hint="eastAsia"/>
          <w:sz w:val="28"/>
          <w:szCs w:val="28"/>
        </w:rPr>
        <w:t>★9.能量可递增，首次除颤没有消除室颤时，第二次和第三次电击自动使用更高级别能量。以便于非专业医务人员使用。</w:t>
      </w:r>
    </w:p>
    <w:p>
      <w:pPr>
        <w:rPr>
          <w:sz w:val="28"/>
          <w:szCs w:val="28"/>
        </w:rPr>
      </w:pPr>
      <w:r>
        <w:rPr>
          <w:rFonts w:hint="eastAsia"/>
          <w:sz w:val="28"/>
          <w:szCs w:val="28"/>
        </w:rPr>
        <w:t>★10.成人最大除颤能量可达360J。</w:t>
      </w:r>
    </w:p>
    <w:p>
      <w:pPr>
        <w:rPr>
          <w:sz w:val="28"/>
          <w:szCs w:val="28"/>
        </w:rPr>
      </w:pPr>
      <w:r>
        <w:rPr>
          <w:rFonts w:hint="eastAsia"/>
          <w:sz w:val="28"/>
          <w:szCs w:val="28"/>
        </w:rPr>
        <w:t>★11.支持成人/小儿模式，且模式可一键切换。</w:t>
      </w:r>
    </w:p>
    <w:p>
      <w:pPr>
        <w:rPr>
          <w:sz w:val="28"/>
          <w:szCs w:val="28"/>
        </w:rPr>
      </w:pPr>
      <w:r>
        <w:rPr>
          <w:rFonts w:hint="eastAsia"/>
          <w:sz w:val="28"/>
          <w:szCs w:val="28"/>
        </w:rPr>
        <w:t>★12.从开机到充电至200J能量准备放电的时间≤8.5秒。</w:t>
      </w:r>
    </w:p>
    <w:p>
      <w:pPr>
        <w:rPr>
          <w:sz w:val="28"/>
          <w:szCs w:val="28"/>
        </w:rPr>
      </w:pPr>
      <w:r>
        <w:rPr>
          <w:rFonts w:hint="eastAsia"/>
          <w:sz w:val="28"/>
          <w:szCs w:val="28"/>
        </w:rPr>
        <w:t>★13.低电量报警后至少还可持2</w:t>
      </w:r>
      <w:r>
        <w:rPr>
          <w:sz w:val="28"/>
          <w:szCs w:val="28"/>
        </w:rPr>
        <w:t>5</w:t>
      </w:r>
      <w:r>
        <w:rPr>
          <w:rFonts w:hint="eastAsia"/>
          <w:sz w:val="28"/>
          <w:szCs w:val="28"/>
        </w:rPr>
        <w:t>分钟工作时间和至少10次200J除颤充放电。</w:t>
      </w:r>
    </w:p>
    <w:p>
      <w:pPr>
        <w:rPr>
          <w:sz w:val="28"/>
          <w:szCs w:val="28"/>
        </w:rPr>
      </w:pPr>
      <w:r>
        <w:rPr>
          <w:rFonts w:hint="eastAsia"/>
          <w:sz w:val="28"/>
          <w:szCs w:val="28"/>
        </w:rPr>
        <w:t>★14.数据传输：主机设备支持内置4G无线数据传输功能，可将自检数据无线传输到远程AED管理平台，无需人工巡检、降低运维成本。</w:t>
      </w:r>
    </w:p>
    <w:p>
      <w:pPr>
        <w:rPr>
          <w:sz w:val="28"/>
          <w:szCs w:val="28"/>
        </w:rPr>
      </w:pPr>
      <w:r>
        <w:rPr>
          <w:rFonts w:hint="eastAsia"/>
          <w:sz w:val="28"/>
          <w:szCs w:val="28"/>
        </w:rPr>
        <w:t>★15.系统反馈功能：系统根据AED自检结果，正常/故障显示设备不同状态，故障时发出信息到设备管理者。</w:t>
      </w:r>
    </w:p>
    <w:p>
      <w:pPr>
        <w:rPr>
          <w:sz w:val="28"/>
          <w:szCs w:val="28"/>
        </w:rPr>
      </w:pPr>
      <w:r>
        <w:rPr>
          <w:rFonts w:hint="eastAsia"/>
          <w:sz w:val="28"/>
          <w:szCs w:val="28"/>
        </w:rPr>
        <w:t>★16.免费开放设备远程管理系统数据端口，供采购人通过远程管理系统实时查询所有设备在线状态、详情信息、历史记录，并具备汇总、统计功能（含地图、数据及趋势图）。</w:t>
      </w:r>
    </w:p>
    <w:p>
      <w:pPr>
        <w:rPr>
          <w:sz w:val="28"/>
          <w:szCs w:val="28"/>
        </w:rPr>
      </w:pPr>
      <w:r>
        <w:rPr>
          <w:rFonts w:hint="eastAsia"/>
          <w:sz w:val="28"/>
          <w:szCs w:val="28"/>
        </w:rPr>
        <w:t>★17.产品提供</w:t>
      </w:r>
      <w:r>
        <w:rPr>
          <w:rFonts w:hint="eastAsia"/>
          <w:sz w:val="28"/>
          <w:szCs w:val="32"/>
        </w:rPr>
        <w:t>保修5年和上门使用培训。</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自合同签订之日起7天内完成交货，确保正常运行使用。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四台机器两台安排于广东财经大学广州校区内（广州市仑头路21号），另两台安排于广东财经大学佛山校区内（广东省佛山市三水区云东海街道学海中路1号）。需提供上门使用培训两次或以上。</w:t>
      </w:r>
    </w:p>
    <w:p>
      <w:pPr>
        <w:numPr>
          <w:ilvl w:val="0"/>
          <w:numId w:val="4"/>
        </w:num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项目质量与验收标准</w:t>
      </w:r>
    </w:p>
    <w:p>
      <w:pPr>
        <w:adjustRightInd w:val="0"/>
        <w:snapToGrid w:val="0"/>
        <w:spacing w:line="560" w:lineRule="exact"/>
        <w:ind w:firstLine="638" w:firstLineChars="228"/>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（四）质保期</w:t>
      </w:r>
    </w:p>
    <w:p>
      <w:pPr>
        <w:adjustRightInd w:val="0"/>
        <w:snapToGrid w:val="0"/>
        <w:spacing w:line="56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质保期自安装验收合格之日起生效，时间为5年</w:t>
      </w:r>
      <w:r>
        <w:rPr>
          <w:rFonts w:hint="eastAsia" w:ascii="宋体" w:hAnsi="宋体" w:cs="宋体"/>
          <w:color w:val="000000" w:themeColor="text1"/>
          <w:sz w:val="28"/>
          <w:szCs w:val="28"/>
          <w14:textFill>
            <w14:solidFill>
              <w14:schemeClr w14:val="tx1"/>
            </w14:solidFill>
          </w14:textFill>
        </w:rPr>
        <w:t>。</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color w:val="000000" w:themeColor="text1"/>
          <w:sz w:val="28"/>
          <w:szCs w:val="28"/>
          <w14:textFill>
            <w14:solidFill>
              <w14:schemeClr w14:val="tx1"/>
            </w14:solidFill>
          </w14:textFill>
        </w:rPr>
        <w:t>服务响应速度在2日之内,并在7日内解决故障。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该项目验收合格后，在成交人提供发票后，采购方1个月内将合同款100%转账支付给成交人。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 w:val="left" w:pos="851"/>
          <w:tab w:val="left" w:pos="993"/>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4284C0-D7C3-4CDE-AEF7-6D4CFBC1D5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ACF2559-56AE-4E74-98DF-5A8AE1DD02FA}"/>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4DEE8ED8-DF33-414C-B980-8B88F6977ED6}"/>
  </w:font>
  <w:font w:name="楷体_GB2312">
    <w:panose1 w:val="02010609030101010101"/>
    <w:charset w:val="86"/>
    <w:family w:val="modern"/>
    <w:pitch w:val="default"/>
    <w:sig w:usb0="00000001" w:usb1="080E0000" w:usb2="00000000" w:usb3="00000000" w:csb0="00040000" w:csb1="00000000"/>
    <w:embedRegular r:id="rId4" w:fontKey="{CCFFE77A-8027-47E5-9C56-114A5585385A}"/>
  </w:font>
  <w:font w:name="楷体">
    <w:panose1 w:val="02010609060101010101"/>
    <w:charset w:val="86"/>
    <w:family w:val="modern"/>
    <w:pitch w:val="default"/>
    <w:sig w:usb0="800002BF" w:usb1="38CF7CFA" w:usb2="00000016" w:usb3="00000000" w:csb0="00040001" w:csb1="00000000"/>
    <w:embedRegular r:id="rId5" w:fontKey="{AA17EE3A-6590-47CE-8B95-3ED6B39114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5944CA"/>
    <w:rsid w:val="0BEE41F8"/>
    <w:rsid w:val="0C263B52"/>
    <w:rsid w:val="0D0015C5"/>
    <w:rsid w:val="0E6949B3"/>
    <w:rsid w:val="0F666038"/>
    <w:rsid w:val="0FEF4AD0"/>
    <w:rsid w:val="109D132A"/>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DFE0D7B"/>
    <w:rsid w:val="1E8E6D3C"/>
    <w:rsid w:val="20BC39CA"/>
    <w:rsid w:val="213E5304"/>
    <w:rsid w:val="218617B3"/>
    <w:rsid w:val="21E00F42"/>
    <w:rsid w:val="22162FFB"/>
    <w:rsid w:val="239F2545"/>
    <w:rsid w:val="245F6E0F"/>
    <w:rsid w:val="24905418"/>
    <w:rsid w:val="263B5217"/>
    <w:rsid w:val="27192484"/>
    <w:rsid w:val="27C423D8"/>
    <w:rsid w:val="28E13EA5"/>
    <w:rsid w:val="291150CE"/>
    <w:rsid w:val="2E2429AD"/>
    <w:rsid w:val="2E7F096C"/>
    <w:rsid w:val="2E950643"/>
    <w:rsid w:val="305B2BFC"/>
    <w:rsid w:val="30B70974"/>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0B86185"/>
    <w:rsid w:val="42532A81"/>
    <w:rsid w:val="442F0A64"/>
    <w:rsid w:val="44FE771E"/>
    <w:rsid w:val="453D2E2E"/>
    <w:rsid w:val="455B5F6E"/>
    <w:rsid w:val="45927D9D"/>
    <w:rsid w:val="462D713C"/>
    <w:rsid w:val="4678338B"/>
    <w:rsid w:val="476B2D91"/>
    <w:rsid w:val="48833F13"/>
    <w:rsid w:val="4ADD6003"/>
    <w:rsid w:val="4BEB2A35"/>
    <w:rsid w:val="4C9204F0"/>
    <w:rsid w:val="4DBA5FA6"/>
    <w:rsid w:val="4DD5065C"/>
    <w:rsid w:val="507A5425"/>
    <w:rsid w:val="50C30629"/>
    <w:rsid w:val="51577DD1"/>
    <w:rsid w:val="51AB09AF"/>
    <w:rsid w:val="51BA4830"/>
    <w:rsid w:val="520732F2"/>
    <w:rsid w:val="531269D1"/>
    <w:rsid w:val="5322177A"/>
    <w:rsid w:val="53E251E4"/>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C9B174C"/>
    <w:rsid w:val="6E5725FE"/>
    <w:rsid w:val="6F544E68"/>
    <w:rsid w:val="719242C5"/>
    <w:rsid w:val="72B62304"/>
    <w:rsid w:val="742D0AEA"/>
    <w:rsid w:val="750157C1"/>
    <w:rsid w:val="77F228DE"/>
    <w:rsid w:val="78851ED1"/>
    <w:rsid w:val="79C61CFF"/>
    <w:rsid w:val="79C9679D"/>
    <w:rsid w:val="7BD4376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autoRedefine/>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5404</Words>
  <Characters>5783</Characters>
  <Lines>444</Lines>
  <Paragraphs>180</Paragraphs>
  <TotalTime>19</TotalTime>
  <ScaleCrop>false</ScaleCrop>
  <LinksUpToDate>false</LinksUpToDate>
  <CharactersWithSpaces>11007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吴薇</cp:lastModifiedBy>
  <cp:lastPrinted>2022-01-21T10:35:00Z</cp:lastPrinted>
  <dcterms:modified xsi:type="dcterms:W3CDTF">2024-05-06T02:30:06Z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FB3266A24AFE4AB0BC45BD24B4352F21_13</vt:lpwstr>
  </property>
</Properties>
</file>