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数字化校园数据平台运维服务</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2023.04.</w:t>
      </w:r>
      <w:r>
        <w:rPr>
          <w:rFonts w:hint="eastAsia" w:ascii="宋体" w:hAnsi="宋体"/>
          <w:b/>
          <w:sz w:val="36"/>
          <w:u w:val="single"/>
          <w:lang w:val="en-US" w:eastAsia="zh-CN"/>
        </w:rPr>
        <w:t>23</w:t>
      </w:r>
      <w:bookmarkStart w:id="32" w:name="_GoBack"/>
      <w:bookmarkEnd w:id="32"/>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随着教育信息化水平提升，我校已建成了整体数字化校园系统，包含办公自动化系统、学工系统、</w:t>
      </w:r>
      <w:r>
        <w:rPr>
          <w:rFonts w:hint="eastAsia" w:asciiTheme="minorEastAsia" w:hAnsiTheme="minorEastAsia" w:eastAsiaTheme="minorEastAsia" w:cstheme="minorEastAsia"/>
          <w:bCs/>
          <w:sz w:val="28"/>
          <w:szCs w:val="28"/>
          <w:lang w:val="en-US" w:eastAsia="zh-CN"/>
        </w:rPr>
        <w:t>人事系统等</w:t>
      </w:r>
      <w:r>
        <w:rPr>
          <w:rFonts w:hint="eastAsia" w:asciiTheme="minorEastAsia" w:hAnsiTheme="minorEastAsia" w:eastAsiaTheme="minorEastAsia" w:cstheme="minorEastAsia"/>
          <w:bCs/>
          <w:sz w:val="28"/>
          <w:szCs w:val="28"/>
        </w:rPr>
        <w:t>众多业务管理系统，以及与师生工作、学习、生活息息相关的信息化服务应用，提升了管理水平和师生满意度,同时又给信息化运维管理工作带来了巨大压力，尤其是2015年验收的数字化校园</w:t>
      </w:r>
      <w:r>
        <w:rPr>
          <w:rFonts w:hint="eastAsia" w:asciiTheme="minorEastAsia" w:hAnsiTheme="minorEastAsia" w:eastAsiaTheme="minorEastAsia" w:cstheme="minorEastAsia"/>
          <w:bCs/>
          <w:sz w:val="28"/>
          <w:szCs w:val="28"/>
          <w:lang w:val="en-US" w:eastAsia="zh-CN"/>
        </w:rPr>
        <w:t>并且目前还在使用的平台</w:t>
      </w:r>
      <w:r>
        <w:rPr>
          <w:rFonts w:hint="eastAsia" w:asciiTheme="minorEastAsia" w:hAnsiTheme="minorEastAsia" w:eastAsiaTheme="minorEastAsia" w:cstheme="minorEastAsia"/>
          <w:bCs/>
          <w:sz w:val="28"/>
          <w:szCs w:val="28"/>
        </w:rPr>
        <w:t>系统，面临着运维过保问题。</w:t>
      </w:r>
    </w:p>
    <w:p>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本次项目针对我校数字化校园配套</w:t>
      </w:r>
      <w:r>
        <w:rPr>
          <w:rFonts w:hint="eastAsia" w:asciiTheme="minorEastAsia" w:hAnsiTheme="minorEastAsia" w:eastAsiaTheme="minorEastAsia" w:cstheme="minorEastAsia"/>
          <w:bCs/>
          <w:sz w:val="28"/>
          <w:szCs w:val="28"/>
          <w:lang w:val="en-US" w:eastAsia="zh-CN"/>
        </w:rPr>
        <w:t>的</w:t>
      </w:r>
      <w:r>
        <w:rPr>
          <w:rFonts w:hint="eastAsia" w:asciiTheme="minorEastAsia" w:hAnsiTheme="minorEastAsia" w:eastAsiaTheme="minorEastAsia" w:cstheme="minorEastAsia"/>
          <w:bCs/>
          <w:sz w:val="28"/>
          <w:szCs w:val="28"/>
        </w:rPr>
        <w:t>数据平台（Oracle 11G+RAC），购买运维服务，确保发现问题及时处理，保障信息服务的持续可用性。</w:t>
      </w:r>
    </w:p>
    <w:p>
      <w:p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本项目采购预算控制价</w:t>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rPr>
        <w:t>万元，资金已到位。</w:t>
      </w:r>
    </w:p>
    <w:p>
      <w:pPr>
        <w:pStyle w:val="3"/>
        <w:spacing w:line="560" w:lineRule="exact"/>
      </w:pPr>
      <w:bookmarkStart w:id="7" w:name="_Toc60236699"/>
      <w:bookmarkStart w:id="8" w:name="_Toc508103352"/>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二</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rFonts w:hint="default" w:eastAsia="宋体"/>
                <w:color w:val="000000"/>
                <w:lang w:val="en-US" w:eastAsia="zh-CN"/>
              </w:rPr>
            </w:pPr>
            <w:r>
              <w:rPr>
                <w:rFonts w:hint="eastAsia"/>
                <w:color w:val="000000"/>
                <w:lang w:val="en-US" w:eastAsia="zh-CN"/>
              </w:rPr>
              <w:t>10</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10</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auto"/>
              </w:rPr>
              <w:t>技术响应情况</w:t>
            </w:r>
          </w:p>
        </w:tc>
        <w:tc>
          <w:tcPr>
            <w:tcW w:w="1080" w:type="dxa"/>
            <w:noWrap/>
            <w:vAlign w:val="center"/>
          </w:tcPr>
          <w:p>
            <w:pPr>
              <w:jc w:val="center"/>
              <w:rPr>
                <w:color w:val="FF0000"/>
              </w:rPr>
            </w:pPr>
            <w:r>
              <w:t>40</w:t>
            </w:r>
          </w:p>
        </w:tc>
        <w:tc>
          <w:tcPr>
            <w:tcW w:w="5400" w:type="dxa"/>
            <w:noWrap/>
            <w:vAlign w:val="center"/>
          </w:tcPr>
          <w:p>
            <w:pPr>
              <w:rPr>
                <w:color w:val="FF0000"/>
                <w:szCs w:val="21"/>
              </w:rPr>
            </w:pPr>
            <w:r>
              <w:t>考查有效供应商投标产品的技术参数响应程度：4条带“▲”号技术参数，每满足一条得1</w:t>
            </w:r>
            <w:r>
              <w:rPr>
                <w:rFonts w:hint="eastAsia"/>
                <w:lang w:val="en-US" w:eastAsia="zh-CN"/>
              </w:rPr>
              <w:t>0</w:t>
            </w:r>
            <w:r>
              <w:t>分，最高得40分。 注：需求有要求提供证明材料的，按需求要求提供。需求未要求的，按“</w:t>
            </w:r>
            <w:r>
              <w:rPr>
                <w:rFonts w:hint="eastAsia"/>
                <w:lang w:val="en-US" w:eastAsia="zh-CN"/>
              </w:rPr>
              <w:t>报价</w:t>
            </w:r>
            <w:r>
              <w:t>文件”中《</w:t>
            </w:r>
            <w:r>
              <w:rPr>
                <w:rFonts w:hint="eastAsia"/>
              </w:rPr>
              <w:t>技术（服务）条款响应表</w:t>
            </w:r>
            <w:r>
              <w:t>》中的</w:t>
            </w:r>
            <w:r>
              <w:rPr>
                <w:rFonts w:hint="eastAsia"/>
                <w:lang w:val="en-US" w:eastAsia="zh-CN"/>
              </w:rPr>
              <w:t>报价</w:t>
            </w:r>
            <w:r>
              <w:t>人填写的“是否偏离”为准，未填写或未响应的视为负偏离。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auto"/>
              </w:rPr>
            </w:pPr>
            <w:r>
              <w:rPr>
                <w:rFonts w:hint="eastAsia"/>
                <w:lang w:val="en-US" w:eastAsia="zh-CN"/>
              </w:rPr>
              <w:t>服务</w:t>
            </w:r>
            <w:r>
              <w:t>方案情况</w:t>
            </w:r>
          </w:p>
        </w:tc>
        <w:tc>
          <w:tcPr>
            <w:tcW w:w="1080" w:type="dxa"/>
            <w:noWrap/>
            <w:vAlign w:val="center"/>
          </w:tcPr>
          <w:p>
            <w:pPr>
              <w:jc w:val="center"/>
              <w:rPr>
                <w:rFonts w:hint="default" w:eastAsia="宋体"/>
                <w:lang w:val="en-US" w:eastAsia="zh-CN"/>
              </w:rPr>
            </w:pPr>
            <w:r>
              <w:rPr>
                <w:rFonts w:hint="eastAsia"/>
                <w:lang w:val="en-US" w:eastAsia="zh-CN"/>
              </w:rPr>
              <w:t>10</w:t>
            </w:r>
          </w:p>
        </w:tc>
        <w:tc>
          <w:tcPr>
            <w:tcW w:w="5400" w:type="dxa"/>
            <w:noWrap/>
            <w:vAlign w:val="center"/>
          </w:tcPr>
          <w:p>
            <w:r>
              <w:rPr>
                <w:rFonts w:hint="eastAsia"/>
                <w:lang w:val="en-US" w:eastAsia="zh-CN"/>
              </w:rPr>
              <w:t>对报价人</w:t>
            </w:r>
            <w:r>
              <w:rPr>
                <w:rFonts w:hint="eastAsia"/>
              </w:rPr>
              <w:t>提供的</w:t>
            </w:r>
            <w:r>
              <w:rPr>
                <w:rFonts w:hint="eastAsia"/>
                <w:lang w:val="en-US" w:eastAsia="zh-CN"/>
              </w:rPr>
              <w:t>服务</w:t>
            </w:r>
            <w:r>
              <w:rPr>
                <w:rFonts w:hint="eastAsia"/>
              </w:rPr>
              <w:t>方案进行评估，对方案中本项目组织实施安排</w:t>
            </w:r>
            <w:r>
              <w:rPr>
                <w:rFonts w:hint="eastAsia"/>
                <w:lang w:val="en-US" w:eastAsia="zh-CN"/>
              </w:rPr>
              <w:t>的</w:t>
            </w:r>
            <w:r>
              <w:rPr>
                <w:rFonts w:hint="eastAsia"/>
              </w:rPr>
              <w:t>合理性、完整性、可行性进行打分：方案</w:t>
            </w:r>
            <w:r>
              <w:rPr>
                <w:rFonts w:hint="eastAsia"/>
                <w:lang w:val="en-US" w:eastAsia="zh-CN"/>
              </w:rPr>
              <w:t>制定</w:t>
            </w:r>
            <w:r>
              <w:rPr>
                <w:rFonts w:hint="eastAsia"/>
              </w:rPr>
              <w:t>合理、完整详实、可行性高，完全满足且优于用户需求，得</w:t>
            </w:r>
            <w:r>
              <w:rPr>
                <w:rFonts w:hint="eastAsia"/>
                <w:lang w:val="en-US" w:eastAsia="zh-CN"/>
              </w:rPr>
              <w:t>10</w:t>
            </w:r>
            <w:r>
              <w:rPr>
                <w:rFonts w:hint="eastAsia"/>
              </w:rPr>
              <w:t>分；方案</w:t>
            </w:r>
            <w:r>
              <w:rPr>
                <w:rFonts w:hint="eastAsia"/>
                <w:lang w:val="en-US" w:eastAsia="zh-CN"/>
              </w:rPr>
              <w:t>制定</w:t>
            </w:r>
            <w:r>
              <w:rPr>
                <w:rFonts w:hint="eastAsia"/>
              </w:rPr>
              <w:t>基本合理、基本完整、可行性一般，完全满足用户需求，得</w:t>
            </w:r>
            <w:r>
              <w:rPr>
                <w:rFonts w:hint="eastAsia"/>
                <w:lang w:val="en-US" w:eastAsia="zh-CN"/>
              </w:rPr>
              <w:t>6</w:t>
            </w:r>
            <w:r>
              <w:rPr>
                <w:rFonts w:hint="eastAsia"/>
              </w:rPr>
              <w:t>分；方案</w:t>
            </w:r>
            <w:r>
              <w:rPr>
                <w:rFonts w:hint="eastAsia"/>
                <w:lang w:val="en-US" w:eastAsia="zh-CN"/>
              </w:rPr>
              <w:t>制定</w:t>
            </w:r>
            <w:r>
              <w:rPr>
                <w:rFonts w:hint="eastAsia"/>
              </w:rPr>
              <w:t>合理性差、不完整、可行性差，不完全满足用户需求，得</w:t>
            </w:r>
            <w:r>
              <w:rPr>
                <w:rFonts w:hint="eastAsia"/>
                <w:lang w:val="en-US" w:eastAsia="zh-CN"/>
              </w:rPr>
              <w:t>2</w:t>
            </w:r>
            <w:r>
              <w:rPr>
                <w:rFonts w:hint="eastAsia"/>
              </w:rPr>
              <w:t>分。其他情况得0分。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auto"/>
              </w:rPr>
              <w:t>业   绩</w:t>
            </w:r>
          </w:p>
        </w:tc>
        <w:tc>
          <w:tcPr>
            <w:tcW w:w="1080" w:type="dxa"/>
            <w:noWrap/>
            <w:vAlign w:val="center"/>
          </w:tcPr>
          <w:p>
            <w:pPr>
              <w:jc w:val="center"/>
              <w:rPr>
                <w:rFonts w:hint="default" w:eastAsia="宋体"/>
                <w:color w:val="FF0000"/>
                <w:lang w:val="en-US" w:eastAsia="zh-CN"/>
              </w:rPr>
            </w:pPr>
            <w:r>
              <w:rPr>
                <w:rFonts w:hint="eastAsia"/>
                <w:color w:val="auto"/>
                <w:lang w:val="en-US" w:eastAsia="zh-CN"/>
              </w:rPr>
              <w:t>10</w:t>
            </w:r>
          </w:p>
        </w:tc>
        <w:tc>
          <w:tcPr>
            <w:tcW w:w="5400" w:type="dxa"/>
            <w:noWrap/>
            <w:vAlign w:val="center"/>
          </w:tcPr>
          <w:p>
            <w:pPr>
              <w:rPr>
                <w:color w:val="FF0000"/>
                <w:szCs w:val="21"/>
              </w:rPr>
            </w:pPr>
            <w:r>
              <w:rPr>
                <w:rFonts w:hint="eastAsia"/>
              </w:rPr>
              <w:t>报价人近3年来</w:t>
            </w:r>
            <w:r>
              <w:t>完成的</w:t>
            </w:r>
            <w:r>
              <w:rPr>
                <w:rFonts w:hint="eastAsia"/>
                <w:lang w:val="en-US" w:eastAsia="zh-CN"/>
              </w:rPr>
              <w:t>数字化</w:t>
            </w:r>
            <w:r>
              <w:t>校园</w:t>
            </w:r>
            <w:r>
              <w:rPr>
                <w:rFonts w:hint="eastAsia"/>
                <w:lang w:val="en-US" w:eastAsia="zh-CN"/>
              </w:rPr>
              <w:t>数据平台运维</w:t>
            </w:r>
            <w:r>
              <w:t>项目经验，每个</w:t>
            </w:r>
            <w:r>
              <w:rPr>
                <w:rFonts w:hint="eastAsia"/>
                <w:lang w:val="en-US" w:eastAsia="zh-CN"/>
              </w:rPr>
              <w:t>2</w:t>
            </w:r>
            <w:r>
              <w:t>分，满分</w:t>
            </w:r>
            <w:r>
              <w:rPr>
                <w:rFonts w:hint="eastAsia"/>
                <w:lang w:val="en-US" w:eastAsia="zh-CN"/>
              </w:rPr>
              <w:t>10</w:t>
            </w:r>
            <w:r>
              <w:t>分。提供合同关键页（首页、金额页、盖章页）扫描件，以合同签订时间为准。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rFonts w:hint="default" w:eastAsia="宋体"/>
                <w:color w:val="FF0000"/>
                <w:lang w:val="en-US" w:eastAsia="zh-CN"/>
              </w:rPr>
            </w:pPr>
            <w:r>
              <w:rPr>
                <w:rFonts w:hint="eastAsia"/>
                <w:color w:val="auto"/>
                <w:lang w:val="en-US" w:eastAsia="zh-CN"/>
              </w:rPr>
              <w:t>项目管理</w:t>
            </w:r>
          </w:p>
        </w:tc>
        <w:tc>
          <w:tcPr>
            <w:tcW w:w="1080" w:type="dxa"/>
            <w:noWrap/>
            <w:vAlign w:val="center"/>
          </w:tcPr>
          <w:p>
            <w:pPr>
              <w:jc w:val="center"/>
              <w:rPr>
                <w:rFonts w:hint="default" w:eastAsia="宋体"/>
                <w:color w:val="FF0000"/>
                <w:lang w:val="en-US" w:eastAsia="zh-CN"/>
              </w:rPr>
            </w:pPr>
            <w:r>
              <w:rPr>
                <w:rFonts w:hint="eastAsia"/>
                <w:color w:val="auto"/>
                <w:lang w:val="en-US" w:eastAsia="zh-CN"/>
              </w:rPr>
              <w:t>15</w:t>
            </w:r>
          </w:p>
        </w:tc>
        <w:tc>
          <w:tcPr>
            <w:tcW w:w="5400" w:type="dxa"/>
            <w:noWrap/>
            <w:vAlign w:val="center"/>
          </w:tcPr>
          <w:p>
            <w:pPr>
              <w:rPr>
                <w:color w:val="FF0000"/>
              </w:rPr>
            </w:pPr>
            <w:r>
              <w:rPr>
                <w:rFonts w:hint="eastAsia"/>
                <w:color w:val="auto"/>
                <w:lang w:val="en-US" w:eastAsia="zh-CN"/>
              </w:rPr>
              <w:t>报价人应具备良好的项目管理能力，</w:t>
            </w:r>
            <w:r>
              <w:rPr>
                <w:rFonts w:hint="eastAsia"/>
                <w:color w:val="auto"/>
              </w:rPr>
              <w:t>有</w:t>
            </w:r>
            <w:r>
              <w:rPr>
                <w:rFonts w:hint="eastAsia"/>
                <w:color w:val="auto"/>
                <w:lang w:val="en-US" w:eastAsia="zh-CN"/>
              </w:rPr>
              <w:t>在用的</w:t>
            </w:r>
            <w:r>
              <w:rPr>
                <w:rFonts w:hint="eastAsia"/>
                <w:color w:val="auto"/>
              </w:rPr>
              <w:t>服务项目进度及质量管控系统，需提供真实系统截图证明</w:t>
            </w:r>
            <w:r>
              <w:rPr>
                <w:rFonts w:hint="eastAsia"/>
                <w:color w:val="auto"/>
                <w:lang w:val="en-US" w:eastAsia="zh-CN"/>
              </w:rPr>
              <w:t>该</w:t>
            </w:r>
            <w:r>
              <w:rPr>
                <w:rFonts w:hint="eastAsia"/>
                <w:color w:val="auto"/>
              </w:rPr>
              <w:t>系统具</w:t>
            </w:r>
            <w:r>
              <w:rPr>
                <w:rFonts w:hint="eastAsia"/>
                <w:color w:val="auto"/>
                <w:lang w:val="en-US" w:eastAsia="zh-CN"/>
              </w:rPr>
              <w:t>有</w:t>
            </w:r>
            <w:r>
              <w:rPr>
                <w:rFonts w:hint="eastAsia"/>
                <w:color w:val="auto"/>
              </w:rPr>
              <w:t>对服务项目进度、交付质量进行跟踪、追溯、投诉、反馈功能，对服务项目交付过程中的文档资料、配置文件进行知识管控</w:t>
            </w:r>
            <w:r>
              <w:rPr>
                <w:rFonts w:hint="eastAsia"/>
                <w:color w:val="auto"/>
                <w:lang w:val="en-US" w:eastAsia="zh-CN"/>
              </w:rPr>
              <w:t>的</w:t>
            </w:r>
            <w:r>
              <w:rPr>
                <w:rFonts w:hint="eastAsia"/>
                <w:color w:val="auto"/>
              </w:rPr>
              <w:t>功能</w:t>
            </w:r>
            <w:r>
              <w:rPr>
                <w:rFonts w:hint="eastAsia"/>
                <w:color w:val="auto"/>
                <w:lang w:eastAsia="zh-CN"/>
              </w:rPr>
              <w:t>，</w:t>
            </w:r>
            <w:r>
              <w:rPr>
                <w:rFonts w:hint="eastAsia"/>
                <w:color w:val="auto"/>
                <w:lang w:val="en-US" w:eastAsia="zh-CN"/>
              </w:rPr>
              <w:t>满足得15分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rFonts w:hint="default" w:eastAsia="宋体"/>
                <w:color w:val="auto"/>
                <w:lang w:val="en-US" w:eastAsia="zh-CN"/>
              </w:rPr>
            </w:pPr>
            <w:r>
              <w:rPr>
                <w:rFonts w:hint="eastAsia"/>
                <w:color w:val="auto"/>
                <w:lang w:val="en-US" w:eastAsia="zh-CN"/>
              </w:rPr>
              <w:t>运维管理</w:t>
            </w:r>
          </w:p>
        </w:tc>
        <w:tc>
          <w:tcPr>
            <w:tcW w:w="1080" w:type="dxa"/>
            <w:noWrap/>
            <w:vAlign w:val="center"/>
          </w:tcPr>
          <w:p>
            <w:pPr>
              <w:jc w:val="center"/>
              <w:rPr>
                <w:rFonts w:hint="default" w:eastAsia="宋体"/>
                <w:color w:val="auto"/>
                <w:lang w:val="en-US" w:eastAsia="zh-CN"/>
              </w:rPr>
            </w:pPr>
            <w:r>
              <w:rPr>
                <w:rFonts w:hint="eastAsia"/>
                <w:color w:val="auto"/>
                <w:lang w:val="en-US" w:eastAsia="zh-CN"/>
              </w:rPr>
              <w:t>15</w:t>
            </w:r>
          </w:p>
        </w:tc>
        <w:tc>
          <w:tcPr>
            <w:tcW w:w="5400" w:type="dxa"/>
            <w:noWrap/>
            <w:vAlign w:val="center"/>
          </w:tcPr>
          <w:p>
            <w:pPr>
              <w:rPr>
                <w:color w:val="auto"/>
              </w:rPr>
            </w:pPr>
            <w:r>
              <w:rPr>
                <w:rFonts w:hint="eastAsia"/>
                <w:color w:val="auto"/>
                <w:lang w:val="en-US" w:eastAsia="zh-CN"/>
              </w:rPr>
              <w:t>报价人应具备良好的运维管理能力，有</w:t>
            </w:r>
            <w:r>
              <w:rPr>
                <w:rFonts w:hint="eastAsia"/>
                <w:color w:val="auto"/>
              </w:rPr>
              <w:t>在用</w:t>
            </w:r>
            <w:r>
              <w:rPr>
                <w:rFonts w:hint="eastAsia"/>
                <w:color w:val="auto"/>
                <w:lang w:val="en-US" w:eastAsia="zh-CN"/>
              </w:rPr>
              <w:t>的</w:t>
            </w:r>
            <w:r>
              <w:rPr>
                <w:rFonts w:hint="eastAsia"/>
                <w:color w:val="auto"/>
              </w:rPr>
              <w:t>运维管理平台，</w:t>
            </w:r>
            <w:r>
              <w:rPr>
                <w:rFonts w:hint="eastAsia"/>
                <w:color w:val="auto"/>
                <w:lang w:val="en-US" w:eastAsia="zh-CN"/>
              </w:rPr>
              <w:t>需提供真实系统截图证明该</w:t>
            </w:r>
            <w:r>
              <w:rPr>
                <w:rFonts w:hint="eastAsia"/>
                <w:color w:val="auto"/>
              </w:rPr>
              <w:t>平台能记录每一次处理任务、事件的受理情况，</w:t>
            </w:r>
            <w:r>
              <w:rPr>
                <w:rFonts w:hint="eastAsia"/>
                <w:color w:val="auto"/>
                <w:lang w:val="en-US" w:eastAsia="zh-CN"/>
              </w:rPr>
              <w:t>满足得15分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数字化校园数据平台运维服务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年</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hint="default" w:ascii="宋体" w:hAnsi="宋体" w:eastAsia="宋体"/>
          <w:kern w:val="0"/>
          <w:sz w:val="28"/>
          <w:szCs w:val="28"/>
          <w:lang w:val="en-US" w:eastAsia="zh-CN"/>
        </w:rPr>
      </w:pPr>
      <w:r>
        <w:rPr>
          <w:rFonts w:hint="eastAsia" w:ascii="宋体" w:hAnsi="宋体"/>
          <w:kern w:val="0"/>
          <w:sz w:val="28"/>
          <w:szCs w:val="28"/>
        </w:rPr>
        <w:t>数字化校园数据平台维护内容包括数字化校园配套数据库</w:t>
      </w:r>
      <w:r>
        <w:rPr>
          <w:rFonts w:hint="eastAsia" w:ascii="宋体" w:hAnsi="宋体"/>
          <w:kern w:val="0"/>
          <w:sz w:val="28"/>
          <w:szCs w:val="28"/>
          <w:lang w:eastAsia="zh-CN"/>
        </w:rPr>
        <w:t>（</w:t>
      </w:r>
      <w:r>
        <w:rPr>
          <w:rFonts w:hint="eastAsia" w:ascii="宋体" w:hAnsi="宋体"/>
          <w:kern w:val="0"/>
          <w:sz w:val="28"/>
          <w:szCs w:val="28"/>
        </w:rPr>
        <w:t>Oracle 11G+RAC</w:t>
      </w:r>
      <w:r>
        <w:rPr>
          <w:rFonts w:hint="eastAsia" w:ascii="宋体" w:hAnsi="宋体"/>
          <w:kern w:val="0"/>
          <w:sz w:val="28"/>
          <w:szCs w:val="28"/>
          <w:lang w:eastAsia="zh-CN"/>
        </w:rPr>
        <w:t>）</w:t>
      </w:r>
      <w:r>
        <w:rPr>
          <w:rFonts w:hint="eastAsia" w:ascii="宋体" w:hAnsi="宋体"/>
          <w:kern w:val="0"/>
          <w:sz w:val="28"/>
          <w:szCs w:val="28"/>
        </w:rPr>
        <w:t>。</w:t>
      </w:r>
      <w:r>
        <w:rPr>
          <w:rFonts w:hint="eastAsia" w:ascii="宋体" w:hAnsi="宋体"/>
          <w:kern w:val="0"/>
          <w:sz w:val="28"/>
          <w:szCs w:val="28"/>
          <w:lang w:val="en-US" w:eastAsia="zh-CN"/>
        </w:rPr>
        <w:t>报价人在报价时提供书面的服务方案。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1843" w:type="dxa"/>
            <w:shd w:val="clear" w:color="auto" w:fill="auto"/>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物资（服务）名称</w:t>
            </w:r>
          </w:p>
        </w:tc>
        <w:tc>
          <w:tcPr>
            <w:tcW w:w="6049" w:type="dxa"/>
            <w:shd w:val="clear" w:color="auto" w:fill="auto"/>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43" w:type="dxa"/>
            <w:shd w:val="clear" w:color="auto" w:fill="auto"/>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数字化校园</w:t>
            </w:r>
            <w:r>
              <w:rPr>
                <w:rFonts w:hint="eastAsia" w:asciiTheme="minorEastAsia" w:hAnsiTheme="minorEastAsia" w:eastAsiaTheme="minorEastAsia" w:cstheme="minorEastAsia"/>
                <w:sz w:val="24"/>
                <w:szCs w:val="24"/>
                <w:lang w:val="en-US" w:eastAsia="zh-CN"/>
              </w:rPr>
              <w:t>数据</w:t>
            </w:r>
            <w:r>
              <w:rPr>
                <w:rFonts w:hint="eastAsia" w:asciiTheme="minorEastAsia" w:hAnsiTheme="minorEastAsia" w:eastAsiaTheme="minorEastAsia" w:cstheme="minorEastAsia"/>
                <w:sz w:val="24"/>
                <w:szCs w:val="24"/>
              </w:rPr>
              <w:t>平台运维服务</w:t>
            </w:r>
          </w:p>
        </w:tc>
        <w:tc>
          <w:tcPr>
            <w:tcW w:w="6049" w:type="dxa"/>
            <w:shd w:val="clear" w:color="auto" w:fill="auto"/>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1、数字化校园</w:t>
            </w:r>
            <w:r>
              <w:rPr>
                <w:rFonts w:hint="eastAsia" w:asciiTheme="minorEastAsia" w:hAnsiTheme="minorEastAsia" w:eastAsiaTheme="minorEastAsia" w:cstheme="minorEastAsia"/>
                <w:sz w:val="24"/>
                <w:szCs w:val="24"/>
                <w:lang w:val="en-US" w:eastAsia="zh-CN"/>
              </w:rPr>
              <w:t>数据</w:t>
            </w:r>
            <w:r>
              <w:rPr>
                <w:rFonts w:hint="eastAsia" w:asciiTheme="minorEastAsia" w:hAnsiTheme="minorEastAsia" w:eastAsiaTheme="minorEastAsia" w:cstheme="minorEastAsia"/>
                <w:sz w:val="24"/>
                <w:szCs w:val="24"/>
              </w:rPr>
              <w:t>平台维护内容包括</w:t>
            </w:r>
            <w:r>
              <w:rPr>
                <w:rFonts w:hint="eastAsia" w:asciiTheme="minorEastAsia" w:hAnsiTheme="minorEastAsia" w:eastAsiaTheme="minorEastAsia" w:cstheme="minorEastAsia"/>
                <w:sz w:val="24"/>
                <w:szCs w:val="24"/>
                <w:lang w:eastAsia="zh-CN"/>
              </w:rPr>
              <w:t>数字化校园</w:t>
            </w:r>
            <w:r>
              <w:rPr>
                <w:rFonts w:hint="eastAsia" w:asciiTheme="minorEastAsia" w:hAnsiTheme="minorEastAsia" w:eastAsiaTheme="minorEastAsia" w:cstheme="minorEastAsia"/>
                <w:sz w:val="24"/>
                <w:szCs w:val="24"/>
                <w:lang w:val="en-US" w:eastAsia="zh-CN"/>
              </w:rPr>
              <w:t>配套数据库（Oracle 11G+RAC）</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2、巡检服务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每季度提供一次巡检操作，</w:t>
            </w:r>
            <w:r>
              <w:rPr>
                <w:rFonts w:hint="eastAsia" w:asciiTheme="minorEastAsia" w:hAnsiTheme="minorEastAsia" w:eastAsiaTheme="minorEastAsia" w:cstheme="minorEastAsia"/>
                <w:sz w:val="24"/>
                <w:szCs w:val="24"/>
                <w:lang w:val="en-US" w:eastAsia="zh-CN"/>
              </w:rPr>
              <w:t>包括但不限于</w:t>
            </w:r>
            <w:r>
              <w:rPr>
                <w:rFonts w:hint="eastAsia" w:asciiTheme="minorEastAsia" w:hAnsiTheme="minorEastAsia" w:eastAsiaTheme="minorEastAsia" w:cstheme="minorEastAsia"/>
                <w:sz w:val="24"/>
                <w:szCs w:val="24"/>
              </w:rPr>
              <w:t>检查集群高可用状态，数据库会话、IO性能、账户信息、低效率SQL语句、数据库性能参数、垃圾数据、备份数据、oracle归档日志等；</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lang w:eastAsia="zh-CN"/>
              </w:rPr>
              <w:t>巡检发现的隐患</w:t>
            </w:r>
            <w:r>
              <w:rPr>
                <w:rFonts w:hint="eastAsia" w:asciiTheme="minorEastAsia" w:hAnsiTheme="minorEastAsia" w:eastAsiaTheme="minorEastAsia" w:cstheme="minorEastAsia"/>
                <w:sz w:val="24"/>
                <w:szCs w:val="24"/>
                <w:lang w:val="en-US" w:eastAsia="zh-CN"/>
              </w:rPr>
              <w:t>制定处理计划，经采购人确认后实施处理；</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提供《数据库巡检报告》</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3、故障处理服务（</w:t>
            </w:r>
            <w:r>
              <w:rPr>
                <w:rFonts w:hint="eastAsia" w:asciiTheme="minorEastAsia" w:hAnsiTheme="minorEastAsia" w:eastAsiaTheme="minorEastAsia" w:cstheme="minorEastAsia"/>
                <w:sz w:val="24"/>
                <w:szCs w:val="24"/>
              </w:rPr>
              <w:t>服务时间为7天*24小时</w:t>
            </w:r>
            <w:r>
              <w:rPr>
                <w:rFonts w:hint="eastAsia" w:asciiTheme="minorEastAsia" w:hAnsiTheme="minorEastAsia" w:eastAsiaTheme="minorEastAsia" w:cstheme="minorEastAsia"/>
                <w:sz w:val="24"/>
                <w:szCs w:val="24"/>
                <w:lang w:val="en-US" w:eastAsia="zh-CN"/>
              </w:rPr>
              <w:t>）：</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对监控预警、人工报修、巡检的数据库故障进行处理，包括</w:t>
            </w:r>
            <w:r>
              <w:rPr>
                <w:rFonts w:hint="eastAsia" w:asciiTheme="minorEastAsia" w:hAnsiTheme="minorEastAsia" w:eastAsiaTheme="minorEastAsia" w:cstheme="minorEastAsia"/>
                <w:sz w:val="24"/>
                <w:szCs w:val="24"/>
                <w:lang w:val="en-US" w:eastAsia="zh-CN"/>
              </w:rPr>
              <w:t>但不限于</w:t>
            </w:r>
            <w:r>
              <w:rPr>
                <w:rFonts w:hint="default" w:asciiTheme="minorEastAsia" w:hAnsiTheme="minorEastAsia" w:eastAsiaTheme="minorEastAsia" w:cstheme="minorEastAsia"/>
                <w:sz w:val="24"/>
                <w:szCs w:val="24"/>
                <w:lang w:val="en-US" w:eastAsia="zh-CN"/>
              </w:rPr>
              <w:t>表空间满、数据库监听异常、数据库集群同步、数据表字符乱码、账户锁定等导致数据库不可用的问题，让数据库恢复使用；</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在应用系统出现不可用问题时，协助应用系统维护人员排查数据库；</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问题处理结束后输出《数据库问题处理报告》</w:t>
            </w:r>
            <w:r>
              <w:rPr>
                <w:rFonts w:hint="eastAsia" w:asciiTheme="minorEastAsia" w:hAnsiTheme="minorEastAsia" w:eastAsiaTheme="minorEastAsia" w:cstheme="minorEastAsia"/>
                <w:sz w:val="24"/>
                <w:szCs w:val="24"/>
                <w:lang w:val="en-US" w:eastAsia="zh-CN"/>
              </w:rPr>
              <w:t>。</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4、安全加固服务（</w:t>
            </w:r>
            <w:r>
              <w:rPr>
                <w:rFonts w:hint="eastAsia" w:asciiTheme="minorEastAsia" w:hAnsiTheme="minorEastAsia" w:eastAsiaTheme="minorEastAsia" w:cstheme="minorEastAsia"/>
                <w:sz w:val="24"/>
                <w:szCs w:val="24"/>
              </w:rPr>
              <w:t>服务时间为7天*24小时</w:t>
            </w:r>
            <w:r>
              <w:rPr>
                <w:rFonts w:hint="eastAsia" w:asciiTheme="minorEastAsia" w:hAnsiTheme="minorEastAsia" w:eastAsiaTheme="minorEastAsia" w:cstheme="minorEastAsia"/>
                <w:sz w:val="24"/>
                <w:szCs w:val="24"/>
                <w:lang w:val="en-US" w:eastAsia="zh-CN"/>
              </w:rPr>
              <w:t>）：</w:t>
            </w:r>
          </w:p>
          <w:p>
            <w:pPr>
              <w:rPr>
                <w:rFonts w:hint="default" w:asciiTheme="minorEastAsia" w:hAnsiTheme="minorEastAsia" w:eastAsiaTheme="minorEastAsia" w:cstheme="minorEastAsia"/>
                <w:sz w:val="24"/>
                <w:szCs w:val="24"/>
                <w:lang w:val="en-US" w:eastAsia="zh-CN"/>
              </w:rPr>
            </w:pPr>
            <w:r>
              <w:rPr>
                <w:rFonts w:hint="eastAsia" w:ascii="宋体" w:hAnsi="宋体"/>
                <w:kern w:val="0"/>
                <w:sz w:val="24"/>
                <w:szCs w:val="24"/>
                <w:lang w:eastAsia="zh-CN"/>
              </w:rPr>
              <w:t>▲</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对漏洞扫描报告、安全应急事件中的数据库漏洞进行分析，结合学校实际使用情况及对业务的影响性</w:t>
            </w:r>
            <w:r>
              <w:rPr>
                <w:rFonts w:hint="eastAsia" w:asciiTheme="minorEastAsia" w:hAnsiTheme="minorEastAsia" w:eastAsiaTheme="minorEastAsia" w:cstheme="minorEastAsia"/>
                <w:sz w:val="24"/>
                <w:szCs w:val="24"/>
                <w:lang w:val="en-US" w:eastAsia="zh-CN"/>
              </w:rPr>
              <w:t>制定</w:t>
            </w:r>
            <w:r>
              <w:rPr>
                <w:rFonts w:hint="default" w:asciiTheme="minorEastAsia" w:hAnsiTheme="minorEastAsia" w:eastAsiaTheme="minorEastAsia" w:cstheme="minorEastAsia"/>
                <w:sz w:val="24"/>
                <w:szCs w:val="24"/>
                <w:lang w:val="en-US" w:eastAsia="zh-CN"/>
              </w:rPr>
              <w:t>修复</w:t>
            </w:r>
            <w:r>
              <w:rPr>
                <w:rFonts w:hint="eastAsia" w:asciiTheme="minorEastAsia" w:hAnsiTheme="minorEastAsia" w:eastAsiaTheme="minorEastAsia" w:cstheme="minorEastAsia"/>
                <w:sz w:val="24"/>
                <w:szCs w:val="24"/>
                <w:lang w:val="en-US" w:eastAsia="zh-CN"/>
              </w:rPr>
              <w:t>方案，经采购人确认后实施修复</w:t>
            </w:r>
            <w:r>
              <w:rPr>
                <w:rFonts w:hint="default" w:asciiTheme="minorEastAsia" w:hAnsiTheme="minorEastAsia" w:eastAsiaTheme="minorEastAsia" w:cstheme="minorEastAsia"/>
                <w:sz w:val="24"/>
                <w:szCs w:val="24"/>
                <w:lang w:val="en-US" w:eastAsia="zh-CN"/>
              </w:rPr>
              <w:t>；</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处理过程中涉及停机操作，要求协调好相关应用方做好配合；</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提供《数据库加固报告》</w:t>
            </w:r>
            <w:r>
              <w:rPr>
                <w:rFonts w:hint="eastAsia" w:asciiTheme="minorEastAsia" w:hAnsiTheme="minorEastAsia" w:eastAsiaTheme="minorEastAsia" w:cstheme="minorEastAsia"/>
                <w:sz w:val="24"/>
                <w:szCs w:val="24"/>
                <w:lang w:val="en-US" w:eastAsia="zh-CN"/>
              </w:rPr>
              <w:t>。</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5、数据备份恢复服务：</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制定备份计划，并定期备份</w:t>
            </w:r>
            <w:r>
              <w:rPr>
                <w:rFonts w:hint="default" w:asciiTheme="minorEastAsia" w:hAnsiTheme="minorEastAsia" w:eastAsiaTheme="minorEastAsia" w:cstheme="minorEastAsia"/>
                <w:sz w:val="24"/>
                <w:szCs w:val="24"/>
                <w:lang w:val="en-US" w:eastAsia="zh-CN"/>
              </w:rPr>
              <w:t>；</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每年进行一次数据恢复性测试，确保备份数据能够恢复成功；</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输出《数据库恢复测试报告》</w:t>
            </w:r>
            <w:r>
              <w:rPr>
                <w:rFonts w:hint="eastAsia" w:asciiTheme="minorEastAsia" w:hAnsiTheme="minorEastAsia" w:eastAsiaTheme="minorEastAsia" w:cstheme="minorEastAsia"/>
                <w:sz w:val="24"/>
                <w:szCs w:val="24"/>
                <w:lang w:val="en-US" w:eastAsia="zh-CN"/>
              </w:rPr>
              <w:t>。</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6、支持服务：</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针对应用需求，提供数据库配置调整操作，保障应用更好运行；</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）在特定</w:t>
            </w:r>
            <w:r>
              <w:rPr>
                <w:rFonts w:hint="default" w:asciiTheme="minorEastAsia" w:hAnsiTheme="minorEastAsia" w:eastAsiaTheme="minorEastAsia" w:cstheme="minorEastAsia"/>
                <w:sz w:val="24"/>
                <w:szCs w:val="24"/>
                <w:lang w:val="en-US" w:eastAsia="zh-CN"/>
              </w:rPr>
              <w:t>业务期</w:t>
            </w:r>
            <w:r>
              <w:rPr>
                <w:rFonts w:hint="eastAsia" w:asciiTheme="minorEastAsia" w:hAnsiTheme="minorEastAsia" w:eastAsiaTheme="minorEastAsia" w:cstheme="minorEastAsia"/>
                <w:sz w:val="24"/>
                <w:szCs w:val="24"/>
                <w:lang w:val="en-US" w:eastAsia="zh-CN"/>
              </w:rPr>
              <w:t>，如迎新、离校、答辩等，</w:t>
            </w:r>
            <w:r>
              <w:rPr>
                <w:rFonts w:hint="default" w:asciiTheme="minorEastAsia" w:hAnsiTheme="minorEastAsia" w:eastAsiaTheme="minorEastAsia" w:cstheme="minorEastAsia"/>
                <w:sz w:val="24"/>
                <w:szCs w:val="24"/>
                <w:lang w:val="en-US" w:eastAsia="zh-CN"/>
              </w:rPr>
              <w:t>检查数据库</w:t>
            </w:r>
            <w:r>
              <w:rPr>
                <w:rFonts w:hint="eastAsia" w:asciiTheme="minorEastAsia" w:hAnsiTheme="minorEastAsia" w:eastAsiaTheme="minorEastAsia" w:cstheme="minorEastAsia"/>
                <w:sz w:val="24"/>
                <w:szCs w:val="24"/>
                <w:lang w:val="en-US" w:eastAsia="zh-CN"/>
              </w:rPr>
              <w:t>状况</w:t>
            </w:r>
            <w:r>
              <w:rPr>
                <w:rFonts w:hint="default" w:asciiTheme="minorEastAsia" w:hAnsiTheme="minorEastAsia" w:eastAsiaTheme="minorEastAsia" w:cstheme="minorEastAsia"/>
                <w:sz w:val="24"/>
                <w:szCs w:val="24"/>
                <w:lang w:val="en-US" w:eastAsia="zh-CN"/>
              </w:rPr>
              <w:t>，消除问题隐患，保障业务稳定；</w:t>
            </w:r>
          </w:p>
          <w:p>
            <w:pPr>
              <w:rPr>
                <w:rFonts w:hint="default" w:asciiTheme="minorEastAsia" w:hAnsiTheme="minorEastAsia" w:eastAsiaTheme="minorEastAsia" w:cstheme="minorEastAsia"/>
                <w:sz w:val="24"/>
                <w:szCs w:val="24"/>
                <w:lang w:val="en-US" w:eastAsia="zh-CN"/>
              </w:rPr>
            </w:pPr>
            <w:r>
              <w:rPr>
                <w:rFonts w:hint="eastAsia" w:ascii="宋体" w:hAnsi="宋体"/>
                <w:kern w:val="0"/>
                <w:sz w:val="24"/>
                <w:szCs w:val="24"/>
                <w:lang w:eastAsia="zh-CN"/>
              </w:rPr>
              <w:t>▲</w:t>
            </w:r>
            <w:r>
              <w:rPr>
                <w:rFonts w:hint="eastAsia" w:asciiTheme="minorEastAsia" w:hAnsiTheme="minorEastAsia" w:eastAsiaTheme="minorEastAsia" w:cstheme="minorEastAsia"/>
                <w:sz w:val="24"/>
                <w:szCs w:val="24"/>
                <w:lang w:val="en-US" w:eastAsia="zh-CN"/>
              </w:rPr>
              <w:t>（3）根据学校需求，在特定数据向“数字广财”项目的数据中台迁移过程中提供技术支持；</w:t>
            </w:r>
          </w:p>
          <w:p>
            <w:pPr>
              <w:rPr>
                <w:rFonts w:hint="default" w:asciiTheme="minorEastAsia" w:hAnsiTheme="minorEastAsia" w:eastAsiaTheme="minorEastAsia" w:cstheme="minorEastAsia"/>
                <w:sz w:val="24"/>
                <w:szCs w:val="24"/>
                <w:lang w:val="en-US" w:eastAsia="zh-CN"/>
              </w:rPr>
            </w:pPr>
            <w:r>
              <w:rPr>
                <w:rFonts w:hint="eastAsia" w:ascii="宋体" w:hAnsi="宋体"/>
                <w:kern w:val="0"/>
                <w:sz w:val="24"/>
                <w:szCs w:val="24"/>
                <w:lang w:eastAsia="zh-CN"/>
              </w:rPr>
              <w:t>▲</w:t>
            </w:r>
            <w:r>
              <w:rPr>
                <w:rFonts w:hint="eastAsia" w:asciiTheme="minorEastAsia" w:hAnsiTheme="minorEastAsia" w:eastAsiaTheme="minorEastAsia" w:cstheme="minorEastAsia"/>
                <w:sz w:val="24"/>
                <w:szCs w:val="24"/>
                <w:lang w:val="en-US" w:eastAsia="zh-CN"/>
              </w:rPr>
              <w:t>（4）在数据交换任务向“数字广财”项目的数据中台迁移过程中提供技术支持；</w:t>
            </w:r>
          </w:p>
          <w:p>
            <w:pPr>
              <w:rPr>
                <w:rFonts w:hint="default" w:asciiTheme="minorEastAsia" w:hAnsiTheme="minorEastAsia" w:eastAsiaTheme="minorEastAsia" w:cstheme="minorEastAsia"/>
                <w:sz w:val="24"/>
                <w:szCs w:val="24"/>
                <w:lang w:val="en-US" w:eastAsia="zh-CN"/>
              </w:rPr>
            </w:pPr>
            <w:r>
              <w:rPr>
                <w:rFonts w:hint="eastAsia" w:ascii="宋体" w:hAnsi="宋体"/>
                <w:kern w:val="0"/>
                <w:sz w:val="24"/>
                <w:szCs w:val="24"/>
                <w:lang w:eastAsia="zh-CN"/>
              </w:rPr>
              <w:t>▲</w:t>
            </w:r>
            <w:r>
              <w:rPr>
                <w:rFonts w:hint="eastAsia" w:asciiTheme="minorEastAsia" w:hAnsiTheme="minorEastAsia" w:eastAsiaTheme="minorEastAsia" w:cstheme="minorEastAsia"/>
                <w:sz w:val="24"/>
                <w:szCs w:val="24"/>
                <w:lang w:val="en-US" w:eastAsia="zh-CN"/>
              </w:rPr>
              <w:t>（5）在合同签订之日起10个工作日内向采购人提供《数据交换任务分析报告》《数据平台现状分析报告》。</w:t>
            </w:r>
          </w:p>
        </w:tc>
      </w:tr>
    </w:tbl>
    <w:p>
      <w:pPr>
        <w:spacing w:line="560" w:lineRule="exact"/>
        <w:ind w:firstLine="560" w:firstLineChars="200"/>
        <w:rPr>
          <w:rFonts w:hint="eastAsia" w:ascii="宋体" w:hAnsi="宋体"/>
          <w:kern w:val="0"/>
          <w:sz w:val="28"/>
          <w:szCs w:val="28"/>
        </w:rPr>
      </w:pPr>
    </w:p>
    <w:p>
      <w:pPr>
        <w:spacing w:line="560" w:lineRule="exact"/>
        <w:ind w:firstLine="560" w:firstLineChars="200"/>
        <w:rPr>
          <w:rFonts w:hint="eastAsia" w:ascii="宋体" w:hAnsi="宋体" w:eastAsia="宋体"/>
          <w:sz w:val="32"/>
          <w:szCs w:val="32"/>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r>
        <w:rPr>
          <w:rFonts w:hint="eastAsia" w:ascii="宋体" w:hAnsi="宋体"/>
          <w:kern w:val="0"/>
          <w:sz w:val="28"/>
          <w:szCs w:val="28"/>
          <w:lang w:eastAsia="zh-CN"/>
        </w:rPr>
        <w:t>。打“▲”号条款为重要技术参数，若有部分“▲”条款未响应或不满足，将根据评审要求影响其得分，但不作为无效</w:t>
      </w:r>
      <w:r>
        <w:rPr>
          <w:rFonts w:hint="eastAsia" w:ascii="宋体" w:hAnsi="宋体"/>
          <w:kern w:val="0"/>
          <w:sz w:val="28"/>
          <w:szCs w:val="28"/>
          <w:lang w:val="en-US" w:eastAsia="zh-CN"/>
        </w:rPr>
        <w:t>报价</w:t>
      </w:r>
      <w:r>
        <w:rPr>
          <w:rFonts w:hint="eastAsia" w:ascii="宋体" w:hAnsi="宋体"/>
          <w:kern w:val="0"/>
          <w:sz w:val="28"/>
          <w:szCs w:val="28"/>
          <w:lang w:eastAsia="zh-CN"/>
        </w:rPr>
        <w:t>条款。</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一年内完成运维服务</w:t>
      </w:r>
      <w:r>
        <w:rPr>
          <w:rFonts w:hint="eastAsia" w:ascii="宋体" w:hAnsi="宋体"/>
          <w:bCs/>
          <w:sz w:val="28"/>
          <w:szCs w:val="28"/>
        </w:rPr>
        <w:t>，确保</w:t>
      </w:r>
      <w:r>
        <w:rPr>
          <w:rFonts w:hint="eastAsia" w:ascii="宋体" w:hAnsi="宋体"/>
          <w:bCs/>
          <w:sz w:val="28"/>
          <w:szCs w:val="28"/>
          <w:lang w:val="en-US" w:eastAsia="zh-CN"/>
        </w:rPr>
        <w:t>数字化校园数据平台</w:t>
      </w:r>
      <w:r>
        <w:rPr>
          <w:rFonts w:hint="eastAsia" w:ascii="宋体" w:hAnsi="宋体"/>
          <w:bCs/>
          <w:sz w:val="28"/>
          <w:szCs w:val="28"/>
        </w:rPr>
        <w:t>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lang w:val="en-US" w:eastAsia="zh-CN"/>
        </w:rPr>
        <w:t>项目管理要求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eastAsia="宋体"/>
          <w:b/>
          <w:sz w:val="28"/>
          <w:szCs w:val="28"/>
          <w:lang w:val="en-US" w:eastAsia="zh-CN"/>
        </w:rPr>
      </w:pPr>
      <w:r>
        <w:rPr>
          <w:rFonts w:hint="eastAsia" w:ascii="宋体" w:hAnsi="宋体"/>
          <w:b w:val="0"/>
          <w:bCs/>
          <w:sz w:val="28"/>
          <w:szCs w:val="28"/>
          <w:lang w:val="en-US" w:eastAsia="zh-CN"/>
        </w:rPr>
        <w:t>报价人应具备良好的项目管理能力，能对服务项目进度、交付质量进行跟踪、追溯、投诉、反馈，对服务项目交付过程中的文档资料、配置文件进行知识管控。</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lang w:val="en-US" w:eastAsia="zh-CN"/>
        </w:rPr>
        <w:t>运维管理要求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宋体" w:hAnsi="宋体"/>
          <w:b/>
          <w:sz w:val="28"/>
          <w:szCs w:val="28"/>
        </w:rPr>
      </w:pPr>
      <w:r>
        <w:rPr>
          <w:rFonts w:hint="eastAsia" w:ascii="宋体" w:hAnsi="宋体"/>
          <w:b w:val="0"/>
          <w:bCs/>
          <w:sz w:val="28"/>
          <w:szCs w:val="28"/>
          <w:lang w:val="en-US" w:eastAsia="zh-CN"/>
        </w:rPr>
        <w:t>报价人应具备良好的运维管理能力，能够记录每一次处理任务、事件的受理情况。</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合同项目履约完毕，成交人应当及时向项目承办单位提供巡检报告申请项目验收，验收合格后签署验收报告。验收报告的签署不能免除成交人在质量保证期内对合同项目应当承担的保证责任。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）售后服务要求</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（1）提供7×24小时的故障排除受理服务；</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（2）对重大故障提供7×24小时的现场支援，一般故障提供5×8小时的现场支援。</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（3）故障服务的响应时间详见表1故障级别与响应服务。对不能通过远程排除的故障，8小时内需有能够处理故障的技术人员到达现场。</w:t>
      </w:r>
    </w:p>
    <w:tbl>
      <w:tblPr>
        <w:tblStyle w:val="27"/>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149"/>
        <w:gridCol w:w="3402"/>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28" w:hRule="atLeast"/>
          <w:jc w:val="center"/>
        </w:trPr>
        <w:tc>
          <w:tcPr>
            <w:tcW w:w="1149" w:type="dxa"/>
            <w:shd w:val="clear" w:color="auto" w:fill="C6D9F1"/>
            <w:noWrap w:val="0"/>
            <w:vAlign w:val="center"/>
          </w:tcPr>
          <w:p>
            <w:pPr>
              <w:spacing w:line="360" w:lineRule="auto"/>
              <w:jc w:val="center"/>
              <w:rPr>
                <w:rFonts w:ascii="宋体" w:hAnsi="宋体"/>
                <w:b/>
                <w:sz w:val="24"/>
                <w:szCs w:val="20"/>
              </w:rPr>
            </w:pPr>
            <w:bookmarkStart w:id="28" w:name="_Hlk525740749"/>
            <w:r>
              <w:rPr>
                <w:rFonts w:hint="eastAsia" w:ascii="宋体" w:hAnsi="宋体"/>
                <w:b/>
                <w:sz w:val="24"/>
                <w:szCs w:val="20"/>
              </w:rPr>
              <w:t>故障级别</w:t>
            </w:r>
          </w:p>
        </w:tc>
        <w:tc>
          <w:tcPr>
            <w:tcW w:w="3402" w:type="dxa"/>
            <w:shd w:val="clear" w:color="auto" w:fill="C6D9F1"/>
            <w:noWrap w:val="0"/>
            <w:vAlign w:val="center"/>
          </w:tcPr>
          <w:p>
            <w:pPr>
              <w:spacing w:line="360" w:lineRule="auto"/>
              <w:jc w:val="center"/>
              <w:rPr>
                <w:rFonts w:ascii="宋体" w:hAnsi="宋体"/>
                <w:b/>
                <w:sz w:val="24"/>
                <w:szCs w:val="20"/>
              </w:rPr>
            </w:pPr>
            <w:r>
              <w:rPr>
                <w:rFonts w:hint="eastAsia" w:ascii="宋体" w:hAnsi="宋体"/>
                <w:b/>
                <w:sz w:val="24"/>
                <w:szCs w:val="20"/>
              </w:rPr>
              <w:t>故障描述</w:t>
            </w:r>
          </w:p>
        </w:tc>
        <w:tc>
          <w:tcPr>
            <w:tcW w:w="3790" w:type="dxa"/>
            <w:shd w:val="clear" w:color="auto" w:fill="C6D9F1"/>
            <w:noWrap w:val="0"/>
            <w:vAlign w:val="center"/>
          </w:tcPr>
          <w:p>
            <w:pPr>
              <w:spacing w:line="360" w:lineRule="auto"/>
              <w:jc w:val="center"/>
              <w:rPr>
                <w:rFonts w:ascii="宋体" w:hAnsi="宋体"/>
                <w:b/>
                <w:sz w:val="24"/>
                <w:szCs w:val="20"/>
              </w:rPr>
            </w:pPr>
            <w:r>
              <w:rPr>
                <w:rFonts w:hint="eastAsia" w:ascii="宋体" w:hAnsi="宋体"/>
                <w:b/>
                <w:sz w:val="24"/>
                <w:szCs w:val="20"/>
              </w:rPr>
              <w:t>对应服务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0" w:hRule="atLeast"/>
          <w:jc w:val="center"/>
        </w:trPr>
        <w:tc>
          <w:tcPr>
            <w:tcW w:w="1149" w:type="dxa"/>
            <w:noWrap w:val="0"/>
            <w:vAlign w:val="center"/>
          </w:tcPr>
          <w:p>
            <w:pPr>
              <w:spacing w:line="360" w:lineRule="auto"/>
              <w:ind w:left="-359" w:leftChars="-171" w:firstLine="410" w:firstLineChars="171"/>
              <w:jc w:val="center"/>
              <w:rPr>
                <w:rFonts w:ascii="宋体" w:hAnsi="宋体"/>
                <w:sz w:val="24"/>
                <w:szCs w:val="20"/>
              </w:rPr>
            </w:pPr>
            <w:r>
              <w:rPr>
                <w:rFonts w:ascii="宋体" w:hAnsi="宋体"/>
                <w:sz w:val="24"/>
                <w:szCs w:val="20"/>
              </w:rPr>
              <w:t>SIS</w:t>
            </w:r>
            <w:r>
              <w:rPr>
                <w:rFonts w:hint="eastAsia" w:ascii="宋体" w:hAnsi="宋体"/>
                <w:sz w:val="24"/>
                <w:szCs w:val="20"/>
              </w:rPr>
              <w:t>1</w:t>
            </w:r>
          </w:p>
        </w:tc>
        <w:tc>
          <w:tcPr>
            <w:tcW w:w="3402"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整体系统瘫痪。</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基于系统的用户核心业务应用出现严重问题。</w:t>
            </w:r>
          </w:p>
        </w:tc>
        <w:tc>
          <w:tcPr>
            <w:tcW w:w="3790"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对于用户请求，在2小时内予以应答。</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如4小时内无法解决，在8小时内派技术人员到达故障现场，提供直接的技术支持。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92" w:hRule="atLeast"/>
          <w:jc w:val="center"/>
        </w:trPr>
        <w:tc>
          <w:tcPr>
            <w:tcW w:w="1149" w:type="dxa"/>
            <w:noWrap w:val="0"/>
            <w:vAlign w:val="center"/>
          </w:tcPr>
          <w:p>
            <w:pPr>
              <w:spacing w:line="360" w:lineRule="auto"/>
              <w:jc w:val="center"/>
              <w:rPr>
                <w:rFonts w:ascii="宋体" w:hAnsi="宋体"/>
                <w:sz w:val="24"/>
                <w:szCs w:val="20"/>
              </w:rPr>
            </w:pPr>
            <w:r>
              <w:rPr>
                <w:rFonts w:hint="eastAsia" w:ascii="宋体" w:hAnsi="宋体"/>
                <w:sz w:val="24"/>
                <w:szCs w:val="20"/>
              </w:rPr>
              <w:t>SIS2</w:t>
            </w:r>
          </w:p>
        </w:tc>
        <w:tc>
          <w:tcPr>
            <w:tcW w:w="3402"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系统整体性能下降或不稳定。</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严重影响用户核心应用系统。</w:t>
            </w:r>
          </w:p>
        </w:tc>
        <w:tc>
          <w:tcPr>
            <w:tcW w:w="3790"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对于用户请求，在4小时内予以应答。</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如8小时内无法解决，在8小时内派技术人员到达故障现场，提供直接的技术支持。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28" w:hRule="atLeast"/>
          <w:jc w:val="center"/>
        </w:trPr>
        <w:tc>
          <w:tcPr>
            <w:tcW w:w="1149" w:type="dxa"/>
            <w:noWrap w:val="0"/>
            <w:vAlign w:val="center"/>
          </w:tcPr>
          <w:p>
            <w:pPr>
              <w:widowControl/>
              <w:jc w:val="center"/>
              <w:rPr>
                <w:rFonts w:ascii="宋体" w:hAnsi="宋体"/>
                <w:sz w:val="24"/>
                <w:szCs w:val="20"/>
                <w:lang w:val="en-GB"/>
              </w:rPr>
            </w:pPr>
            <w:r>
              <w:rPr>
                <w:rFonts w:hint="eastAsia" w:ascii="宋体" w:hAnsi="宋体"/>
                <w:sz w:val="24"/>
                <w:szCs w:val="20"/>
                <w:lang w:val="en-GB"/>
              </w:rPr>
              <w:t>SIS3</w:t>
            </w:r>
          </w:p>
        </w:tc>
        <w:tc>
          <w:tcPr>
            <w:tcW w:w="3402"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系统性能下降，但对用户的主要应用系统目前影响不大。</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系统非核心故障，对用户主要应用系统没有影响或影响不大。</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依靠用户自身技术水平可以解决的问题。</w:t>
            </w:r>
          </w:p>
        </w:tc>
        <w:tc>
          <w:tcPr>
            <w:tcW w:w="3790" w:type="dxa"/>
            <w:noWrap w:val="0"/>
            <w:vAlign w:val="center"/>
          </w:tcPr>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对于用户请求，在1个工作日内进行问题确认。</w:t>
            </w:r>
          </w:p>
          <w:p>
            <w:pPr>
              <w:widowControl/>
              <w:numPr>
                <w:ilvl w:val="0"/>
                <w:numId w:val="5"/>
              </w:numPr>
              <w:spacing w:line="360" w:lineRule="auto"/>
              <w:jc w:val="left"/>
              <w:rPr>
                <w:rFonts w:ascii="宋体" w:hAnsi="宋体"/>
                <w:sz w:val="24"/>
                <w:szCs w:val="20"/>
                <w:lang w:val="en-GB"/>
              </w:rPr>
            </w:pPr>
            <w:r>
              <w:rPr>
                <w:rFonts w:hint="eastAsia" w:ascii="宋体" w:hAnsi="宋体"/>
                <w:sz w:val="24"/>
                <w:szCs w:val="20"/>
                <w:lang w:val="en-GB"/>
              </w:rPr>
              <w:t>如1个工作日内无法解决，在2~3个工作日解决或给出解决计划。</w:t>
            </w:r>
          </w:p>
        </w:tc>
      </w:tr>
      <w:bookmarkEnd w:id="28"/>
    </w:tbl>
    <w:p>
      <w:pPr>
        <w:spacing w:line="360" w:lineRule="auto"/>
        <w:jc w:val="center"/>
        <w:rPr>
          <w:rFonts w:hint="eastAsia" w:ascii="宋体" w:hAnsi="宋体"/>
          <w:sz w:val="28"/>
          <w:szCs w:val="28"/>
        </w:rPr>
      </w:pPr>
      <w:r>
        <w:rPr>
          <w:rFonts w:hint="eastAsia" w:ascii="宋体" w:hAnsi="宋体"/>
          <w:sz w:val="24"/>
        </w:rPr>
        <w:t>表1 故障级别与响应服务</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）结算与付款方式</w:t>
      </w:r>
    </w:p>
    <w:p>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合同签订后5个工作日内</w:t>
      </w:r>
      <w:r>
        <w:rPr>
          <w:rFonts w:hint="eastAsia" w:ascii="宋体" w:hAnsi="宋体"/>
          <w:sz w:val="28"/>
          <w:szCs w:val="28"/>
          <w:lang w:val="en-US" w:eastAsia="zh-CN"/>
        </w:rPr>
        <w:t>成交人</w:t>
      </w:r>
      <w:r>
        <w:rPr>
          <w:rFonts w:hint="eastAsia" w:ascii="宋体" w:hAnsi="宋体"/>
          <w:sz w:val="28"/>
          <w:szCs w:val="28"/>
        </w:rPr>
        <w:t>支付合同总价的</w:t>
      </w:r>
      <w:r>
        <w:rPr>
          <w:rFonts w:hint="eastAsia" w:ascii="宋体" w:hAnsi="宋体"/>
          <w:sz w:val="28"/>
          <w:szCs w:val="28"/>
          <w:lang w:val="en-US" w:eastAsia="zh-CN"/>
        </w:rPr>
        <w:t>10</w:t>
      </w:r>
      <w:r>
        <w:rPr>
          <w:rFonts w:hint="eastAsia" w:ascii="宋体" w:hAnsi="宋体"/>
          <w:sz w:val="28"/>
          <w:szCs w:val="28"/>
        </w:rPr>
        <w:t>%到</w:t>
      </w:r>
      <w:r>
        <w:rPr>
          <w:rFonts w:hint="eastAsia" w:ascii="宋体" w:hAnsi="宋体"/>
          <w:sz w:val="28"/>
          <w:szCs w:val="28"/>
          <w:lang w:val="en-US" w:eastAsia="zh-CN"/>
        </w:rPr>
        <w:t>采购方</w:t>
      </w:r>
      <w:r>
        <w:rPr>
          <w:rFonts w:hint="eastAsia" w:ascii="宋体" w:hAnsi="宋体"/>
          <w:sz w:val="28"/>
          <w:szCs w:val="28"/>
        </w:rPr>
        <w:t>账户作为履约保证金，该保证金可用于支付因</w:t>
      </w:r>
      <w:r>
        <w:rPr>
          <w:rFonts w:hint="eastAsia" w:ascii="宋体" w:hAnsi="宋体"/>
          <w:sz w:val="28"/>
          <w:szCs w:val="28"/>
          <w:lang w:val="en-US" w:eastAsia="zh-CN"/>
        </w:rPr>
        <w:t>成交人</w:t>
      </w:r>
      <w:r>
        <w:rPr>
          <w:rFonts w:hint="eastAsia" w:ascii="宋体" w:hAnsi="宋体"/>
          <w:sz w:val="28"/>
          <w:szCs w:val="28"/>
        </w:rPr>
        <w:t>原因造成</w:t>
      </w:r>
      <w:r>
        <w:rPr>
          <w:rFonts w:hint="eastAsia" w:ascii="宋体" w:hAnsi="宋体"/>
          <w:sz w:val="28"/>
          <w:szCs w:val="28"/>
          <w:lang w:val="en-US" w:eastAsia="zh-CN"/>
        </w:rPr>
        <w:t>采购方</w:t>
      </w:r>
      <w:r>
        <w:rPr>
          <w:rFonts w:hint="eastAsia" w:ascii="宋体" w:hAnsi="宋体"/>
          <w:sz w:val="28"/>
          <w:szCs w:val="28"/>
        </w:rPr>
        <w:t>的损失以及因</w:t>
      </w:r>
      <w:r>
        <w:rPr>
          <w:rFonts w:hint="eastAsia" w:ascii="宋体" w:hAnsi="宋体"/>
          <w:sz w:val="28"/>
          <w:szCs w:val="28"/>
          <w:lang w:val="en-US" w:eastAsia="zh-CN"/>
        </w:rPr>
        <w:t>成交人</w:t>
      </w:r>
      <w:r>
        <w:rPr>
          <w:rFonts w:hint="eastAsia" w:ascii="宋体" w:hAnsi="宋体"/>
          <w:sz w:val="28"/>
          <w:szCs w:val="28"/>
        </w:rPr>
        <w:t>违约行为需支付给</w:t>
      </w:r>
      <w:r>
        <w:rPr>
          <w:rFonts w:hint="eastAsia" w:ascii="宋体" w:hAnsi="宋体"/>
          <w:sz w:val="28"/>
          <w:szCs w:val="28"/>
          <w:lang w:val="en-US" w:eastAsia="zh-CN"/>
        </w:rPr>
        <w:t>采购方</w:t>
      </w:r>
      <w:r>
        <w:rPr>
          <w:rFonts w:hint="eastAsia" w:ascii="宋体" w:hAnsi="宋体"/>
          <w:sz w:val="28"/>
          <w:szCs w:val="28"/>
        </w:rPr>
        <w:t>的违约金。</w:t>
      </w:r>
    </w:p>
    <w:p>
      <w:pPr>
        <w:adjustRightInd w:val="0"/>
        <w:snapToGrid w:val="0"/>
        <w:spacing w:line="560" w:lineRule="exact"/>
        <w:ind w:firstLine="638" w:firstLineChars="228"/>
        <w:jc w:val="left"/>
        <w:rPr>
          <w:rFonts w:hint="eastAsia" w:ascii="宋体" w:hAnsi="宋体"/>
          <w:sz w:val="28"/>
          <w:szCs w:val="28"/>
          <w:lang w:eastAsia="zh-CN"/>
        </w:rPr>
      </w:pPr>
      <w:r>
        <w:rPr>
          <w:rFonts w:hint="eastAsia" w:ascii="宋体" w:hAnsi="宋体"/>
          <w:sz w:val="28"/>
          <w:szCs w:val="28"/>
        </w:rPr>
        <w:t>（2）</w:t>
      </w:r>
      <w:r>
        <w:rPr>
          <w:rFonts w:hint="eastAsia" w:ascii="宋体" w:hAnsi="宋体"/>
          <w:sz w:val="28"/>
          <w:szCs w:val="28"/>
          <w:lang w:val="en-US" w:eastAsia="zh-CN"/>
        </w:rPr>
        <w:t>采购方根据</w:t>
      </w:r>
      <w:r>
        <w:rPr>
          <w:rFonts w:hint="eastAsia" w:ascii="宋体" w:hAnsi="宋体"/>
          <w:sz w:val="28"/>
          <w:szCs w:val="28"/>
          <w:lang w:eastAsia="zh-CN"/>
        </w:rPr>
        <w:t>合同约定的采购和服务内容</w:t>
      </w:r>
      <w:r>
        <w:rPr>
          <w:rFonts w:hint="eastAsia" w:ascii="宋体" w:hAnsi="宋体"/>
          <w:sz w:val="28"/>
          <w:szCs w:val="28"/>
          <w:lang w:val="en-US" w:eastAsia="zh-CN"/>
        </w:rPr>
        <w:t>在2023年10月对成交人进行中期服务考核。考核通过后，采购方</w:t>
      </w:r>
      <w:r>
        <w:rPr>
          <w:rFonts w:hint="eastAsia" w:ascii="宋体" w:hAnsi="宋体"/>
          <w:sz w:val="28"/>
          <w:szCs w:val="28"/>
        </w:rPr>
        <w:t>凭</w:t>
      </w:r>
      <w:r>
        <w:rPr>
          <w:rFonts w:hint="eastAsia" w:ascii="宋体" w:hAnsi="宋体"/>
          <w:sz w:val="28"/>
          <w:szCs w:val="28"/>
          <w:lang w:val="en-US" w:eastAsia="zh-CN"/>
        </w:rPr>
        <w:t>成交人</w:t>
      </w:r>
      <w:r>
        <w:rPr>
          <w:rFonts w:hint="eastAsia" w:ascii="宋体" w:hAnsi="宋体"/>
          <w:sz w:val="28"/>
          <w:szCs w:val="28"/>
        </w:rPr>
        <w:t>提供的正式发票及支付履约保证金的凭证，在202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月支付合同总价的</w:t>
      </w:r>
      <w:r>
        <w:rPr>
          <w:rFonts w:hint="eastAsia" w:ascii="宋体" w:hAnsi="宋体"/>
          <w:sz w:val="28"/>
          <w:szCs w:val="28"/>
          <w:lang w:val="en-US" w:eastAsia="zh-CN"/>
        </w:rPr>
        <w:t>10</w:t>
      </w:r>
      <w:r>
        <w:rPr>
          <w:rFonts w:hint="eastAsia" w:ascii="宋体" w:hAnsi="宋体"/>
          <w:sz w:val="28"/>
          <w:szCs w:val="28"/>
        </w:rPr>
        <w:t>0%</w:t>
      </w:r>
      <w:r>
        <w:rPr>
          <w:rFonts w:hint="eastAsia" w:ascii="宋体" w:hAnsi="宋体"/>
          <w:sz w:val="28"/>
          <w:szCs w:val="28"/>
          <w:lang w:eastAsia="zh-CN"/>
        </w:rPr>
        <w:t>。</w:t>
      </w:r>
    </w:p>
    <w:p>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履约保证金在服务期满后，如无重大质量问题，</w:t>
      </w:r>
      <w:r>
        <w:rPr>
          <w:rFonts w:hint="eastAsia" w:ascii="宋体" w:hAnsi="宋体"/>
          <w:sz w:val="28"/>
          <w:szCs w:val="28"/>
          <w:lang w:val="en-US" w:eastAsia="zh-CN"/>
        </w:rPr>
        <w:t>采购方</w:t>
      </w:r>
      <w:r>
        <w:rPr>
          <w:rFonts w:hint="eastAsia" w:ascii="宋体" w:hAnsi="宋体"/>
          <w:sz w:val="28"/>
          <w:szCs w:val="28"/>
          <w:lang w:eastAsia="zh-CN"/>
        </w:rPr>
        <w:t>收齐成交人验收单、</w:t>
      </w:r>
      <w:r>
        <w:rPr>
          <w:rFonts w:hint="eastAsia" w:ascii="宋体" w:hAnsi="宋体"/>
          <w:sz w:val="28"/>
          <w:szCs w:val="28"/>
        </w:rPr>
        <w:t>支付履约保证金</w:t>
      </w:r>
      <w:r>
        <w:rPr>
          <w:rFonts w:hint="eastAsia" w:ascii="宋体" w:hAnsi="宋体"/>
          <w:sz w:val="28"/>
          <w:szCs w:val="28"/>
          <w:lang w:val="en-US" w:eastAsia="zh-CN"/>
        </w:rPr>
        <w:t>的</w:t>
      </w:r>
      <w:r>
        <w:rPr>
          <w:rFonts w:hint="eastAsia" w:ascii="宋体" w:hAnsi="宋体"/>
          <w:sz w:val="28"/>
          <w:szCs w:val="28"/>
        </w:rPr>
        <w:t>凭证，15个工作日内</w:t>
      </w:r>
      <w:r>
        <w:rPr>
          <w:rFonts w:hint="eastAsia" w:ascii="宋体" w:hAnsi="宋体"/>
          <w:sz w:val="28"/>
          <w:szCs w:val="28"/>
          <w:lang w:val="en-US" w:eastAsia="zh-CN"/>
        </w:rPr>
        <w:t>采购方</w:t>
      </w:r>
      <w:r>
        <w:rPr>
          <w:rFonts w:hint="eastAsia" w:ascii="宋体" w:hAnsi="宋体"/>
          <w:sz w:val="28"/>
          <w:szCs w:val="28"/>
        </w:rPr>
        <w:t>无息退还。</w:t>
      </w:r>
    </w:p>
    <w:p>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成交人</w:t>
      </w:r>
      <w:r>
        <w:rPr>
          <w:rFonts w:hint="eastAsia" w:ascii="宋体" w:hAnsi="宋体"/>
          <w:sz w:val="28"/>
          <w:szCs w:val="28"/>
        </w:rPr>
        <w:t>向</w:t>
      </w:r>
      <w:r>
        <w:rPr>
          <w:rFonts w:hint="eastAsia" w:ascii="宋体" w:hAnsi="宋体"/>
          <w:sz w:val="28"/>
          <w:szCs w:val="28"/>
          <w:lang w:val="en-US" w:eastAsia="zh-CN"/>
        </w:rPr>
        <w:t>采购方</w:t>
      </w:r>
      <w:r>
        <w:rPr>
          <w:rFonts w:hint="eastAsia" w:ascii="宋体" w:hAnsi="宋体"/>
          <w:sz w:val="28"/>
          <w:szCs w:val="28"/>
        </w:rPr>
        <w:t>申请支付时需提供：1）合同；2）支付申请；3）</w:t>
      </w:r>
      <w:r>
        <w:rPr>
          <w:rFonts w:hint="eastAsia" w:ascii="宋体" w:hAnsi="宋体"/>
          <w:sz w:val="28"/>
          <w:szCs w:val="28"/>
          <w:lang w:val="en-US" w:eastAsia="zh-CN"/>
        </w:rPr>
        <w:t>成交人</w:t>
      </w:r>
      <w:r>
        <w:rPr>
          <w:rFonts w:hint="eastAsia" w:ascii="宋体" w:hAnsi="宋体"/>
          <w:sz w:val="28"/>
          <w:szCs w:val="28"/>
        </w:rPr>
        <w:t>开具当期支付款项金额等值的中华人民共和国大陆地区合法有效发票。</w:t>
      </w:r>
    </w:p>
    <w:p>
      <w:pPr>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）以上付款以银行转账方式进行支付。</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八</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九</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560" w:lineRule="exact"/>
        <w:ind w:firstLine="638" w:firstLineChars="228"/>
        <w:rPr>
          <w:rFonts w:ascii="宋体" w:hAnsi="宋体"/>
          <w:color w:val="FF0000"/>
          <w:kern w:val="0"/>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9" w:name="_Toc60236710"/>
      <w:bookmarkStart w:id="30" w:name="_Toc13543213"/>
      <w:r>
        <w:rPr>
          <w:rFonts w:hint="eastAsia"/>
        </w:rPr>
        <w:br w:type="page"/>
      </w:r>
      <w:bookmarkEnd w:id="29"/>
      <w:bookmarkEnd w:id="30"/>
    </w:p>
    <w:p>
      <w:pPr>
        <w:pStyle w:val="2"/>
      </w:pPr>
      <w:bookmarkStart w:id="31" w:name="_Toc14310"/>
      <w:r>
        <w:rPr>
          <w:rFonts w:hint="eastAsia"/>
        </w:rPr>
        <w:t>第三部分  报价文件格式</w:t>
      </w:r>
      <w:bookmarkEnd w:id="31"/>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E1245D-A5BD-4B6A-A14E-C6979709F9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378737-8073-42CA-B42F-79E8634A644B}"/>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AE477DE4-4B95-446D-9C75-E9064BBEF431}"/>
  </w:font>
  <w:font w:name="楷体_GB2312">
    <w:panose1 w:val="02010609030101010101"/>
    <w:charset w:val="86"/>
    <w:family w:val="modern"/>
    <w:pitch w:val="default"/>
    <w:sig w:usb0="00000001" w:usb1="080E0000" w:usb2="00000000" w:usb3="00000000" w:csb0="00040000" w:csb1="00000000"/>
    <w:embedRegular r:id="rId4" w:fontKey="{2169D2D7-0369-405C-A160-88940B5A8A9E}"/>
  </w:font>
  <w:font w:name="楷体">
    <w:panose1 w:val="02010609060101010101"/>
    <w:charset w:val="86"/>
    <w:family w:val="auto"/>
    <w:pitch w:val="default"/>
    <w:sig w:usb0="800002BF" w:usb1="38CF7CFA" w:usb2="00000016" w:usb3="00000000" w:csb0="00040001" w:csb1="00000000"/>
    <w:embedRegular r:id="rId5" w:fontKey="{8FDD338D-19DC-491B-8F92-5CCC816D40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64364630"/>
    <w:multiLevelType w:val="multilevel"/>
    <w:tmpl w:val="64364630"/>
    <w:lvl w:ilvl="0" w:tentative="0">
      <w:start w:val="1"/>
      <w:numFmt w:val="bullet"/>
      <w:lvlText w:val=""/>
      <w:lvlJc w:val="left"/>
      <w:pPr>
        <w:ind w:left="420" w:hanging="420"/>
      </w:pPr>
      <w:rPr>
        <w:rFonts w:hint="default" w:ascii="Wingdings" w:hAnsi="Wingdings"/>
        <w:lang w:eastAsia="zh-C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8"/>
  </w:num>
  <w:num w:numId="3">
    <w:abstractNumId w:val="3"/>
  </w:num>
  <w:num w:numId="4">
    <w:abstractNumId w:val="2"/>
  </w:num>
  <w:num w:numId="5">
    <w:abstractNumId w:val="9"/>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xN2ZmZWQ2ZWFkZmY2NjA0ZWI0YTdmZjY4MGFmNDc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2F2443"/>
    <w:rsid w:val="029C7941"/>
    <w:rsid w:val="030155C3"/>
    <w:rsid w:val="0338148D"/>
    <w:rsid w:val="03AD1858"/>
    <w:rsid w:val="03BB1D6C"/>
    <w:rsid w:val="03D568F0"/>
    <w:rsid w:val="04730F20"/>
    <w:rsid w:val="05940418"/>
    <w:rsid w:val="06242E58"/>
    <w:rsid w:val="07654F6A"/>
    <w:rsid w:val="079E325C"/>
    <w:rsid w:val="07F96501"/>
    <w:rsid w:val="0A2F4D76"/>
    <w:rsid w:val="0A38348D"/>
    <w:rsid w:val="0AB243BE"/>
    <w:rsid w:val="0AD340D0"/>
    <w:rsid w:val="0BEE41F8"/>
    <w:rsid w:val="0D0015C5"/>
    <w:rsid w:val="0E6949B3"/>
    <w:rsid w:val="0F666038"/>
    <w:rsid w:val="0FD541B5"/>
    <w:rsid w:val="0FEF4AD0"/>
    <w:rsid w:val="10070AEF"/>
    <w:rsid w:val="10AC13A7"/>
    <w:rsid w:val="110C3C33"/>
    <w:rsid w:val="11600379"/>
    <w:rsid w:val="117E185E"/>
    <w:rsid w:val="11FA2096"/>
    <w:rsid w:val="12254861"/>
    <w:rsid w:val="12B4052F"/>
    <w:rsid w:val="12EC524A"/>
    <w:rsid w:val="13071F04"/>
    <w:rsid w:val="13C52591"/>
    <w:rsid w:val="14724FAA"/>
    <w:rsid w:val="14A66120"/>
    <w:rsid w:val="14E23522"/>
    <w:rsid w:val="16583648"/>
    <w:rsid w:val="168532DC"/>
    <w:rsid w:val="171419E6"/>
    <w:rsid w:val="173373DC"/>
    <w:rsid w:val="1753107A"/>
    <w:rsid w:val="186B76B5"/>
    <w:rsid w:val="18DC1D83"/>
    <w:rsid w:val="18DD33E1"/>
    <w:rsid w:val="18EE0C00"/>
    <w:rsid w:val="193E7D91"/>
    <w:rsid w:val="1A4C0380"/>
    <w:rsid w:val="1AE42B15"/>
    <w:rsid w:val="1D032244"/>
    <w:rsid w:val="1D3B7DB1"/>
    <w:rsid w:val="20BC39CA"/>
    <w:rsid w:val="213E5304"/>
    <w:rsid w:val="21E00F42"/>
    <w:rsid w:val="224A34F1"/>
    <w:rsid w:val="245F6E0F"/>
    <w:rsid w:val="24905418"/>
    <w:rsid w:val="25FD1B5B"/>
    <w:rsid w:val="263B5217"/>
    <w:rsid w:val="26C14524"/>
    <w:rsid w:val="27192484"/>
    <w:rsid w:val="27C423D8"/>
    <w:rsid w:val="28CB3AEA"/>
    <w:rsid w:val="28E13EA5"/>
    <w:rsid w:val="291150CE"/>
    <w:rsid w:val="299C16FC"/>
    <w:rsid w:val="2B194829"/>
    <w:rsid w:val="2B9A7E49"/>
    <w:rsid w:val="2C257AA5"/>
    <w:rsid w:val="2D39161D"/>
    <w:rsid w:val="2E2429AD"/>
    <w:rsid w:val="2E7F096C"/>
    <w:rsid w:val="2E950643"/>
    <w:rsid w:val="305B2BFC"/>
    <w:rsid w:val="30935087"/>
    <w:rsid w:val="311763F2"/>
    <w:rsid w:val="31E02124"/>
    <w:rsid w:val="322C4FCB"/>
    <w:rsid w:val="3237724D"/>
    <w:rsid w:val="32B542DE"/>
    <w:rsid w:val="32C61B83"/>
    <w:rsid w:val="344B05CF"/>
    <w:rsid w:val="34683033"/>
    <w:rsid w:val="35B77661"/>
    <w:rsid w:val="36583023"/>
    <w:rsid w:val="370F7EB3"/>
    <w:rsid w:val="3713274F"/>
    <w:rsid w:val="38593326"/>
    <w:rsid w:val="39A6093D"/>
    <w:rsid w:val="3BF75747"/>
    <w:rsid w:val="3D0829F5"/>
    <w:rsid w:val="3D832EB5"/>
    <w:rsid w:val="3D967F69"/>
    <w:rsid w:val="3EB43B95"/>
    <w:rsid w:val="3F0535D6"/>
    <w:rsid w:val="401A05CF"/>
    <w:rsid w:val="40652603"/>
    <w:rsid w:val="42532A81"/>
    <w:rsid w:val="442F0A64"/>
    <w:rsid w:val="445D133B"/>
    <w:rsid w:val="44CD00C1"/>
    <w:rsid w:val="44FE771E"/>
    <w:rsid w:val="453D2E2E"/>
    <w:rsid w:val="455B5F6E"/>
    <w:rsid w:val="4678338B"/>
    <w:rsid w:val="46D91FF2"/>
    <w:rsid w:val="476B2D91"/>
    <w:rsid w:val="48833F13"/>
    <w:rsid w:val="49C27F22"/>
    <w:rsid w:val="4AB704A8"/>
    <w:rsid w:val="4ADD6003"/>
    <w:rsid w:val="4BEB2A35"/>
    <w:rsid w:val="4C7E1155"/>
    <w:rsid w:val="4C9204F0"/>
    <w:rsid w:val="4D0C4CB3"/>
    <w:rsid w:val="4D5957E6"/>
    <w:rsid w:val="4DBA5FA6"/>
    <w:rsid w:val="4DD5065C"/>
    <w:rsid w:val="4ED478D5"/>
    <w:rsid w:val="4FF82FCD"/>
    <w:rsid w:val="50084A79"/>
    <w:rsid w:val="507A5425"/>
    <w:rsid w:val="50C30629"/>
    <w:rsid w:val="512A3860"/>
    <w:rsid w:val="51577DD1"/>
    <w:rsid w:val="51AB09AF"/>
    <w:rsid w:val="520732F2"/>
    <w:rsid w:val="531269D1"/>
    <w:rsid w:val="54B4589B"/>
    <w:rsid w:val="55AA587C"/>
    <w:rsid w:val="55B90436"/>
    <w:rsid w:val="57434CFA"/>
    <w:rsid w:val="5A165665"/>
    <w:rsid w:val="5A965CB3"/>
    <w:rsid w:val="5C097FBF"/>
    <w:rsid w:val="5C837B0E"/>
    <w:rsid w:val="5CFE645C"/>
    <w:rsid w:val="5D5C4A55"/>
    <w:rsid w:val="5D901B4E"/>
    <w:rsid w:val="5DAB4DFE"/>
    <w:rsid w:val="5DCB7EB6"/>
    <w:rsid w:val="5EB743B6"/>
    <w:rsid w:val="5EBC05AE"/>
    <w:rsid w:val="5F6046E9"/>
    <w:rsid w:val="61463829"/>
    <w:rsid w:val="6194517C"/>
    <w:rsid w:val="62405E40"/>
    <w:rsid w:val="62437726"/>
    <w:rsid w:val="628F0A4F"/>
    <w:rsid w:val="6296560A"/>
    <w:rsid w:val="62D60C04"/>
    <w:rsid w:val="62DB6DB3"/>
    <w:rsid w:val="63065FF8"/>
    <w:rsid w:val="63550335"/>
    <w:rsid w:val="63FB6EA5"/>
    <w:rsid w:val="64E3581F"/>
    <w:rsid w:val="68742FE5"/>
    <w:rsid w:val="697C1D6F"/>
    <w:rsid w:val="6A80153E"/>
    <w:rsid w:val="6A871DFC"/>
    <w:rsid w:val="6B39764F"/>
    <w:rsid w:val="6BD732D1"/>
    <w:rsid w:val="6BE47739"/>
    <w:rsid w:val="6ED31B71"/>
    <w:rsid w:val="6F544E68"/>
    <w:rsid w:val="719242C5"/>
    <w:rsid w:val="728816FE"/>
    <w:rsid w:val="72B62304"/>
    <w:rsid w:val="742D0AEA"/>
    <w:rsid w:val="750157C1"/>
    <w:rsid w:val="764110DA"/>
    <w:rsid w:val="76FA7631"/>
    <w:rsid w:val="77105DE7"/>
    <w:rsid w:val="777811D4"/>
    <w:rsid w:val="777B6BED"/>
    <w:rsid w:val="77AE3DED"/>
    <w:rsid w:val="77F228DE"/>
    <w:rsid w:val="77FD5BF0"/>
    <w:rsid w:val="7814367C"/>
    <w:rsid w:val="78851ED1"/>
    <w:rsid w:val="79C61CFF"/>
    <w:rsid w:val="7B8408D3"/>
    <w:rsid w:val="7B9A17D4"/>
    <w:rsid w:val="7C530CF6"/>
    <w:rsid w:val="7CDE0A96"/>
    <w:rsid w:val="7DBD7DE5"/>
    <w:rsid w:val="7E740121"/>
    <w:rsid w:val="7E9C5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10143</Words>
  <Characters>10462</Characters>
  <Lines>72</Lines>
  <Paragraphs>20</Paragraphs>
  <TotalTime>11</TotalTime>
  <ScaleCrop>false</ScaleCrop>
  <LinksUpToDate>false</LinksUpToDate>
  <CharactersWithSpaces>11065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xu</cp:lastModifiedBy>
  <cp:lastPrinted>2022-01-21T10:35:00Z</cp:lastPrinted>
  <dcterms:modified xsi:type="dcterms:W3CDTF">2023-04-23T07:57:26Z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F90E824227D444BFA626A01BBCC08368</vt:lpwstr>
  </property>
</Properties>
</file>