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0"/>
        <w:jc w:val="center"/>
        <w:rPr>
          <w:rFonts w:eastAsia="黑体"/>
          <w:b/>
          <w:sz w:val="72"/>
          <w:szCs w:val="56"/>
        </w:rPr>
      </w:pPr>
      <w:r>
        <w:rPr>
          <w:rFonts w:hint="eastAsia" w:eastAsia="黑体"/>
          <w:b/>
          <w:sz w:val="72"/>
          <w:szCs w:val="56"/>
        </w:rPr>
        <w:t>询</w:t>
      </w:r>
    </w:p>
    <w:p>
      <w:pPr>
        <w:ind w:left="0"/>
        <w:jc w:val="center"/>
        <w:rPr>
          <w:rFonts w:eastAsia="黑体"/>
          <w:b/>
          <w:sz w:val="72"/>
          <w:szCs w:val="56"/>
        </w:rPr>
      </w:pPr>
      <w:r>
        <w:rPr>
          <w:rFonts w:hint="eastAsia" w:eastAsia="黑体"/>
          <w:b/>
          <w:sz w:val="72"/>
          <w:szCs w:val="56"/>
        </w:rPr>
        <w:t>价</w:t>
      </w: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ind w:left="425"/>
        <w:jc w:val="center"/>
        <w:rPr>
          <w:b/>
          <w:sz w:val="36"/>
        </w:rPr>
      </w:pPr>
    </w:p>
    <w:p>
      <w:pPr>
        <w:spacing w:line="760" w:lineRule="exact"/>
        <w:ind w:firstLine="1084" w:firstLineChars="300"/>
        <w:rPr>
          <w:b/>
          <w:sz w:val="36"/>
        </w:rPr>
      </w:pPr>
    </w:p>
    <w:p>
      <w:pPr>
        <w:spacing w:line="760" w:lineRule="exact"/>
        <w:ind w:left="2765" w:leftChars="456" w:hanging="1807" w:hangingChars="500"/>
        <w:outlineLvl w:val="0"/>
        <w:rPr>
          <w:rFonts w:hint="eastAsia" w:ascii="宋体" w:hAnsi="宋体"/>
          <w:b/>
          <w:color w:val="auto"/>
          <w:sz w:val="32"/>
          <w:szCs w:val="32"/>
          <w:u w:val="single"/>
          <w:lang w:val="en-US" w:eastAsia="zh-CN"/>
        </w:rPr>
      </w:pPr>
      <w:bookmarkStart w:id="0" w:name="_Toc32115"/>
      <w:bookmarkStart w:id="1" w:name="_Toc1235"/>
      <w:bookmarkStart w:id="2" w:name="_Toc139478040"/>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bookmarkEnd w:id="0"/>
      <w:bookmarkEnd w:id="1"/>
      <w:r>
        <w:rPr>
          <w:rFonts w:hint="eastAsia" w:ascii="宋体" w:hAnsi="宋体" w:eastAsia="宋体"/>
          <w:b/>
          <w:color w:val="auto"/>
          <w:sz w:val="32"/>
          <w:szCs w:val="32"/>
          <w:u w:val="single"/>
          <w:lang w:val="en-US" w:eastAsia="zh-CN"/>
        </w:rPr>
        <w:t>广东财经大学佛山校区2024年小额工程监理服务</w:t>
      </w:r>
      <w:bookmarkEnd w:id="2"/>
      <w:r>
        <w:rPr>
          <w:rFonts w:hint="eastAsia" w:ascii="宋体" w:hAnsi="宋体" w:eastAsia="宋体"/>
          <w:b/>
          <w:color w:val="auto"/>
          <w:sz w:val="32"/>
          <w:szCs w:val="32"/>
          <w:u w:val="single"/>
          <w:lang w:val="en-US" w:eastAsia="zh-CN"/>
        </w:rPr>
        <w:t>项目</w:t>
      </w:r>
    </w:p>
    <w:p>
      <w:pPr>
        <w:spacing w:line="760" w:lineRule="exact"/>
        <w:ind w:left="2765" w:leftChars="456" w:hanging="1807" w:hangingChars="500"/>
        <w:outlineLvl w:val="0"/>
        <w:rPr>
          <w:rFonts w:hint="eastAsia" w:ascii="宋体" w:hAnsi="宋体"/>
          <w:b/>
          <w:sz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eastAsia="宋体"/>
          <w:b/>
          <w:color w:val="auto"/>
          <w:sz w:val="32"/>
          <w:szCs w:val="32"/>
          <w:u w:val="single"/>
          <w:lang w:val="en-US" w:eastAsia="zh-CN"/>
        </w:rPr>
        <w:t xml:space="preserve">佛山校区管理委员会 </w:t>
      </w:r>
      <w:r>
        <w:rPr>
          <w:rFonts w:hint="eastAsia" w:ascii="宋体" w:hAnsi="宋体"/>
          <w:b/>
          <w:sz w:val="36"/>
          <w:u w:val="single"/>
        </w:rPr>
        <w:t xml:space="preserve">        </w:t>
      </w:r>
      <w:r>
        <w:rPr>
          <w:rFonts w:hint="eastAsia" w:ascii="宋体" w:hAnsi="宋体"/>
          <w:b/>
          <w:sz w:val="36"/>
          <w:u w:val="single"/>
          <w:lang w:val="en-US" w:eastAsia="zh-CN"/>
        </w:rPr>
        <w:t xml:space="preserve"> </w:t>
      </w:r>
    </w:p>
    <w:p>
      <w:pPr>
        <w:adjustRightInd/>
        <w:snapToGrid/>
        <w:spacing w:line="760" w:lineRule="exact"/>
        <w:ind w:left="2765" w:leftChars="456" w:hanging="1807" w:hangingChars="500"/>
        <w:outlineLvl w:val="0"/>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720" w:num="1"/>
          <w:titlePg/>
          <w:docGrid w:type="lines" w:linePitch="312" w:charSpace="0"/>
        </w:sectPr>
      </w:pPr>
      <w:r>
        <w:rPr>
          <w:rFonts w:hint="eastAsia"/>
          <w:b/>
          <w:sz w:val="36"/>
          <w:szCs w:val="36"/>
        </w:rPr>
        <w:t>发布时间：</w:t>
      </w:r>
      <w:r>
        <w:rPr>
          <w:rFonts w:hint="eastAsia" w:ascii="宋体" w:hAnsi="宋体"/>
          <w:b/>
          <w:sz w:val="36"/>
          <w:u w:val="single"/>
        </w:rPr>
        <w:t xml:space="preserve"> </w:t>
      </w:r>
      <w:r>
        <w:rPr>
          <w:rFonts w:hint="eastAsia" w:ascii="宋体" w:hAnsi="宋体" w:eastAsia="宋体"/>
          <w:b/>
          <w:color w:val="auto"/>
          <w:sz w:val="32"/>
          <w:szCs w:val="32"/>
          <w:u w:val="single"/>
          <w:lang w:val="en-US" w:eastAsia="zh-CN"/>
        </w:rPr>
        <w:t xml:space="preserve">2024年6月20日 </w:t>
      </w:r>
      <w:r>
        <w:rPr>
          <w:rFonts w:hint="eastAsia" w:ascii="宋体" w:hAnsi="宋体"/>
          <w:b/>
          <w:sz w:val="36"/>
          <w:u w:val="single"/>
        </w:rPr>
        <w:t xml:space="preserve">           </w:t>
      </w:r>
      <w:bookmarkStart w:id="3" w:name="_Toc508103350"/>
      <w:bookmarkStart w:id="4" w:name="_Toc508103135"/>
      <w:bookmarkStart w:id="5" w:name="_Toc60236697"/>
    </w:p>
    <w:p>
      <w:pPr>
        <w:jc w:val="center"/>
      </w:pPr>
      <w:bookmarkStart w:id="6" w:name="_Toc13691"/>
      <w:bookmarkStart w:id="7" w:name="_Toc1600"/>
      <w:r>
        <w:rPr>
          <w:rFonts w:ascii="宋体" w:hAnsi="宋体"/>
          <w:sz w:val="44"/>
          <w:szCs w:val="44"/>
        </w:rPr>
        <w:t>目录</w:t>
      </w:r>
    </w:p>
    <w:p>
      <w:pPr>
        <w:pStyle w:val="19"/>
        <w:tabs>
          <w:tab w:val="right" w:leader="dot" w:pos="8836"/>
        </w:tabs>
        <w:spacing w:beforeLines="0" w:afterLines="0" w:line="360" w:lineRule="auto"/>
        <w:rPr>
          <w:rFonts w:hint="eastAsia" w:ascii="宋体" w:hAnsi="宋体" w:eastAsia="宋体" w:cs="宋体"/>
          <w:b/>
          <w:szCs w:val="22"/>
        </w:rPr>
      </w:pPr>
      <w:r>
        <w:rPr>
          <w:rFonts w:hint="eastAsia" w:ascii="宋体" w:hAnsi="宋体" w:eastAsia="宋体" w:cs="宋体"/>
          <w:kern w:val="0"/>
          <w:sz w:val="20"/>
          <w:szCs w:val="20"/>
        </w:rPr>
        <w:fldChar w:fldCharType="begin"/>
      </w:r>
      <w:r>
        <w:rPr>
          <w:rFonts w:hint="eastAsia" w:ascii="宋体" w:hAnsi="宋体" w:eastAsia="宋体" w:cs="宋体"/>
        </w:rPr>
        <w:instrText xml:space="preserve">TOC \o "1-2" \h \u </w:instrText>
      </w:r>
      <w:r>
        <w:rPr>
          <w:rFonts w:hint="eastAsia" w:ascii="宋体" w:hAnsi="宋体" w:eastAsia="宋体" w:cs="宋体"/>
          <w:kern w:val="0"/>
          <w:sz w:val="20"/>
          <w:szCs w:val="20"/>
        </w:rPr>
        <w:fldChar w:fldCharType="separate"/>
      </w:r>
    </w:p>
    <w:p>
      <w:pPr>
        <w:pStyle w:val="19"/>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"_Toc139478041"</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第一部分   报价须知</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_Toc139478041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1</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"_Toc139478042"</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一、项目概况</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_Toc139478042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2</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"_Toc139478043"</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广东财经大学</w:t>
      </w:r>
      <w:r>
        <w:rPr>
          <w:rStyle w:val="35"/>
          <w:rFonts w:hint="eastAsia" w:ascii="宋体" w:hAnsi="宋体" w:cs="宋体"/>
          <w:b/>
          <w:lang w:val="en-US" w:eastAsia="zh-CN"/>
        </w:rPr>
        <w:t>佛山</w:t>
      </w:r>
      <w:r>
        <w:rPr>
          <w:rStyle w:val="35"/>
          <w:rFonts w:hint="eastAsia" w:ascii="宋体" w:hAnsi="宋体" w:eastAsia="宋体" w:cs="宋体"/>
          <w:b/>
          <w:lang w:val="en-US" w:eastAsia="zh-CN"/>
        </w:rPr>
        <w:t>校区2024年小额工程监理服务</w:t>
      </w:r>
      <w:r>
        <w:rPr>
          <w:rStyle w:val="35"/>
          <w:rFonts w:hint="eastAsia" w:ascii="宋体" w:hAnsi="宋体" w:cs="宋体"/>
          <w:b/>
          <w:lang w:val="en-US" w:eastAsia="zh-CN"/>
        </w:rPr>
        <w:t>.</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_Toc139478043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2</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"_Toc139478044"</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二、相关说明</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_Toc139478044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2</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"_Toc139478045"</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三、报价人资格</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_Toc139478045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3</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"_Toc139478046"</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四、报价要求</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_Toc139478046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4</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"_Toc139478047"</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五、报价文件要求</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_Toc139478047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4</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"_Toc139478048"</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六、评审方法及原则</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_Toc139478048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6</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"_Toc139478049"</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七、成交供应商确定</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_Toc139478049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9</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19"/>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"_Toc139478050"</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第二部分、采购需求书</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_Toc139478050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12</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"_Toc139478051"</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一、技术（服务）要求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"_Toc139478052"</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（一）服务期限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_Toc139478052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"_Toc139478053"</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（二）服务内容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_Toc139478053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"_Toc139478054"</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rPr>
        <w:t>（三）工程监理范围及质量要求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_Toc139478054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"_Toc139478055"</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rPr>
        <w:t>1.范围：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"_Toc139478056"</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二、商务要求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"_Toc139478057"</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（一）结算与付款方式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"_Toc139478058"</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（二）违约处罚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Style w:val="35"/>
          <w:rFonts w:hint="eastAsia" w:ascii="宋体" w:hAnsi="宋体" w:eastAsia="宋体" w:cs="宋体"/>
        </w:rPr>
        <w:fldChar w:fldCharType="end"/>
      </w:r>
    </w:p>
    <w:p>
      <w:pPr>
        <w:pStyle w:val="25"/>
        <w:tabs>
          <w:tab w:val="right" w:leader="dot" w:pos="8836"/>
        </w:tabs>
        <w:spacing w:beforeLines="0" w:afterLines="0" w:line="360" w:lineRule="auto"/>
        <w:rPr>
          <w:rFonts w:hint="eastAsia" w:ascii="宋体" w:hAnsi="宋体" w:eastAsia="宋体" w:cs="宋体"/>
          <w:szCs w:val="22"/>
        </w:rPr>
      </w:pPr>
      <w:r>
        <w:rPr>
          <w:rStyle w:val="35"/>
          <w:rFonts w:hint="eastAsia" w:ascii="宋体" w:hAnsi="宋体" w:eastAsia="宋体" w:cs="宋体"/>
        </w:rPr>
        <w:fldChar w:fldCharType="begin"/>
      </w:r>
      <w:r>
        <w:rPr>
          <w:rStyle w:val="35"/>
          <w:rFonts w:hint="eastAsia" w:ascii="宋体" w:hAnsi="宋体" w:eastAsia="宋体" w:cs="宋体"/>
        </w:rPr>
        <w:instrText xml:space="preserve"> </w:instrText>
      </w:r>
      <w:r>
        <w:rPr>
          <w:rFonts w:hint="eastAsia" w:ascii="宋体" w:hAnsi="宋体" w:eastAsia="宋体" w:cs="宋体"/>
        </w:rPr>
        <w:instrText xml:space="preserve">HYPERLINK \l "_Toc139478059"</w:instrText>
      </w:r>
      <w:r>
        <w:rPr>
          <w:rStyle w:val="35"/>
          <w:rFonts w:hint="eastAsia" w:ascii="宋体" w:hAnsi="宋体" w:eastAsia="宋体" w:cs="宋体"/>
        </w:rPr>
        <w:instrText xml:space="preserve"> </w:instrText>
      </w:r>
      <w:r>
        <w:rPr>
          <w:rStyle w:val="35"/>
          <w:rFonts w:hint="eastAsia" w:ascii="宋体" w:hAnsi="宋体" w:eastAsia="宋体" w:cs="宋体"/>
        </w:rPr>
        <w:fldChar w:fldCharType="separate"/>
      </w:r>
      <w:r>
        <w:rPr>
          <w:rStyle w:val="35"/>
          <w:rFonts w:hint="eastAsia" w:ascii="宋体" w:hAnsi="宋体" w:eastAsia="宋体" w:cs="宋体"/>
          <w:b/>
          <w:bCs/>
          <w:kern w:val="0"/>
        </w:rPr>
        <w:t>（三）其他要求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_Toc139478059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Style w:val="35"/>
          <w:rFonts w:hint="eastAsia" w:ascii="宋体" w:hAnsi="宋体" w:eastAsia="宋体" w:cs="宋体"/>
        </w:rPr>
        <w:fldChar w:fldCharType="end"/>
      </w:r>
    </w:p>
    <w:p>
      <w:pPr>
        <w:pStyle w:val="19"/>
        <w:tabs>
          <w:tab w:val="right" w:leader="dot" w:pos="8836"/>
        </w:tabs>
        <w:spacing w:beforeLines="0" w:afterLines="0" w:line="360" w:lineRule="auto"/>
        <w:rPr>
          <w:rFonts w:hint="eastAsia" w:ascii="宋体" w:hAnsi="宋体" w:eastAsia="宋体" w:cs="宋体"/>
          <w:b/>
          <w:szCs w:val="22"/>
        </w:rPr>
      </w:pPr>
      <w:r>
        <w:rPr>
          <w:rStyle w:val="35"/>
          <w:rFonts w:hint="eastAsia" w:ascii="宋体" w:hAnsi="宋体" w:eastAsia="宋体" w:cs="宋体"/>
          <w:b/>
        </w:rPr>
        <w:fldChar w:fldCharType="begin"/>
      </w:r>
      <w:r>
        <w:rPr>
          <w:rStyle w:val="35"/>
          <w:rFonts w:hint="eastAsia" w:ascii="宋体" w:hAnsi="宋体" w:eastAsia="宋体" w:cs="宋体"/>
          <w:b/>
        </w:rPr>
        <w:instrText xml:space="preserve"> </w:instrText>
      </w:r>
      <w:r>
        <w:rPr>
          <w:rFonts w:hint="eastAsia" w:ascii="宋体" w:hAnsi="宋体" w:eastAsia="宋体" w:cs="宋体"/>
          <w:b/>
          <w:color w:val="auto"/>
          <w:u w:val="none"/>
        </w:rPr>
        <w:instrText xml:space="preserve">HYPERLINK \l "_Toc139478060"</w:instrText>
      </w:r>
      <w:r>
        <w:rPr>
          <w:rStyle w:val="35"/>
          <w:rFonts w:hint="eastAsia" w:ascii="宋体" w:hAnsi="宋体" w:eastAsia="宋体" w:cs="宋体"/>
          <w:b/>
        </w:rPr>
        <w:instrText xml:space="preserve"> </w:instrText>
      </w:r>
      <w:r>
        <w:rPr>
          <w:rStyle w:val="35"/>
          <w:rFonts w:hint="eastAsia" w:ascii="宋体" w:hAnsi="宋体" w:eastAsia="宋体" w:cs="宋体"/>
          <w:b/>
        </w:rPr>
        <w:fldChar w:fldCharType="separate"/>
      </w:r>
      <w:r>
        <w:rPr>
          <w:rStyle w:val="35"/>
          <w:rFonts w:hint="eastAsia" w:ascii="宋体" w:hAnsi="宋体" w:eastAsia="宋体" w:cs="宋体"/>
          <w:b/>
        </w:rPr>
        <w:t>第三部分  报价文件格式</w:t>
      </w:r>
      <w:r>
        <w:rPr>
          <w:rFonts w:hint="eastAsia" w:ascii="宋体" w:hAnsi="宋体" w:eastAsia="宋体" w:cs="宋体"/>
          <w:b/>
          <w:color w:val="auto"/>
          <w:u w:val="none"/>
        </w:rPr>
        <w:tab/>
      </w:r>
      <w:r>
        <w:rPr>
          <w:rFonts w:hint="eastAsia" w:ascii="宋体" w:hAnsi="宋体" w:eastAsia="宋体" w:cs="宋体"/>
          <w:b/>
          <w:color w:val="auto"/>
          <w:u w:val="none"/>
        </w:rPr>
        <w:fldChar w:fldCharType="begin"/>
      </w:r>
      <w:r>
        <w:rPr>
          <w:rFonts w:hint="eastAsia" w:ascii="宋体" w:hAnsi="宋体" w:eastAsia="宋体" w:cs="宋体"/>
          <w:b/>
          <w:color w:val="auto"/>
          <w:u w:val="none"/>
        </w:rPr>
        <w:instrText xml:space="preserve"> PAGEREF _Toc139478060 \h </w:instrText>
      </w:r>
      <w:r>
        <w:rPr>
          <w:rFonts w:hint="eastAsia" w:ascii="宋体" w:hAnsi="宋体" w:eastAsia="宋体" w:cs="宋体"/>
          <w:b/>
          <w:color w:val="auto"/>
          <w:u w:val="none"/>
        </w:rPr>
        <w:fldChar w:fldCharType="separate"/>
      </w:r>
      <w:r>
        <w:rPr>
          <w:rFonts w:hint="eastAsia" w:ascii="宋体" w:hAnsi="宋体" w:eastAsia="宋体" w:cs="宋体"/>
          <w:b/>
          <w:color w:val="auto"/>
          <w:u w:val="none"/>
        </w:rPr>
        <w:t>19</w:t>
      </w:r>
      <w:r>
        <w:rPr>
          <w:rFonts w:hint="eastAsia" w:ascii="宋体" w:hAnsi="宋体" w:eastAsia="宋体" w:cs="宋体"/>
          <w:b/>
          <w:color w:val="auto"/>
          <w:u w:val="none"/>
        </w:rPr>
        <w:fldChar w:fldCharType="end"/>
      </w:r>
      <w:r>
        <w:rPr>
          <w:rStyle w:val="35"/>
          <w:rFonts w:hint="eastAsia" w:ascii="宋体" w:hAnsi="宋体" w:eastAsia="宋体" w:cs="宋体"/>
          <w:b/>
        </w:rPr>
        <w:fldChar w:fldCharType="end"/>
      </w:r>
    </w:p>
    <w:p>
      <w:pPr>
        <w:pStyle w:val="3"/>
      </w:pPr>
      <w:r>
        <w:rPr>
          <w:rFonts w:hint="eastAsia" w:ascii="宋体" w:hAnsi="宋体" w:eastAsia="宋体" w:cs="宋体"/>
          <w:b/>
        </w:rPr>
        <w:fldChar w:fldCharType="end"/>
      </w:r>
      <w:r>
        <w:rPr>
          <w:rFonts w:ascii="宋体" w:hAnsi="宋体"/>
          <w:b/>
        </w:rPr>
        <w:t xml:space="preserve"> </w:t>
      </w:r>
    </w:p>
    <w:p/>
    <w:p/>
    <w:p>
      <w:pPr>
        <w:pStyle w:val="3"/>
        <w:jc w:val="both"/>
        <w:sectPr>
          <w:headerReference r:id="rId11" w:type="first"/>
          <w:footerReference r:id="rId14" w:type="first"/>
          <w:headerReference r:id="rId9" w:type="default"/>
          <w:footerReference r:id="rId12" w:type="default"/>
          <w:headerReference r:id="rId10" w:type="even"/>
          <w:footerReference r:id="rId13" w:type="even"/>
          <w:pgSz w:w="11907" w:h="16840"/>
          <w:pgMar w:top="2098" w:right="1474" w:bottom="2098" w:left="1587" w:header="851" w:footer="992" w:gutter="0"/>
          <w:pgNumType w:start="1" w:chapStyle="1"/>
          <w:cols w:space="720" w:num="1"/>
          <w:titlePg/>
          <w:docGrid w:type="lines" w:linePitch="312" w:charSpace="0"/>
        </w:sectPr>
      </w:pPr>
    </w:p>
    <w:p>
      <w:pPr>
        <w:pStyle w:val="3"/>
        <w:ind w:firstLine="442" w:firstLineChars="100"/>
      </w:pPr>
      <w:bookmarkStart w:id="8" w:name="_Toc139478041"/>
      <w:r>
        <w:t xml:space="preserve">第一部分   </w:t>
      </w:r>
      <w:r>
        <w:rPr>
          <w:rFonts w:hint="eastAsia"/>
        </w:rPr>
        <w:t>报价</w:t>
      </w:r>
      <w:r>
        <w:t>须知</w:t>
      </w:r>
      <w:bookmarkEnd w:id="3"/>
      <w:bookmarkEnd w:id="4"/>
      <w:bookmarkEnd w:id="5"/>
      <w:bookmarkEnd w:id="6"/>
      <w:bookmarkEnd w:id="7"/>
      <w:bookmarkEnd w:id="8"/>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w:t>
      </w:r>
      <w:r>
        <w:rPr>
          <w:rFonts w:hint="eastAsia" w:ascii="宋体" w:hAnsi="宋体"/>
          <w:sz w:val="28"/>
          <w:szCs w:val="28"/>
          <w:lang w:val="en-US" w:eastAsia="zh-CN"/>
        </w:rPr>
        <w:t>询价邀请函</w:t>
      </w:r>
      <w:r>
        <w:rPr>
          <w:rFonts w:hint="eastAsia" w:ascii="宋体" w:hAnsi="宋体"/>
          <w:sz w:val="28"/>
          <w:szCs w:val="28"/>
        </w:rPr>
        <w:t>、采购书的规定和要求提交报价文件，否则，责任自负。）</w:t>
      </w:r>
    </w:p>
    <w:p>
      <w:pPr>
        <w:pStyle w:val="4"/>
        <w:spacing w:line="560" w:lineRule="exact"/>
      </w:pPr>
      <w:bookmarkStart w:id="9" w:name="_Toc60236698"/>
      <w:bookmarkStart w:id="10" w:name="_Toc508103351"/>
      <w:bookmarkStart w:id="11" w:name="_Toc22957"/>
      <w:bookmarkStart w:id="12" w:name="_Toc12395"/>
      <w:bookmarkStart w:id="13" w:name="_Toc139478042"/>
      <w:r>
        <w:rPr>
          <w:rFonts w:hint="eastAsia"/>
        </w:rPr>
        <w:t>一、项目</w:t>
      </w:r>
      <w:bookmarkEnd w:id="9"/>
      <w:bookmarkEnd w:id="10"/>
      <w:r>
        <w:rPr>
          <w:rFonts w:hint="eastAsia"/>
        </w:rPr>
        <w:t>概况</w:t>
      </w:r>
      <w:bookmarkEnd w:id="11"/>
      <w:bookmarkEnd w:id="12"/>
      <w:bookmarkEnd w:id="13"/>
    </w:p>
    <w:p>
      <w:pPr>
        <w:pStyle w:val="4"/>
        <w:spacing w:before="0" w:after="0" w:line="360" w:lineRule="auto"/>
        <w:ind w:firstLine="560" w:firstLineChars="200"/>
        <w:rPr>
          <w:rFonts w:hint="default" w:ascii="宋体" w:hAnsi="宋体" w:eastAsia="宋体"/>
          <w:b w:val="0"/>
          <w:bCs w:val="0"/>
          <w:kern w:val="2"/>
          <w:szCs w:val="28"/>
          <w:lang w:val="en-US" w:eastAsia="zh-CN"/>
        </w:rPr>
      </w:pPr>
      <w:bookmarkStart w:id="14" w:name="_Toc26070"/>
      <w:bookmarkStart w:id="15" w:name="_Toc713"/>
      <w:bookmarkStart w:id="16" w:name="_Toc18305"/>
      <w:bookmarkStart w:id="17" w:name="_Toc26646"/>
      <w:bookmarkStart w:id="18" w:name="_Toc31014"/>
      <w:bookmarkStart w:id="19" w:name="_Toc21905"/>
      <w:bookmarkStart w:id="20" w:name="_Toc139478043"/>
      <w:bookmarkStart w:id="21" w:name="_Toc31075"/>
      <w:bookmarkStart w:id="22" w:name="_Toc60236699"/>
      <w:bookmarkStart w:id="23" w:name="_Toc508103352"/>
      <w:bookmarkStart w:id="24" w:name="_Toc7854"/>
      <w:bookmarkStart w:id="25" w:name="_Toc2191"/>
      <w:bookmarkStart w:id="26" w:name="_Toc139478044"/>
      <w:r>
        <w:rPr>
          <w:rFonts w:hint="default" w:ascii="宋体" w:hAnsi="宋体" w:eastAsia="宋体"/>
          <w:b w:val="0"/>
          <w:bCs w:val="0"/>
          <w:kern w:val="2"/>
          <w:szCs w:val="28"/>
          <w:lang w:val="en-US" w:eastAsia="zh-CN"/>
        </w:rPr>
        <w:t>1.为广东财经大学</w:t>
      </w:r>
      <w:r>
        <w:rPr>
          <w:rFonts w:hint="eastAsia" w:ascii="宋体" w:hAnsi="宋体"/>
          <w:b w:val="0"/>
          <w:bCs w:val="0"/>
          <w:kern w:val="2"/>
          <w:szCs w:val="28"/>
          <w:lang w:val="en-US" w:eastAsia="zh-CN"/>
        </w:rPr>
        <w:t>佛山</w:t>
      </w:r>
      <w:r>
        <w:rPr>
          <w:rFonts w:hint="default" w:ascii="宋体" w:hAnsi="宋体" w:eastAsia="宋体"/>
          <w:b w:val="0"/>
          <w:bCs w:val="0"/>
          <w:kern w:val="2"/>
          <w:szCs w:val="28"/>
          <w:lang w:val="en-US" w:eastAsia="zh-CN"/>
        </w:rPr>
        <w:t>校区2024年小额工程提供施工监理服务，</w:t>
      </w:r>
      <w:bookmarkEnd w:id="14"/>
      <w:bookmarkEnd w:id="15"/>
      <w:bookmarkEnd w:id="16"/>
      <w:bookmarkEnd w:id="17"/>
      <w:bookmarkEnd w:id="18"/>
      <w:bookmarkEnd w:id="19"/>
      <w:bookmarkEnd w:id="20"/>
      <w:bookmarkEnd w:id="21"/>
      <w:r>
        <w:rPr>
          <w:rFonts w:hint="default" w:ascii="宋体" w:hAnsi="宋体" w:eastAsia="宋体"/>
          <w:b w:val="0"/>
          <w:bCs w:val="0"/>
          <w:kern w:val="2"/>
          <w:szCs w:val="28"/>
          <w:lang w:val="en-US" w:eastAsia="zh-CN"/>
        </w:rPr>
        <w:t>小额工程累计总造价约</w:t>
      </w:r>
      <w:r>
        <w:rPr>
          <w:rFonts w:hint="eastAsia" w:ascii="宋体" w:hAnsi="宋体"/>
          <w:b w:val="0"/>
          <w:bCs w:val="0"/>
          <w:kern w:val="2"/>
          <w:szCs w:val="28"/>
          <w:lang w:val="en-US" w:eastAsia="zh-CN"/>
        </w:rPr>
        <w:t>250</w:t>
      </w:r>
      <w:r>
        <w:rPr>
          <w:rFonts w:hint="default" w:ascii="宋体" w:hAnsi="宋体" w:eastAsia="宋体"/>
          <w:b w:val="0"/>
          <w:bCs w:val="0"/>
          <w:kern w:val="2"/>
          <w:szCs w:val="28"/>
          <w:lang w:val="en-US" w:eastAsia="zh-CN"/>
        </w:rPr>
        <w:t>万元</w:t>
      </w:r>
      <w:r>
        <w:rPr>
          <w:rFonts w:hint="eastAsia" w:ascii="Times New Roman" w:hAnsi="Times New Roman" w:eastAsia="宋体" w:cs="Times New Roman"/>
          <w:sz w:val="28"/>
          <w:szCs w:val="28"/>
          <w:lang w:val="en-US" w:eastAsia="zh-CN"/>
        </w:rPr>
        <w:t>（含50万元以上100万元以下项目）</w:t>
      </w:r>
      <w:r>
        <w:rPr>
          <w:rFonts w:hint="eastAsia" w:ascii="宋体" w:hAnsi="宋体"/>
          <w:b w:val="0"/>
          <w:bCs w:val="0"/>
          <w:kern w:val="2"/>
          <w:szCs w:val="28"/>
          <w:lang w:val="en-US" w:eastAsia="zh-CN"/>
        </w:rPr>
        <w:t>，</w:t>
      </w:r>
      <w:r>
        <w:rPr>
          <w:rFonts w:hint="default" w:ascii="宋体" w:hAnsi="宋体" w:eastAsia="宋体"/>
          <w:b w:val="0"/>
          <w:bCs w:val="0"/>
          <w:kern w:val="2"/>
          <w:szCs w:val="28"/>
          <w:lang w:val="en-US" w:eastAsia="zh-CN"/>
        </w:rPr>
        <w:t>全年约</w:t>
      </w:r>
      <w:r>
        <w:rPr>
          <w:rFonts w:hint="eastAsia" w:ascii="宋体" w:hAnsi="宋体"/>
          <w:b w:val="0"/>
          <w:bCs w:val="0"/>
          <w:kern w:val="2"/>
          <w:szCs w:val="28"/>
          <w:lang w:val="en-US" w:eastAsia="zh-CN"/>
        </w:rPr>
        <w:t>35</w:t>
      </w:r>
      <w:r>
        <w:rPr>
          <w:rFonts w:hint="default" w:ascii="宋体" w:hAnsi="宋体" w:eastAsia="宋体"/>
          <w:b w:val="0"/>
          <w:bCs w:val="0"/>
          <w:kern w:val="2"/>
          <w:szCs w:val="28"/>
          <w:lang w:val="en-US" w:eastAsia="zh-CN"/>
        </w:rPr>
        <w:t>个工程项目（包含单项1万元</w:t>
      </w:r>
      <w:r>
        <w:rPr>
          <w:rFonts w:hint="eastAsia" w:ascii="宋体" w:hAnsi="宋体"/>
          <w:b w:val="0"/>
          <w:bCs w:val="0"/>
          <w:kern w:val="2"/>
          <w:szCs w:val="28"/>
          <w:lang w:val="en-US" w:eastAsia="zh-CN"/>
        </w:rPr>
        <w:t>（不含1万元）</w:t>
      </w:r>
      <w:r>
        <w:rPr>
          <w:rFonts w:hint="default" w:ascii="宋体" w:hAnsi="宋体" w:eastAsia="宋体"/>
          <w:b w:val="0"/>
          <w:bCs w:val="0"/>
          <w:kern w:val="2"/>
          <w:szCs w:val="28"/>
          <w:lang w:val="en-US" w:eastAsia="zh-CN"/>
        </w:rPr>
        <w:t>以下零星维修项目，每个月零星维修项目当一个</w:t>
      </w:r>
      <w:r>
        <w:rPr>
          <w:rFonts w:hint="eastAsia" w:ascii="宋体" w:hAnsi="宋体"/>
          <w:b w:val="0"/>
          <w:bCs w:val="0"/>
          <w:kern w:val="2"/>
          <w:szCs w:val="28"/>
          <w:lang w:val="en-US" w:eastAsia="zh-CN"/>
        </w:rPr>
        <w:t>工程</w:t>
      </w:r>
      <w:r>
        <w:rPr>
          <w:rFonts w:hint="default" w:ascii="宋体" w:hAnsi="宋体" w:eastAsia="宋体"/>
          <w:b w:val="0"/>
          <w:bCs w:val="0"/>
          <w:kern w:val="2"/>
          <w:szCs w:val="28"/>
          <w:lang w:val="en-US" w:eastAsia="zh-CN"/>
        </w:rPr>
        <w:t>项目来监理，一年12个月，按12个项目计）。</w:t>
      </w:r>
    </w:p>
    <w:p>
      <w:pPr>
        <w:pStyle w:val="4"/>
        <w:spacing w:before="0" w:after="0" w:line="360" w:lineRule="auto"/>
        <w:ind w:firstLine="560" w:firstLineChars="200"/>
        <w:rPr>
          <w:rFonts w:hint="default" w:ascii="宋体" w:hAnsi="宋体" w:eastAsia="宋体"/>
          <w:b w:val="0"/>
          <w:bCs w:val="0"/>
          <w:kern w:val="2"/>
          <w:szCs w:val="28"/>
          <w:lang w:val="en-US" w:eastAsia="zh-CN"/>
        </w:rPr>
      </w:pPr>
      <w:r>
        <w:rPr>
          <w:rFonts w:hint="default" w:ascii="宋体" w:hAnsi="宋体" w:eastAsia="宋体"/>
          <w:b w:val="0"/>
          <w:bCs w:val="0"/>
          <w:kern w:val="2"/>
          <w:szCs w:val="28"/>
          <w:lang w:val="en-US" w:eastAsia="zh-CN"/>
        </w:rPr>
        <w:t>2.单项1万元（不含1万元）以下零星维修项目，主要解决师生报修，确保校区教学、学习、生活的正常运转，即报即修，做好后勤维修服务保障，具体维修内容含：</w:t>
      </w:r>
    </w:p>
    <w:p>
      <w:pPr>
        <w:pStyle w:val="4"/>
        <w:spacing w:before="0" w:after="0" w:line="360" w:lineRule="auto"/>
        <w:ind w:firstLine="560" w:firstLineChars="200"/>
        <w:rPr>
          <w:rFonts w:hint="default" w:ascii="宋体" w:hAnsi="宋体" w:eastAsia="宋体"/>
          <w:b w:val="0"/>
          <w:bCs w:val="0"/>
          <w:kern w:val="2"/>
          <w:szCs w:val="28"/>
          <w:lang w:val="en-US" w:eastAsia="zh-CN"/>
        </w:rPr>
      </w:pPr>
      <w:r>
        <w:rPr>
          <w:rFonts w:hint="default" w:ascii="宋体" w:hAnsi="宋体" w:eastAsia="宋体"/>
          <w:b w:val="0"/>
          <w:bCs w:val="0"/>
          <w:kern w:val="2"/>
          <w:szCs w:val="28"/>
          <w:lang w:val="en-US" w:eastAsia="zh-CN"/>
        </w:rPr>
        <w:t>（1）土木维修类：门窗更换，墙、楼地面铲、刮腻子及油漆，天棚、刮腻子及油漆，天棚吊顶（石膏板、铝扣板等），洗手台维修，屋面防水，厕所补漏，墙、楼地面块料修复，木地板（静电地板）维修，校园道路，围墙，设施设备基础等维修（以采购人派单内容为准）；</w:t>
      </w:r>
    </w:p>
    <w:p>
      <w:pPr>
        <w:pStyle w:val="4"/>
        <w:spacing w:before="0" w:after="0" w:line="360" w:lineRule="auto"/>
        <w:ind w:firstLine="560" w:firstLineChars="200"/>
        <w:rPr>
          <w:rFonts w:hint="default" w:ascii="宋体" w:hAnsi="宋体" w:eastAsia="宋体"/>
          <w:b w:val="0"/>
          <w:bCs w:val="0"/>
          <w:kern w:val="2"/>
          <w:szCs w:val="28"/>
          <w:lang w:val="en-US" w:eastAsia="zh-CN"/>
        </w:rPr>
      </w:pPr>
      <w:r>
        <w:rPr>
          <w:rFonts w:hint="default" w:ascii="宋体" w:hAnsi="宋体" w:eastAsia="宋体"/>
          <w:b w:val="0"/>
          <w:bCs w:val="0"/>
          <w:kern w:val="2"/>
          <w:szCs w:val="28"/>
          <w:lang w:val="en-US" w:eastAsia="zh-CN"/>
        </w:rPr>
        <w:t>（2）水电维修类：各种水电设施设备的维修，如供水管网，供电线路，排水排污管道，设施设备等维修（以采购人派单内容为准）；</w:t>
      </w:r>
    </w:p>
    <w:p>
      <w:pPr>
        <w:pStyle w:val="4"/>
        <w:spacing w:before="0" w:after="0" w:line="360" w:lineRule="auto"/>
        <w:ind w:firstLine="560" w:firstLineChars="200"/>
        <w:rPr>
          <w:rFonts w:hint="default" w:ascii="宋体" w:hAnsi="宋体" w:eastAsia="宋体"/>
          <w:b w:val="0"/>
          <w:bCs w:val="0"/>
          <w:kern w:val="2"/>
          <w:szCs w:val="28"/>
          <w:lang w:val="en-US" w:eastAsia="zh-CN"/>
        </w:rPr>
      </w:pPr>
      <w:r>
        <w:rPr>
          <w:rFonts w:hint="default" w:ascii="宋体" w:hAnsi="宋体" w:eastAsia="宋体"/>
          <w:b w:val="0"/>
          <w:bCs w:val="0"/>
          <w:kern w:val="2"/>
          <w:szCs w:val="28"/>
          <w:lang w:val="en-US" w:eastAsia="zh-CN"/>
        </w:rPr>
        <w:t>（3）新增或加装的零星项目。</w:t>
      </w:r>
    </w:p>
    <w:p>
      <w:pPr>
        <w:rPr>
          <w:rFonts w:hint="default"/>
          <w:lang w:val="en-US" w:eastAsia="zh-CN"/>
        </w:rPr>
      </w:pPr>
      <w:r>
        <w:rPr>
          <w:rFonts w:hint="eastAsia" w:ascii="宋体" w:hAnsi="宋体"/>
          <w:b w:val="0"/>
          <w:bCs w:val="0"/>
          <w:kern w:val="2"/>
          <w:szCs w:val="28"/>
          <w:lang w:val="en-US" w:eastAsia="zh-CN"/>
        </w:rPr>
        <w:t xml:space="preserve">   </w:t>
      </w:r>
      <w:r>
        <w:rPr>
          <w:rFonts w:hint="eastAsia" w:ascii="宋体" w:hAnsi="宋体" w:eastAsia="宋体" w:cs="Times New Roman"/>
          <w:b w:val="0"/>
          <w:bCs w:val="0"/>
          <w:kern w:val="2"/>
          <w:sz w:val="28"/>
          <w:szCs w:val="28"/>
          <w:lang w:val="en-US" w:eastAsia="zh-CN" w:bidi="ar-SA"/>
        </w:rPr>
        <w:t xml:space="preserve"> 3.单项在50万元以上（含50万元）100万元以下的项目，主要是解决校区重要且急需的项目建设，年均约2-3个，具体以每年立项实施的情况为准。</w:t>
      </w:r>
    </w:p>
    <w:p>
      <w:pPr>
        <w:pStyle w:val="4"/>
        <w:spacing w:before="0" w:after="0" w:line="360" w:lineRule="auto"/>
        <w:ind w:firstLine="560" w:firstLineChars="200"/>
        <w:rPr>
          <w:rFonts w:hint="default" w:ascii="宋体" w:hAnsi="宋体" w:eastAsia="宋体"/>
          <w:b w:val="0"/>
          <w:bCs w:val="0"/>
          <w:kern w:val="2"/>
          <w:szCs w:val="28"/>
          <w:lang w:val="en-US" w:eastAsia="zh-CN"/>
        </w:rPr>
      </w:pPr>
      <w:r>
        <w:rPr>
          <w:rFonts w:hint="eastAsia" w:ascii="宋体" w:hAnsi="宋体"/>
          <w:b w:val="0"/>
          <w:bCs w:val="0"/>
          <w:kern w:val="2"/>
          <w:szCs w:val="28"/>
          <w:lang w:val="en-US" w:eastAsia="zh-CN"/>
        </w:rPr>
        <w:t>4</w:t>
      </w:r>
      <w:r>
        <w:rPr>
          <w:rFonts w:hint="default" w:ascii="宋体" w:hAnsi="宋体" w:eastAsia="宋体"/>
          <w:b w:val="0"/>
          <w:bCs w:val="0"/>
          <w:kern w:val="2"/>
          <w:szCs w:val="28"/>
          <w:lang w:val="en-US" w:eastAsia="zh-CN"/>
        </w:rPr>
        <w:t>.</w:t>
      </w:r>
      <w:r>
        <w:rPr>
          <w:rFonts w:hint="default" w:ascii="宋体" w:hAnsi="宋体" w:eastAsia="宋体"/>
          <w:b w:val="0"/>
          <w:bCs w:val="0"/>
          <w:color w:val="auto"/>
          <w:kern w:val="2"/>
          <w:szCs w:val="28"/>
          <w:lang w:val="en-US" w:eastAsia="zh-CN"/>
        </w:rPr>
        <w:t>本项目采购预算控制价</w:t>
      </w:r>
      <w:r>
        <w:rPr>
          <w:rFonts w:hint="eastAsia" w:ascii="宋体" w:hAnsi="宋体"/>
          <w:b w:val="0"/>
          <w:bCs w:val="0"/>
          <w:color w:val="auto"/>
          <w:kern w:val="2"/>
          <w:szCs w:val="28"/>
          <w:lang w:val="en-US" w:eastAsia="zh-CN"/>
        </w:rPr>
        <w:t>95000.00</w:t>
      </w:r>
      <w:r>
        <w:rPr>
          <w:rFonts w:hint="default" w:ascii="宋体" w:hAnsi="宋体" w:eastAsia="宋体"/>
          <w:b w:val="0"/>
          <w:bCs w:val="0"/>
          <w:color w:val="auto"/>
          <w:kern w:val="2"/>
          <w:szCs w:val="28"/>
          <w:lang w:val="en-US" w:eastAsia="zh-CN"/>
        </w:rPr>
        <w:t>元，</w:t>
      </w:r>
      <w:r>
        <w:rPr>
          <w:rFonts w:hint="default" w:ascii="宋体" w:hAnsi="宋体" w:eastAsia="宋体"/>
          <w:b w:val="0"/>
          <w:bCs w:val="0"/>
          <w:kern w:val="2"/>
          <w:szCs w:val="28"/>
          <w:lang w:val="en-US" w:eastAsia="zh-CN"/>
        </w:rPr>
        <w:t>服务期：1年。</w:t>
      </w:r>
      <w:bookmarkStart w:id="71" w:name="_GoBack"/>
      <w:bookmarkEnd w:id="71"/>
    </w:p>
    <w:p>
      <w:pPr>
        <w:pStyle w:val="4"/>
        <w:spacing w:line="560" w:lineRule="exact"/>
      </w:pPr>
      <w:r>
        <w:rPr>
          <w:rFonts w:hint="eastAsia"/>
        </w:rPr>
        <w:t>二、相关说明</w:t>
      </w:r>
      <w:bookmarkEnd w:id="22"/>
      <w:bookmarkEnd w:id="23"/>
      <w:bookmarkEnd w:id="24"/>
      <w:bookmarkEnd w:id="25"/>
      <w:bookmarkEnd w:id="26"/>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采购职能部门组织的询价</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4"/>
        <w:spacing w:line="560" w:lineRule="exact"/>
      </w:pPr>
      <w:bookmarkStart w:id="27" w:name="_Toc5774"/>
      <w:bookmarkStart w:id="28" w:name="_Toc27722"/>
      <w:bookmarkStart w:id="29" w:name="_Toc139478045"/>
      <w:bookmarkStart w:id="30" w:name="_Toc508103353"/>
      <w:bookmarkStart w:id="31" w:name="_Toc60236700"/>
      <w:r>
        <w:rPr>
          <w:rFonts w:hint="eastAsia"/>
        </w:rPr>
        <w:t>三、报价人</w:t>
      </w:r>
      <w:r>
        <w:t>资格</w:t>
      </w:r>
      <w:bookmarkEnd w:id="27"/>
      <w:bookmarkEnd w:id="28"/>
      <w:bookmarkEnd w:id="29"/>
      <w:bookmarkEnd w:id="30"/>
      <w:bookmarkEnd w:id="31"/>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ascii="宋体" w:hAnsi="宋体"/>
          <w:sz w:val="28"/>
          <w:szCs w:val="28"/>
        </w:rPr>
      </w:pPr>
      <w:r>
        <w:rPr>
          <w:rFonts w:hint="eastAsia" w:ascii="宋体" w:hAnsi="宋体"/>
          <w:sz w:val="28"/>
          <w:szCs w:val="28"/>
        </w:rPr>
        <w:t>（三）公司应具有工程监理综合资质或房屋建筑工程监理专业资质乙级（含乙级）或以上资质，并在有效期内。</w:t>
      </w:r>
    </w:p>
    <w:p>
      <w:pPr>
        <w:adjustRightInd/>
        <w:snapToGrid/>
        <w:spacing w:line="560" w:lineRule="exact"/>
        <w:ind w:firstLine="560" w:firstLineChars="200"/>
        <w:rPr>
          <w:rFonts w:hint="eastAsia" w:ascii="宋体" w:hAnsi="宋体" w:eastAsia="宋体"/>
          <w:sz w:val="28"/>
          <w:szCs w:val="28"/>
          <w:lang w:val="en-US" w:eastAsia="zh-CN"/>
        </w:rPr>
      </w:pPr>
      <w:r>
        <w:rPr>
          <w:rFonts w:hint="eastAsia" w:ascii="宋体" w:hAnsi="宋体"/>
          <w:kern w:val="2"/>
          <w:sz w:val="28"/>
          <w:szCs w:val="28"/>
          <w:lang w:eastAsia="zh-CN"/>
        </w:rPr>
        <w:t>（</w:t>
      </w:r>
      <w:r>
        <w:rPr>
          <w:rFonts w:hint="eastAsia" w:ascii="宋体" w:hAnsi="宋体"/>
          <w:kern w:val="2"/>
          <w:sz w:val="28"/>
          <w:szCs w:val="28"/>
          <w:lang w:val="en-US" w:eastAsia="zh-CN"/>
        </w:rPr>
        <w:t>四</w:t>
      </w:r>
      <w:r>
        <w:rPr>
          <w:rFonts w:hint="eastAsia" w:ascii="宋体" w:hAnsi="宋体"/>
          <w:kern w:val="2"/>
          <w:sz w:val="28"/>
          <w:szCs w:val="28"/>
          <w:lang w:eastAsia="zh-CN"/>
        </w:rPr>
        <w:t>）</w:t>
      </w:r>
      <w:r>
        <w:rPr>
          <w:rFonts w:hint="eastAsia" w:ascii="宋体" w:hAnsi="宋体"/>
          <w:sz w:val="28"/>
          <w:szCs w:val="28"/>
          <w:lang w:val="en-US" w:eastAsia="zh-CN"/>
        </w:rPr>
        <w:t>委派项目现场监理</w:t>
      </w:r>
      <w:r>
        <w:rPr>
          <w:rFonts w:hint="eastAsia" w:ascii="宋体" w:hAnsi="宋体" w:eastAsia="宋体"/>
          <w:sz w:val="28"/>
          <w:szCs w:val="28"/>
          <w:lang w:val="en-US" w:eastAsia="zh-CN"/>
        </w:rPr>
        <w:t>常驻</w:t>
      </w:r>
      <w:r>
        <w:rPr>
          <w:rFonts w:hint="eastAsia" w:ascii="宋体" w:hAnsi="宋体"/>
          <w:sz w:val="28"/>
          <w:szCs w:val="28"/>
          <w:lang w:val="en-US" w:eastAsia="zh-CN"/>
        </w:rPr>
        <w:t>1</w:t>
      </w:r>
      <w:r>
        <w:rPr>
          <w:rFonts w:hint="eastAsia" w:ascii="宋体" w:hAnsi="宋体" w:eastAsia="宋体"/>
          <w:sz w:val="28"/>
          <w:szCs w:val="28"/>
          <w:lang w:val="en-US" w:eastAsia="zh-CN"/>
        </w:rPr>
        <w:t>人</w:t>
      </w:r>
      <w:r>
        <w:rPr>
          <w:rFonts w:hint="eastAsia" w:ascii="宋体" w:hAnsi="宋体"/>
          <w:sz w:val="28"/>
          <w:szCs w:val="28"/>
          <w:lang w:val="en-US" w:eastAsia="zh-CN"/>
        </w:rPr>
        <w:t>，需具备房屋建筑中级</w:t>
      </w:r>
      <w:r>
        <w:rPr>
          <w:rFonts w:hint="eastAsia" w:ascii="宋体" w:hAnsi="宋体" w:eastAsia="宋体"/>
          <w:sz w:val="28"/>
          <w:szCs w:val="28"/>
          <w:lang w:val="en-US" w:eastAsia="zh-CN"/>
        </w:rPr>
        <w:t>工程师职称</w:t>
      </w:r>
      <w:r>
        <w:rPr>
          <w:rFonts w:hint="eastAsia" w:ascii="宋体" w:hAnsi="宋体"/>
          <w:sz w:val="28"/>
          <w:szCs w:val="28"/>
          <w:lang w:val="en-US" w:eastAsia="zh-CN"/>
        </w:rPr>
        <w:t>或</w:t>
      </w:r>
      <w:r>
        <w:rPr>
          <w:rFonts w:hint="eastAsia" w:ascii="宋体" w:hAnsi="宋体" w:eastAsia="宋体"/>
          <w:sz w:val="28"/>
          <w:szCs w:val="28"/>
          <w:lang w:val="en-US" w:eastAsia="zh-CN"/>
        </w:rPr>
        <w:t>具备机电安装</w:t>
      </w:r>
      <w:r>
        <w:rPr>
          <w:rFonts w:hint="eastAsia" w:ascii="宋体" w:hAnsi="宋体"/>
          <w:sz w:val="28"/>
          <w:szCs w:val="28"/>
          <w:lang w:val="en-US" w:eastAsia="zh-CN"/>
        </w:rPr>
        <w:t>或</w:t>
      </w:r>
      <w:r>
        <w:rPr>
          <w:rFonts w:hint="eastAsia" w:ascii="宋体" w:hAnsi="宋体" w:eastAsia="宋体"/>
          <w:sz w:val="28"/>
          <w:szCs w:val="28"/>
          <w:lang w:val="en-US" w:eastAsia="zh-CN"/>
        </w:rPr>
        <w:t>具备建筑类助理工程师职称）</w:t>
      </w:r>
      <w:r>
        <w:rPr>
          <w:rFonts w:hint="eastAsia" w:ascii="宋体" w:hAnsi="宋体"/>
          <w:sz w:val="28"/>
          <w:szCs w:val="28"/>
          <w:lang w:val="en-US" w:eastAsia="zh-CN"/>
        </w:rPr>
        <w:t>。</w:t>
      </w:r>
    </w:p>
    <w:p>
      <w:pPr>
        <w:adjustRightInd/>
        <w:snapToGrid/>
        <w:spacing w:line="560" w:lineRule="exact"/>
        <w:ind w:firstLine="560" w:firstLineChars="200"/>
        <w:rPr>
          <w:rFonts w:hint="eastAsia" w:ascii="宋体" w:hAnsi="宋体" w:eastAsia="宋体"/>
          <w:sz w:val="28"/>
          <w:szCs w:val="28"/>
          <w:lang w:val="en-US" w:eastAsia="zh-CN"/>
        </w:rPr>
      </w:pPr>
      <w:r>
        <w:rPr>
          <w:rFonts w:hint="eastAsia" w:ascii="宋体" w:hAnsi="宋体"/>
          <w:kern w:val="2"/>
          <w:sz w:val="28"/>
          <w:szCs w:val="28"/>
          <w:lang w:eastAsia="zh-CN"/>
        </w:rPr>
        <w:t>（</w:t>
      </w:r>
      <w:r>
        <w:rPr>
          <w:rFonts w:hint="eastAsia" w:ascii="宋体" w:hAnsi="宋体"/>
          <w:kern w:val="2"/>
          <w:sz w:val="28"/>
          <w:szCs w:val="28"/>
          <w:lang w:val="en-US" w:eastAsia="zh-CN"/>
        </w:rPr>
        <w:t>五</w:t>
      </w:r>
      <w:r>
        <w:rPr>
          <w:rFonts w:hint="eastAsia" w:ascii="宋体" w:hAnsi="宋体"/>
          <w:kern w:val="2"/>
          <w:sz w:val="28"/>
          <w:szCs w:val="28"/>
          <w:lang w:eastAsia="zh-CN"/>
        </w:rPr>
        <w:t>）</w:t>
      </w:r>
      <w:r>
        <w:rPr>
          <w:rFonts w:hint="eastAsia" w:ascii="宋体" w:hAnsi="宋体"/>
          <w:sz w:val="28"/>
          <w:szCs w:val="28"/>
          <w:lang w:val="en-US" w:eastAsia="zh-CN"/>
        </w:rPr>
        <w:t>报价人需入驻广东省网上中介服务超市。</w:t>
      </w:r>
    </w:p>
    <w:p>
      <w:pPr>
        <w:pStyle w:val="7"/>
        <w:ind w:firstLine="400" w:firstLineChars="200"/>
        <w:rPr>
          <w:rFonts w:hint="eastAsia"/>
          <w:lang w:val="en-US" w:eastAsia="zh-CN"/>
        </w:rPr>
      </w:pPr>
    </w:p>
    <w:p>
      <w:pPr>
        <w:pStyle w:val="4"/>
        <w:spacing w:line="560" w:lineRule="exact"/>
      </w:pPr>
      <w:bookmarkStart w:id="32" w:name="_Toc60236701"/>
      <w:bookmarkStart w:id="33" w:name="_Toc139478046"/>
      <w:bookmarkStart w:id="34" w:name="_Toc26296"/>
      <w:bookmarkStart w:id="35" w:name="_Toc508103354"/>
      <w:bookmarkStart w:id="36" w:name="_Toc20672"/>
      <w:r>
        <w:rPr>
          <w:rFonts w:hint="eastAsia"/>
        </w:rPr>
        <w:t>四、</w:t>
      </w:r>
      <w:r>
        <w:t>报价要求</w:t>
      </w:r>
      <w:bookmarkEnd w:id="32"/>
      <w:bookmarkEnd w:id="33"/>
      <w:bookmarkEnd w:id="34"/>
      <w:bookmarkEnd w:id="35"/>
      <w:bookmarkEnd w:id="36"/>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（一）</w:t>
      </w:r>
      <w:r>
        <w:rPr>
          <w:rFonts w:hint="eastAsia" w:ascii="宋体" w:hAnsi="宋体"/>
          <w:sz w:val="28"/>
          <w:szCs w:val="28"/>
          <w:lang w:val="en-US" w:eastAsia="zh-CN"/>
        </w:rPr>
        <w:t>根据</w:t>
      </w:r>
      <w:r>
        <w:rPr>
          <w:rFonts w:hint="eastAsia" w:ascii="宋体" w:hAnsi="宋体"/>
          <w:sz w:val="28"/>
          <w:szCs w:val="28"/>
        </w:rPr>
        <w:t>广东财经大学</w:t>
      </w:r>
      <w:r>
        <w:rPr>
          <w:rFonts w:hint="eastAsia" w:ascii="宋体" w:hAnsi="宋体"/>
          <w:sz w:val="28"/>
          <w:szCs w:val="28"/>
          <w:lang w:val="en-US" w:eastAsia="zh-CN"/>
        </w:rPr>
        <w:t>佛山校区2024年小额工程</w:t>
      </w:r>
      <w:r>
        <w:rPr>
          <w:rFonts w:hint="eastAsia" w:ascii="宋体" w:hAnsi="宋体"/>
          <w:sz w:val="28"/>
          <w:szCs w:val="28"/>
        </w:rPr>
        <w:t>实际情况，</w:t>
      </w:r>
      <w:r>
        <w:rPr>
          <w:rFonts w:hint="eastAsia" w:ascii="宋体" w:hAnsi="宋体"/>
          <w:sz w:val="28"/>
          <w:szCs w:val="28"/>
          <w:lang w:val="en-US" w:eastAsia="zh-CN"/>
        </w:rPr>
        <w:t>不论监理项目多少，本项目监理服务费按年度实行总价包干。</w:t>
      </w:r>
    </w:p>
    <w:p>
      <w:pPr>
        <w:ind w:firstLine="560" w:firstLineChars="200"/>
        <w:rPr>
          <w:rFonts w:ascii="宋体" w:hAnsi="宋体"/>
          <w:sz w:val="28"/>
          <w:szCs w:val="28"/>
        </w:rPr>
      </w:pPr>
      <w:r>
        <w:rPr>
          <w:rFonts w:hint="eastAsia" w:ascii="宋体" w:hAnsi="宋体"/>
          <w:sz w:val="28"/>
          <w:szCs w:val="28"/>
        </w:rPr>
        <w:t>（二）报价人应当根据采购项目的要求按人民币报价，“报价”如无特别说明，均指含税价格，发票为增值税普通发票。报价人报价应包括全部服务的相应价格及相关税费。包括但不限于监理服务过程中所产生的外出劳务费、快递费、交通差旅、餐费、税金等一切相关费用，政策性文件规定及合同包含的所有风险、责任等各项应有费用</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4"/>
        <w:spacing w:line="560" w:lineRule="exact"/>
      </w:pPr>
      <w:bookmarkStart w:id="37" w:name="_Toc139478047"/>
      <w:bookmarkStart w:id="38" w:name="_Toc60236702"/>
      <w:bookmarkStart w:id="39" w:name="_Toc16824"/>
      <w:bookmarkStart w:id="40" w:name="_Toc508103355"/>
      <w:bookmarkStart w:id="41" w:name="_Toc10094"/>
      <w:r>
        <w:rPr>
          <w:rFonts w:hint="eastAsia"/>
        </w:rPr>
        <w:t>五、报价</w:t>
      </w:r>
      <w:r>
        <w:t>文件</w:t>
      </w:r>
      <w:r>
        <w:rPr>
          <w:rFonts w:hint="eastAsia"/>
        </w:rPr>
        <w:t>要求</w:t>
      </w:r>
      <w:bookmarkEnd w:id="37"/>
      <w:bookmarkEnd w:id="38"/>
      <w:bookmarkEnd w:id="39"/>
      <w:bookmarkEnd w:id="40"/>
      <w:bookmarkEnd w:id="41"/>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一）文件的构成、顺序及要求</w:t>
      </w:r>
    </w:p>
    <w:p>
      <w:pPr>
        <w:spacing w:line="560" w:lineRule="exact"/>
        <w:ind w:firstLine="562" w:firstLineChars="200"/>
        <w:rPr>
          <w:rFonts w:ascii="宋体" w:hAnsi="宋体"/>
          <w:b/>
          <w:sz w:val="28"/>
          <w:szCs w:val="28"/>
        </w:rPr>
      </w:pPr>
      <w:r>
        <w:rPr>
          <w:rFonts w:ascii="宋体" w:hAnsi="宋体"/>
          <w:b/>
          <w:color w:val="auto"/>
          <w:sz w:val="28"/>
          <w:szCs w:val="28"/>
          <w:u w:val="none"/>
        </w:rPr>
        <w:t>1.报价文件封面；</w:t>
      </w:r>
    </w:p>
    <w:p>
      <w:pPr>
        <w:spacing w:line="560" w:lineRule="exact"/>
        <w:ind w:firstLine="562" w:firstLineChars="200"/>
        <w:rPr>
          <w:rFonts w:ascii="宋体" w:hAnsi="宋体"/>
          <w:b/>
          <w:sz w:val="28"/>
          <w:szCs w:val="28"/>
        </w:rPr>
      </w:pPr>
      <w:r>
        <w:rPr>
          <w:rFonts w:ascii="宋体" w:hAnsi="宋体"/>
          <w:b/>
          <w:color w:val="auto"/>
          <w:sz w:val="28"/>
          <w:szCs w:val="28"/>
          <w:u w:val="none"/>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（4）报价人声明及承诺；</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1</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需求书</w:t>
      </w:r>
      <w:r>
        <w:rPr>
          <w:rFonts w:ascii="宋体" w:hAnsi="宋体"/>
          <w:sz w:val="28"/>
          <w:szCs w:val="28"/>
        </w:rPr>
        <w:t>的实质性要求和条件作出满足性或更有利于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2.需求书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sz w:val="28"/>
          <w:szCs w:val="28"/>
        </w:rPr>
      </w:pPr>
      <w:r>
        <w:rPr>
          <w:rFonts w:hint="eastAsia" w:ascii="宋体" w:hAnsi="宋体"/>
          <w:sz w:val="28"/>
          <w:szCs w:val="28"/>
        </w:rPr>
        <w:t>3.特殊情形处理：如果出现报价中的大、小写金额不一致情形，以大写金额为准。</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.报价文件内容不符合审查要求，或不满足需求书条款要求。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4"/>
        <w:spacing w:line="560" w:lineRule="exact"/>
      </w:pPr>
      <w:bookmarkStart w:id="42" w:name="_Toc60236703"/>
      <w:bookmarkStart w:id="43" w:name="_Toc4960"/>
      <w:bookmarkStart w:id="44" w:name="_Toc24684"/>
      <w:bookmarkStart w:id="45" w:name="_Toc139478048"/>
      <w:bookmarkStart w:id="46" w:name="_Toc508103356"/>
      <w:r>
        <w:rPr>
          <w:rFonts w:hint="eastAsia"/>
        </w:rPr>
        <w:t>六、评审</w:t>
      </w:r>
      <w:r>
        <w:t>方法</w:t>
      </w:r>
      <w:r>
        <w:rPr>
          <w:rFonts w:hint="eastAsia"/>
        </w:rPr>
        <w:t>及原则</w:t>
      </w:r>
      <w:bookmarkEnd w:id="42"/>
      <w:bookmarkEnd w:id="43"/>
      <w:bookmarkEnd w:id="44"/>
      <w:bookmarkEnd w:id="45"/>
      <w:bookmarkEnd w:id="46"/>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w:t>
      </w:r>
      <w:r>
        <w:rPr>
          <w:rFonts w:hint="eastAsia" w:ascii="宋体" w:hAnsi="宋体"/>
          <w:b/>
          <w:bCs/>
          <w:sz w:val="28"/>
          <w:szCs w:val="28"/>
        </w:rPr>
        <w:t>资格性和符合性评审</w:t>
      </w:r>
      <w:r>
        <w:rPr>
          <w:rFonts w:hint="eastAsia" w:ascii="宋体" w:hAnsi="宋体"/>
          <w:sz w:val="28"/>
          <w:szCs w:val="28"/>
        </w:rPr>
        <w:t>（评审表见附表1）：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评审小组依据需求书规定的要求，对报价文件中的资格性、符合性条件进行审核。未通过的报价人不能确定为成交人。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4"/>
        <w:numPr>
          <w:ilvl w:val="0"/>
          <w:numId w:val="3"/>
        </w:numPr>
        <w:spacing w:line="560" w:lineRule="exact"/>
      </w:pPr>
      <w:bookmarkStart w:id="47" w:name="_Toc139478049"/>
      <w:bookmarkStart w:id="48" w:name="_Toc19207"/>
      <w:r>
        <w:rPr>
          <w:rFonts w:hint="eastAsia"/>
        </w:rPr>
        <w:t>成交供应商确定</w:t>
      </w:r>
      <w:bookmarkEnd w:id="47"/>
      <w:bookmarkEnd w:id="48"/>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0"/>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0"/>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0"/>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0"/>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0"/>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0"/>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0"/>
            <w:vAlign w:val="center"/>
          </w:tcPr>
          <w:p>
            <w:pPr>
              <w:spacing w:line="400" w:lineRule="exact"/>
              <w:rPr>
                <w:rFonts w:hint="eastAsia" w:ascii="宋体" w:hAnsi="宋体" w:eastAsia="宋体"/>
                <w:sz w:val="28"/>
                <w:szCs w:val="28"/>
                <w:lang w:eastAsia="zh-CN"/>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r>
              <w:rPr>
                <w:rFonts w:hint="eastAsia" w:ascii="宋体" w:hAnsi="宋体"/>
                <w:sz w:val="28"/>
                <w:szCs w:val="28"/>
                <w:lang w:eastAsia="zh-CN"/>
              </w:rPr>
              <w:t>。</w:t>
            </w:r>
          </w:p>
        </w:tc>
        <w:tc>
          <w:tcPr>
            <w:tcW w:w="1465" w:type="dxa"/>
            <w:noWrap w:val="0"/>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具有工程监理综合资质或房屋建筑工程监理专业资质乙级（含乙级）或以上资质，并在有效期内。</w:t>
            </w:r>
          </w:p>
        </w:tc>
        <w:tc>
          <w:tcPr>
            <w:tcW w:w="1465" w:type="dxa"/>
            <w:noWrap w:val="0"/>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16" w:type="dxa"/>
            <w:noWrap w:val="0"/>
            <w:vAlign w:val="center"/>
          </w:tcPr>
          <w:p>
            <w:pPr>
              <w:spacing w:line="400" w:lineRule="exact"/>
              <w:jc w:val="center"/>
              <w:rPr>
                <w:rFonts w:hint="eastAsia" w:ascii="宋体" w:hAnsi="宋体"/>
                <w:b/>
                <w:sz w:val="28"/>
                <w:szCs w:val="28"/>
                <w:lang w:val="en-US" w:eastAsia="zh-CN"/>
              </w:rPr>
            </w:pPr>
            <w:r>
              <w:rPr>
                <w:rFonts w:hint="eastAsia" w:ascii="宋体" w:hAnsi="宋体"/>
                <w:b/>
                <w:sz w:val="28"/>
                <w:szCs w:val="28"/>
                <w:lang w:val="en-US" w:eastAsia="zh-CN"/>
              </w:rPr>
              <w:t>4</w:t>
            </w:r>
          </w:p>
        </w:tc>
        <w:tc>
          <w:tcPr>
            <w:tcW w:w="6557" w:type="dxa"/>
            <w:noWrap w:val="0"/>
            <w:vAlign w:val="center"/>
          </w:tcPr>
          <w:p>
            <w:pPr>
              <w:spacing w:line="400" w:lineRule="exact"/>
              <w:rPr>
                <w:rFonts w:hint="eastAsia" w:ascii="宋体" w:hAnsi="宋体"/>
                <w:sz w:val="28"/>
                <w:szCs w:val="28"/>
                <w:lang w:val="en-US" w:eastAsia="zh-CN"/>
              </w:rPr>
            </w:pPr>
            <w:r>
              <w:rPr>
                <w:rFonts w:hint="eastAsia" w:ascii="宋体" w:hAnsi="宋体"/>
                <w:sz w:val="28"/>
                <w:szCs w:val="28"/>
                <w:lang w:val="en-US" w:eastAsia="zh-CN"/>
              </w:rPr>
              <w:t>委派项目现场监理</w:t>
            </w:r>
            <w:r>
              <w:rPr>
                <w:rFonts w:hint="eastAsia" w:ascii="宋体" w:hAnsi="宋体" w:eastAsia="宋体"/>
                <w:sz w:val="28"/>
                <w:szCs w:val="28"/>
                <w:lang w:val="en-US" w:eastAsia="zh-CN"/>
              </w:rPr>
              <w:t>常驻</w:t>
            </w:r>
            <w:r>
              <w:rPr>
                <w:rFonts w:hint="eastAsia" w:ascii="宋体" w:hAnsi="宋体"/>
                <w:sz w:val="28"/>
                <w:szCs w:val="28"/>
                <w:lang w:val="en-US" w:eastAsia="zh-CN"/>
              </w:rPr>
              <w:t>1</w:t>
            </w:r>
            <w:r>
              <w:rPr>
                <w:rFonts w:hint="eastAsia" w:ascii="宋体" w:hAnsi="宋体" w:eastAsia="宋体"/>
                <w:sz w:val="28"/>
                <w:szCs w:val="28"/>
                <w:lang w:val="en-US" w:eastAsia="zh-CN"/>
              </w:rPr>
              <w:t>人</w:t>
            </w:r>
            <w:r>
              <w:rPr>
                <w:rFonts w:hint="eastAsia" w:ascii="宋体" w:hAnsi="宋体"/>
                <w:sz w:val="28"/>
                <w:szCs w:val="28"/>
                <w:lang w:val="en-US" w:eastAsia="zh-CN"/>
              </w:rPr>
              <w:t>，需具备房屋建筑中级</w:t>
            </w:r>
            <w:r>
              <w:rPr>
                <w:rFonts w:hint="eastAsia" w:ascii="宋体" w:hAnsi="宋体" w:eastAsia="宋体"/>
                <w:sz w:val="28"/>
                <w:szCs w:val="28"/>
                <w:lang w:val="en-US" w:eastAsia="zh-CN"/>
              </w:rPr>
              <w:t>工程师职称</w:t>
            </w:r>
            <w:r>
              <w:rPr>
                <w:rFonts w:hint="eastAsia" w:ascii="宋体" w:hAnsi="宋体"/>
                <w:sz w:val="28"/>
                <w:szCs w:val="28"/>
                <w:lang w:val="en-US" w:eastAsia="zh-CN"/>
              </w:rPr>
              <w:t>或</w:t>
            </w:r>
            <w:r>
              <w:rPr>
                <w:rFonts w:hint="eastAsia" w:ascii="宋体" w:hAnsi="宋体" w:eastAsia="宋体"/>
                <w:sz w:val="28"/>
                <w:szCs w:val="28"/>
                <w:lang w:val="en-US" w:eastAsia="zh-CN"/>
              </w:rPr>
              <w:t>具备机电安装</w:t>
            </w:r>
            <w:r>
              <w:rPr>
                <w:rFonts w:hint="eastAsia" w:ascii="宋体" w:hAnsi="宋体"/>
                <w:sz w:val="28"/>
                <w:szCs w:val="28"/>
                <w:lang w:val="en-US" w:eastAsia="zh-CN"/>
              </w:rPr>
              <w:t>或</w:t>
            </w:r>
            <w:r>
              <w:rPr>
                <w:rFonts w:hint="eastAsia" w:ascii="宋体" w:hAnsi="宋体" w:eastAsia="宋体"/>
                <w:sz w:val="28"/>
                <w:szCs w:val="28"/>
                <w:lang w:val="en-US" w:eastAsia="zh-CN"/>
              </w:rPr>
              <w:t>具备建筑类助理工程师职称）</w:t>
            </w:r>
            <w:r>
              <w:rPr>
                <w:rFonts w:hint="eastAsia" w:ascii="宋体" w:hAnsi="宋体"/>
                <w:sz w:val="28"/>
                <w:szCs w:val="28"/>
                <w:lang w:val="en-US" w:eastAsia="zh-CN"/>
              </w:rPr>
              <w:t>。</w:t>
            </w:r>
          </w:p>
        </w:tc>
        <w:tc>
          <w:tcPr>
            <w:tcW w:w="1465" w:type="dxa"/>
            <w:noWrap w:val="0"/>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716" w:type="dxa"/>
            <w:noWrap w:val="0"/>
            <w:vAlign w:val="center"/>
          </w:tcPr>
          <w:p>
            <w:pPr>
              <w:spacing w:line="400" w:lineRule="exact"/>
              <w:jc w:val="center"/>
              <w:rPr>
                <w:rFonts w:hint="eastAsia" w:ascii="宋体" w:hAnsi="宋体"/>
                <w:b/>
                <w:sz w:val="28"/>
                <w:szCs w:val="28"/>
                <w:lang w:val="en-US" w:eastAsia="zh-CN"/>
              </w:rPr>
            </w:pPr>
            <w:r>
              <w:rPr>
                <w:rFonts w:hint="eastAsia" w:ascii="宋体" w:hAnsi="宋体"/>
                <w:b/>
                <w:sz w:val="28"/>
                <w:szCs w:val="28"/>
                <w:lang w:val="en-US" w:eastAsia="zh-CN"/>
              </w:rPr>
              <w:t>5</w:t>
            </w:r>
          </w:p>
        </w:tc>
        <w:tc>
          <w:tcPr>
            <w:tcW w:w="6557" w:type="dxa"/>
            <w:noWrap w:val="0"/>
            <w:vAlign w:val="center"/>
          </w:tcPr>
          <w:p>
            <w:pPr>
              <w:spacing w:line="400" w:lineRule="exact"/>
              <w:rPr>
                <w:rFonts w:hint="eastAsia" w:ascii="宋体" w:hAnsi="宋体"/>
                <w:sz w:val="28"/>
                <w:szCs w:val="28"/>
              </w:rPr>
            </w:pPr>
            <w:r>
              <w:rPr>
                <w:rFonts w:hint="eastAsia" w:ascii="宋体" w:hAnsi="宋体"/>
                <w:sz w:val="28"/>
                <w:szCs w:val="28"/>
                <w:lang w:val="en-US" w:eastAsia="zh-CN"/>
              </w:rPr>
              <w:t>报价人需入驻广东省网上中介服务超市。（报价人需提供相关证明材料）</w:t>
            </w:r>
          </w:p>
        </w:tc>
        <w:tc>
          <w:tcPr>
            <w:tcW w:w="1465" w:type="dxa"/>
            <w:noWrap w:val="0"/>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0"/>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0"/>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0"/>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6" w:type="dxa"/>
            <w:noWrap w:val="0"/>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0"/>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0"/>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0"/>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0"/>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0"/>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0"/>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0"/>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0"/>
            <w:vAlign w:val="center"/>
          </w:tcPr>
          <w:p>
            <w:pPr>
              <w:snapToGrid w:val="0"/>
              <w:spacing w:beforeLines="25" w:afterLines="25" w:line="400" w:lineRule="exact"/>
              <w:jc w:val="center"/>
              <w:rPr>
                <w:rFonts w:ascii="宋体" w:hAnsi="宋体"/>
                <w:b/>
                <w:sz w:val="28"/>
                <w:szCs w:val="28"/>
              </w:rPr>
            </w:pPr>
            <w:r>
              <w:rPr>
                <w:rFonts w:hint="eastAsia" w:ascii="宋体" w:hAnsi="宋体"/>
                <w:b/>
                <w:sz w:val="28"/>
                <w:szCs w:val="28"/>
              </w:rPr>
              <w:t>结论</w:t>
            </w:r>
          </w:p>
        </w:tc>
        <w:tc>
          <w:tcPr>
            <w:tcW w:w="1465" w:type="dxa"/>
            <w:noWrap w:val="0"/>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3"/>
      </w:pPr>
      <w:bookmarkStart w:id="49" w:name="_Toc60236709"/>
      <w:bookmarkStart w:id="50" w:name="_Toc3918"/>
      <w:bookmarkStart w:id="51" w:name="_Toc22701"/>
      <w:bookmarkStart w:id="52" w:name="_Toc139478050"/>
      <w:r>
        <w:rPr>
          <w:rFonts w:hint="eastAsia"/>
        </w:rPr>
        <w:t>第二部分、</w:t>
      </w:r>
      <w:bookmarkEnd w:id="49"/>
      <w:bookmarkEnd w:id="50"/>
      <w:bookmarkEnd w:id="51"/>
      <w:r>
        <w:rPr>
          <w:rFonts w:hint="eastAsia"/>
        </w:rPr>
        <w:t>采购需求书</w:t>
      </w:r>
      <w:bookmarkEnd w:id="52"/>
    </w:p>
    <w:p>
      <w:pPr>
        <w:adjustRightInd w:val="0"/>
        <w:snapToGrid w:val="0"/>
        <w:spacing w:line="560" w:lineRule="exact"/>
        <w:ind w:firstLine="641" w:firstLineChars="228"/>
        <w:jc w:val="left"/>
        <w:outlineLvl w:val="1"/>
        <w:rPr>
          <w:rFonts w:ascii="Arial" w:hAnsi="Arial"/>
          <w:b/>
          <w:bCs/>
          <w:kern w:val="0"/>
          <w:sz w:val="28"/>
          <w:szCs w:val="32"/>
        </w:rPr>
      </w:pPr>
      <w:bookmarkStart w:id="53" w:name="_Toc10162"/>
    </w:p>
    <w:p>
      <w:pPr>
        <w:adjustRightInd w:val="0"/>
        <w:snapToGrid w:val="0"/>
        <w:spacing w:line="560" w:lineRule="exact"/>
        <w:ind w:firstLine="641" w:firstLineChars="228"/>
        <w:jc w:val="left"/>
        <w:outlineLvl w:val="1"/>
        <w:rPr>
          <w:rFonts w:ascii="Arial" w:hAnsi="Arial"/>
          <w:b/>
          <w:bCs/>
          <w:kern w:val="0"/>
          <w:sz w:val="28"/>
          <w:szCs w:val="32"/>
        </w:rPr>
      </w:pPr>
      <w:bookmarkStart w:id="54" w:name="_Toc139478051"/>
      <w:r>
        <w:rPr>
          <w:rFonts w:hint="eastAsia" w:ascii="Arial" w:hAnsi="Arial"/>
          <w:b/>
          <w:bCs/>
          <w:kern w:val="0"/>
          <w:sz w:val="28"/>
          <w:szCs w:val="32"/>
        </w:rPr>
        <w:t>一、技术（服务）要求</w:t>
      </w:r>
      <w:bookmarkEnd w:id="54"/>
    </w:p>
    <w:p>
      <w:pPr>
        <w:adjustRightInd w:val="0"/>
        <w:snapToGrid w:val="0"/>
        <w:spacing w:line="560" w:lineRule="exact"/>
        <w:ind w:firstLine="641" w:firstLineChars="228"/>
        <w:jc w:val="left"/>
        <w:outlineLvl w:val="1"/>
        <w:rPr>
          <w:rFonts w:ascii="Arial" w:hAnsi="Arial"/>
          <w:b/>
          <w:bCs/>
          <w:kern w:val="0"/>
          <w:sz w:val="28"/>
          <w:szCs w:val="32"/>
        </w:rPr>
      </w:pPr>
      <w:bookmarkStart w:id="55" w:name="_Toc139478052"/>
      <w:r>
        <w:rPr>
          <w:rFonts w:hint="eastAsia" w:ascii="Arial" w:hAnsi="Arial"/>
          <w:b/>
          <w:bCs/>
          <w:kern w:val="0"/>
          <w:sz w:val="28"/>
          <w:szCs w:val="32"/>
        </w:rPr>
        <w:t>（一）服务期限</w:t>
      </w:r>
      <w:bookmarkEnd w:id="53"/>
      <w:bookmarkEnd w:id="55"/>
    </w:p>
    <w:p>
      <w:pPr>
        <w:adjustRightInd w:val="0"/>
        <w:snapToGrid w:val="0"/>
        <w:spacing w:line="560" w:lineRule="exact"/>
        <w:ind w:firstLine="840" w:firstLineChars="300"/>
        <w:jc w:val="left"/>
        <w:rPr>
          <w:rFonts w:ascii="仿宋" w:hAnsi="仿宋" w:eastAsia="仿宋"/>
          <w:sz w:val="32"/>
          <w:szCs w:val="32"/>
        </w:rPr>
      </w:pPr>
      <w:r>
        <w:rPr>
          <w:rFonts w:hint="eastAsia" w:ascii="宋体" w:hAnsi="宋体"/>
          <w:sz w:val="28"/>
          <w:szCs w:val="28"/>
        </w:rPr>
        <w:t>服务期限：自</w:t>
      </w:r>
      <w:r>
        <w:rPr>
          <w:rFonts w:hint="eastAsia" w:ascii="宋体" w:hAnsi="宋体"/>
          <w:sz w:val="28"/>
          <w:szCs w:val="28"/>
          <w:lang w:val="en-US" w:eastAsia="zh-CN"/>
        </w:rPr>
        <w:t>监理</w:t>
      </w:r>
      <w:r>
        <w:rPr>
          <w:rFonts w:hint="eastAsia" w:ascii="宋体" w:hAnsi="宋体"/>
          <w:sz w:val="28"/>
          <w:szCs w:val="28"/>
        </w:rPr>
        <w:t>合同签订之日起</w:t>
      </w:r>
      <w:r>
        <w:rPr>
          <w:rFonts w:hint="eastAsia" w:ascii="宋体" w:hAnsi="宋体"/>
          <w:sz w:val="28"/>
          <w:szCs w:val="28"/>
          <w:lang w:val="en-US" w:eastAsia="zh-CN"/>
        </w:rPr>
        <w:t>1年</w:t>
      </w:r>
      <w:r>
        <w:rPr>
          <w:rFonts w:hint="eastAsia" w:ascii="宋体" w:hAnsi="宋体"/>
          <w:sz w:val="28"/>
          <w:szCs w:val="28"/>
          <w:lang w:eastAsia="zh-CN"/>
        </w:rPr>
        <w:t>。</w:t>
      </w:r>
    </w:p>
    <w:p>
      <w:pPr>
        <w:adjustRightInd w:val="0"/>
        <w:snapToGrid w:val="0"/>
        <w:spacing w:line="560" w:lineRule="exact"/>
        <w:ind w:firstLine="641" w:firstLineChars="228"/>
        <w:jc w:val="left"/>
        <w:outlineLvl w:val="1"/>
        <w:rPr>
          <w:rFonts w:ascii="Arial" w:hAnsi="Arial"/>
          <w:b/>
          <w:bCs/>
          <w:kern w:val="0"/>
          <w:sz w:val="28"/>
          <w:szCs w:val="32"/>
        </w:rPr>
      </w:pPr>
      <w:bookmarkStart w:id="56" w:name="_Toc31243"/>
      <w:bookmarkStart w:id="57" w:name="_Toc139478053"/>
      <w:r>
        <w:rPr>
          <w:rFonts w:hint="eastAsia" w:ascii="Arial" w:hAnsi="Arial"/>
          <w:b/>
          <w:bCs/>
          <w:kern w:val="0"/>
          <w:sz w:val="28"/>
          <w:szCs w:val="32"/>
        </w:rPr>
        <w:t>（二）服务内容</w:t>
      </w:r>
      <w:bookmarkEnd w:id="56"/>
      <w:bookmarkEnd w:id="57"/>
    </w:p>
    <w:p>
      <w:pPr>
        <w:widowControl/>
        <w:ind w:firstLine="560" w:firstLineChars="200"/>
        <w:jc w:val="left"/>
        <w:rPr>
          <w:rFonts w:hint="default" w:ascii="宋体" w:hAnsi="宋体"/>
          <w:sz w:val="28"/>
          <w:szCs w:val="28"/>
          <w:lang w:val="en-US" w:eastAsia="zh-CN"/>
        </w:rPr>
      </w:pPr>
      <w:r>
        <w:rPr>
          <w:rFonts w:hint="eastAsia" w:ascii="宋体" w:hAnsi="宋体"/>
          <w:sz w:val="28"/>
          <w:szCs w:val="28"/>
        </w:rPr>
        <w:t>服务内容：为</w:t>
      </w:r>
      <w:r>
        <w:rPr>
          <w:rFonts w:hint="eastAsia" w:ascii="宋体" w:hAnsi="宋体"/>
          <w:sz w:val="28"/>
          <w:szCs w:val="28"/>
          <w:lang w:val="en-US" w:eastAsia="zh-CN"/>
        </w:rPr>
        <w:t>广东财经大学佛山校区2024年度小额工程项目</w:t>
      </w:r>
      <w:r>
        <w:rPr>
          <w:rFonts w:hint="eastAsia" w:ascii="宋体" w:hAnsi="宋体"/>
          <w:b/>
          <w:bCs/>
          <w:sz w:val="28"/>
          <w:szCs w:val="28"/>
          <w:lang w:val="en-US" w:eastAsia="zh-CN"/>
        </w:rPr>
        <w:t>（含50万元以上100万元以下项目）</w:t>
      </w:r>
      <w:r>
        <w:rPr>
          <w:rFonts w:hint="eastAsia" w:ascii="宋体" w:hAnsi="宋体"/>
          <w:sz w:val="28"/>
          <w:szCs w:val="28"/>
          <w:lang w:val="en-US" w:eastAsia="zh-CN"/>
        </w:rPr>
        <w:t>施工提供监理服务，工作内容包括约35个项目的施工准备阶段、施工阶段、工程收尾阶段和质量保修阶段，监理人须实行全过程监理服务。</w:t>
      </w:r>
    </w:p>
    <w:p>
      <w:pPr>
        <w:widowControl/>
        <w:adjustRightInd/>
        <w:snapToGrid/>
        <w:spacing w:line="240" w:lineRule="auto"/>
        <w:ind w:firstLine="560" w:firstLineChars="200"/>
        <w:jc w:val="left"/>
        <w:rPr>
          <w:rFonts w:ascii="宋体" w:hAnsi="宋体"/>
          <w:sz w:val="28"/>
          <w:szCs w:val="28"/>
        </w:rPr>
      </w:pPr>
      <w:r>
        <w:rPr>
          <w:rFonts w:hint="eastAsia" w:ascii="宋体" w:hAnsi="宋体"/>
          <w:sz w:val="28"/>
          <w:szCs w:val="28"/>
        </w:rPr>
        <w:t>具体要求如下：</w:t>
      </w:r>
    </w:p>
    <w:p>
      <w:pPr>
        <w:ind w:firstLine="560" w:firstLineChars="200"/>
        <w:rPr>
          <w:rFonts w:ascii="宋体" w:hAnsi="宋体"/>
          <w:sz w:val="28"/>
          <w:szCs w:val="28"/>
        </w:rPr>
      </w:pPr>
      <w:r>
        <w:rPr>
          <w:rFonts w:hint="eastAsia" w:ascii="宋体" w:hAnsi="宋体"/>
          <w:sz w:val="28"/>
          <w:szCs w:val="28"/>
        </w:rPr>
        <w:t>1.按照采购人提供的施工图（如有）、招标文件、投标文件（中标单位）、合同等资料要求对整个工程施工全过程的质量、进度、费用控制，安全生产监督管理、合同、信息等方面的协调管理工作；</w:t>
      </w:r>
    </w:p>
    <w:p>
      <w:pPr>
        <w:ind w:firstLine="560" w:firstLineChars="200"/>
        <w:rPr>
          <w:rFonts w:ascii="宋体" w:hAnsi="宋体"/>
          <w:sz w:val="28"/>
          <w:szCs w:val="28"/>
        </w:rPr>
      </w:pPr>
      <w:r>
        <w:rPr>
          <w:rFonts w:hint="eastAsia" w:ascii="宋体" w:hAnsi="宋体"/>
          <w:sz w:val="28"/>
          <w:szCs w:val="28"/>
        </w:rPr>
        <w:t>2.监理人按采购人具体要求的日期进场，并立即开始履行本合同约定的服务。协助委托人按施工合同的规定，落实必须提供的施工条件，检查工程施工单位的开工准备工作，并在检查与审核合格后签发《工程开工令》；</w:t>
      </w:r>
    </w:p>
    <w:p>
      <w:pPr>
        <w:ind w:firstLine="560" w:firstLineChars="200"/>
        <w:rPr>
          <w:rFonts w:ascii="宋体" w:hAnsi="宋体"/>
          <w:sz w:val="28"/>
          <w:szCs w:val="28"/>
        </w:rPr>
      </w:pPr>
      <w:r>
        <w:rPr>
          <w:rFonts w:hint="eastAsia" w:ascii="宋体" w:hAnsi="宋体"/>
          <w:sz w:val="28"/>
          <w:szCs w:val="28"/>
        </w:rPr>
        <w:t>3.根据工程需要对施工单位完成的工程量进行准确的计量，并报委托人作为工程进度款支付依据；</w:t>
      </w:r>
    </w:p>
    <w:p>
      <w:pPr>
        <w:ind w:firstLine="560" w:firstLineChars="200"/>
        <w:rPr>
          <w:rFonts w:ascii="宋体" w:hAnsi="宋体"/>
          <w:sz w:val="28"/>
          <w:szCs w:val="28"/>
        </w:rPr>
      </w:pPr>
      <w:r>
        <w:rPr>
          <w:rFonts w:hint="eastAsia" w:ascii="宋体" w:hAnsi="宋体"/>
          <w:sz w:val="28"/>
          <w:szCs w:val="28"/>
        </w:rPr>
        <w:t>4.审批承包人编制的施工进度计划、施工组织设计方案、以及使用的原材料等，提出改进意见，并检查督促实施；</w:t>
      </w:r>
    </w:p>
    <w:p>
      <w:pPr>
        <w:ind w:firstLine="560" w:firstLineChars="200"/>
        <w:rPr>
          <w:rFonts w:ascii="宋体" w:hAnsi="宋体"/>
          <w:sz w:val="28"/>
          <w:szCs w:val="28"/>
        </w:rPr>
      </w:pPr>
      <w:r>
        <w:rPr>
          <w:rFonts w:hint="eastAsia" w:ascii="宋体" w:hAnsi="宋体"/>
          <w:sz w:val="28"/>
          <w:szCs w:val="28"/>
        </w:rPr>
        <w:t>5.要求和督促承包人建立健全质量保证体系，督促承包人严格按设计文件、规范标准和程序施工；</w:t>
      </w:r>
    </w:p>
    <w:p>
      <w:pPr>
        <w:ind w:firstLine="560" w:firstLineChars="200"/>
        <w:rPr>
          <w:rFonts w:ascii="宋体" w:hAnsi="宋体"/>
          <w:sz w:val="28"/>
          <w:szCs w:val="28"/>
        </w:rPr>
      </w:pPr>
      <w:r>
        <w:rPr>
          <w:rFonts w:hint="eastAsia" w:ascii="宋体" w:hAnsi="宋体"/>
          <w:sz w:val="28"/>
          <w:szCs w:val="28"/>
        </w:rPr>
        <w:t>6.监理工程师必须经常巡视工地各个部位，发现问题，立即督促承包人整改，并跟踪、检查其整改情况；每道工序完毕，监理工程师必须及时检查验收，并做好隐蔽工程的验收签证，重要工程的施工(有可能危及周围或本身结构安全的施工等)必须进行旁站监理，控制工程质量；</w:t>
      </w:r>
    </w:p>
    <w:p>
      <w:pPr>
        <w:ind w:firstLine="560" w:firstLineChars="200"/>
        <w:rPr>
          <w:rFonts w:ascii="宋体" w:hAnsi="宋体"/>
          <w:sz w:val="28"/>
          <w:szCs w:val="28"/>
        </w:rPr>
      </w:pPr>
      <w:r>
        <w:rPr>
          <w:rFonts w:hint="eastAsia" w:ascii="宋体" w:hAnsi="宋体"/>
          <w:sz w:val="28"/>
          <w:szCs w:val="28"/>
        </w:rPr>
        <w:t>7.严格审查用于本工程的材料和设备是否符合设计或是采购人要求，检查工程使用的材料、构件、设备的规格和质量，对用于工程的材料、构件、设备的出厂合格证、化验（试验）报告等进行审查并存档。在施工过程严格控制用于工程的材料品牌，未经委托人同意不能更改；</w:t>
      </w:r>
    </w:p>
    <w:p>
      <w:pPr>
        <w:ind w:firstLine="560" w:firstLineChars="200"/>
        <w:rPr>
          <w:rFonts w:ascii="宋体" w:hAnsi="宋体"/>
          <w:sz w:val="28"/>
          <w:szCs w:val="28"/>
        </w:rPr>
      </w:pPr>
      <w:r>
        <w:rPr>
          <w:rFonts w:hint="eastAsia" w:ascii="宋体" w:hAnsi="宋体"/>
          <w:sz w:val="28"/>
          <w:szCs w:val="28"/>
        </w:rPr>
        <w:t>8.审查施工图设计变更，对设计变更和技术洽商，严格按有关各方约定的程序进行并提出监理意见报委托人。组织有关各方协商委托人、设计人、承包人、监理人本身提出的设计变更；</w:t>
      </w:r>
    </w:p>
    <w:p>
      <w:pPr>
        <w:ind w:firstLine="560" w:firstLineChars="200"/>
        <w:rPr>
          <w:rFonts w:ascii="宋体" w:hAnsi="宋体"/>
          <w:sz w:val="28"/>
          <w:szCs w:val="28"/>
        </w:rPr>
      </w:pPr>
      <w:r>
        <w:rPr>
          <w:rFonts w:hint="eastAsia" w:ascii="宋体" w:hAnsi="宋体"/>
          <w:sz w:val="28"/>
          <w:szCs w:val="28"/>
        </w:rPr>
        <w:t>9.检查施工安全措施、劳动防护和环境措施，督促承包人做好文明施工、安全生产防护措施，并提出建议，防止环境污染；发现不安全施工情况时，可发布停工令，并在24小时内书面知会委托人；参加重大的安全事故调查；</w:t>
      </w:r>
    </w:p>
    <w:p>
      <w:pPr>
        <w:ind w:firstLine="560" w:firstLineChars="200"/>
        <w:rPr>
          <w:rFonts w:ascii="宋体" w:hAnsi="宋体"/>
          <w:sz w:val="28"/>
          <w:szCs w:val="28"/>
        </w:rPr>
      </w:pPr>
      <w:r>
        <w:rPr>
          <w:rFonts w:hint="eastAsia" w:ascii="宋体" w:hAnsi="宋体"/>
          <w:sz w:val="28"/>
          <w:szCs w:val="28"/>
        </w:rPr>
        <w:t>10.编写监理阶段总结及日常监理文件，及时做好施工过程各相关技术、质量检验（验收）、计量、支付等相关工程记录工作；</w:t>
      </w:r>
    </w:p>
    <w:p>
      <w:pPr>
        <w:ind w:firstLine="560" w:firstLineChars="200"/>
        <w:rPr>
          <w:rFonts w:ascii="宋体" w:hAnsi="宋体"/>
          <w:sz w:val="28"/>
          <w:szCs w:val="28"/>
        </w:rPr>
      </w:pPr>
      <w:r>
        <w:rPr>
          <w:rFonts w:hint="eastAsia" w:ascii="宋体" w:hAnsi="宋体"/>
          <w:sz w:val="28"/>
          <w:szCs w:val="28"/>
        </w:rPr>
        <w:t>11.工程进度控制：督促承包人采取确实措施，实现合同的工期目标要求，当实施进度发生较大偏差时，及时向委托人提出调整控制性进度计划的建议意见，经委托人批准后，完成进度计划的调整；</w:t>
      </w:r>
    </w:p>
    <w:p>
      <w:pPr>
        <w:ind w:firstLine="560" w:firstLineChars="200"/>
        <w:rPr>
          <w:rFonts w:ascii="宋体" w:hAnsi="宋体"/>
          <w:sz w:val="28"/>
          <w:szCs w:val="28"/>
        </w:rPr>
      </w:pPr>
      <w:r>
        <w:rPr>
          <w:rFonts w:hint="eastAsia" w:ascii="宋体" w:hAnsi="宋体"/>
          <w:sz w:val="28"/>
          <w:szCs w:val="28"/>
        </w:rPr>
        <w:t>12.施工质量控制：审查承包人的质量保证体系和措施，核实质量文件；依据施工合同文件、设计文件、技术标准，对施工的全过程进行检查，对重要工程部位和主要工序进行跟踪监督。对承包人评定的工程质量等级进行复核；</w:t>
      </w:r>
    </w:p>
    <w:p>
      <w:pPr>
        <w:ind w:firstLine="560" w:firstLineChars="200"/>
        <w:rPr>
          <w:rFonts w:ascii="宋体" w:hAnsi="宋体"/>
          <w:sz w:val="28"/>
          <w:szCs w:val="28"/>
        </w:rPr>
      </w:pPr>
      <w:r>
        <w:rPr>
          <w:rFonts w:hint="eastAsia" w:ascii="宋体" w:hAnsi="宋体"/>
          <w:sz w:val="28"/>
          <w:szCs w:val="28"/>
        </w:rPr>
        <w:t>13.负责施工过程签证的办理、工程量核定等工作内容，涉及到变更或新增项目，工程现场签证单必须在2个工作日内核实确认报采购人，超过时间，将不受理任何签证变更文件；</w:t>
      </w:r>
    </w:p>
    <w:p>
      <w:pPr>
        <w:ind w:firstLine="560" w:firstLineChars="200"/>
        <w:rPr>
          <w:rFonts w:ascii="宋体" w:hAnsi="宋体"/>
          <w:sz w:val="28"/>
          <w:szCs w:val="28"/>
        </w:rPr>
      </w:pPr>
      <w:r>
        <w:rPr>
          <w:rFonts w:hint="eastAsia" w:ascii="宋体" w:hAnsi="宋体"/>
          <w:sz w:val="28"/>
          <w:szCs w:val="28"/>
        </w:rPr>
        <w:t>14.保修阶段：工程竣工验收合格交付使用后，定期对其使用质量进行检查，发现质量问题进行分析，调查其原因并确定相应责任后进行处理，必要时组织有关单位开会研究，提出维修意见，督促承包人维修整改；</w:t>
      </w:r>
    </w:p>
    <w:p>
      <w:pPr>
        <w:ind w:firstLine="560" w:firstLineChars="200"/>
        <w:rPr>
          <w:rFonts w:ascii="宋体" w:hAnsi="宋体"/>
          <w:sz w:val="28"/>
          <w:szCs w:val="28"/>
        </w:rPr>
      </w:pPr>
      <w:r>
        <w:rPr>
          <w:rFonts w:hint="eastAsia" w:ascii="宋体" w:hAnsi="宋体"/>
          <w:sz w:val="28"/>
          <w:szCs w:val="28"/>
        </w:rPr>
        <w:t>15.按照《建设工程安全生产管理条例》的规定，监理人承担相应的安全生产监理责任；</w:t>
      </w:r>
    </w:p>
    <w:p>
      <w:pPr>
        <w:ind w:firstLine="560" w:firstLineChars="200"/>
        <w:rPr>
          <w:rFonts w:ascii="宋体" w:hAnsi="宋体"/>
          <w:sz w:val="28"/>
          <w:szCs w:val="28"/>
        </w:rPr>
      </w:pPr>
      <w:r>
        <w:rPr>
          <w:rFonts w:hint="eastAsia" w:ascii="宋体" w:hAnsi="宋体"/>
          <w:sz w:val="28"/>
          <w:szCs w:val="28"/>
        </w:rPr>
        <w:t>16.工程竣工后，5个工作日内向采购人提交建设工程监理档案资料；</w:t>
      </w:r>
    </w:p>
    <w:p>
      <w:pPr>
        <w:ind w:firstLine="560" w:firstLineChars="200"/>
        <w:rPr>
          <w:rFonts w:ascii="仿宋" w:hAnsi="仿宋" w:eastAsia="仿宋"/>
          <w:sz w:val="32"/>
          <w:szCs w:val="32"/>
        </w:rPr>
      </w:pPr>
      <w:r>
        <w:rPr>
          <w:rFonts w:hint="eastAsia" w:ascii="宋体" w:hAnsi="宋体"/>
          <w:sz w:val="28"/>
          <w:szCs w:val="28"/>
        </w:rPr>
        <w:t>17.监理归档资料一式</w:t>
      </w:r>
      <w:r>
        <w:rPr>
          <w:rFonts w:hint="eastAsia" w:ascii="宋体" w:hAnsi="宋体"/>
          <w:sz w:val="28"/>
          <w:szCs w:val="28"/>
          <w:lang w:val="en-US" w:eastAsia="zh-CN"/>
        </w:rPr>
        <w:t>二</w:t>
      </w:r>
      <w:r>
        <w:rPr>
          <w:rFonts w:hint="eastAsia" w:ascii="宋体" w:hAnsi="宋体"/>
          <w:sz w:val="28"/>
          <w:szCs w:val="28"/>
        </w:rPr>
        <w:t>份。</w:t>
      </w:r>
    </w:p>
    <w:p>
      <w:pPr>
        <w:pStyle w:val="103"/>
        <w:spacing w:line="560" w:lineRule="exact"/>
        <w:ind w:left="638"/>
        <w:outlineLvl w:val="1"/>
        <w:rPr>
          <w:rFonts w:ascii="Arial" w:hAnsi="Arial"/>
          <w:b/>
          <w:bCs/>
          <w:sz w:val="28"/>
          <w:szCs w:val="32"/>
        </w:rPr>
      </w:pPr>
      <w:bookmarkStart w:id="58" w:name="_Toc139478054"/>
      <w:bookmarkStart w:id="59" w:name="_Toc3810"/>
      <w:r>
        <w:rPr>
          <w:rFonts w:hint="eastAsia" w:ascii="Arial" w:hAnsi="Arial"/>
          <w:b/>
          <w:bCs/>
          <w:sz w:val="28"/>
          <w:szCs w:val="32"/>
        </w:rPr>
        <w:t>（三）工程监理范围及质量要求</w:t>
      </w:r>
      <w:bookmarkEnd w:id="58"/>
    </w:p>
    <w:p>
      <w:pPr>
        <w:pStyle w:val="103"/>
        <w:spacing w:line="560" w:lineRule="exact"/>
        <w:ind w:firstLine="700" w:firstLineChars="250"/>
        <w:outlineLvl w:val="1"/>
        <w:rPr>
          <w:rFonts w:ascii="宋体" w:hAnsi="宋体"/>
          <w:kern w:val="2"/>
          <w:sz w:val="28"/>
          <w:szCs w:val="28"/>
        </w:rPr>
      </w:pPr>
      <w:bookmarkStart w:id="60" w:name="_Toc139478055"/>
      <w:r>
        <w:rPr>
          <w:rFonts w:hint="eastAsia" w:ascii="宋体" w:hAnsi="宋体"/>
          <w:kern w:val="2"/>
          <w:sz w:val="28"/>
          <w:szCs w:val="28"/>
        </w:rPr>
        <w:t>1.监理范围：</w:t>
      </w:r>
      <w:bookmarkEnd w:id="59"/>
      <w:bookmarkEnd w:id="60"/>
    </w:p>
    <w:p>
      <w:pPr>
        <w:pStyle w:val="103"/>
        <w:spacing w:line="560" w:lineRule="exact"/>
        <w:ind w:firstLine="560" w:firstLineChars="200"/>
        <w:rPr>
          <w:rFonts w:ascii="宋体" w:hAnsi="宋体"/>
          <w:kern w:val="2"/>
          <w:sz w:val="28"/>
          <w:szCs w:val="28"/>
        </w:rPr>
      </w:pPr>
      <w:r>
        <w:rPr>
          <w:rFonts w:hint="eastAsia" w:ascii="宋体" w:hAnsi="宋体"/>
          <w:kern w:val="2"/>
          <w:sz w:val="28"/>
          <w:szCs w:val="28"/>
        </w:rPr>
        <w:t>（1）工程施工至保修阶段的监理工作，包括施工准备阶段、施工阶段、工程竣工阶段及工程质量保修阶段的全过程监理工作。协助采购人做好开工前准备工作；负责安全、质量、技术文件审核、进度（月报、周报）、投资控制及合同管理（包括审核工程量、审核工程预算和结算、工程款支付、签证变更及其造价审核及变更台帐的管理）；</w:t>
      </w:r>
    </w:p>
    <w:p>
      <w:pPr>
        <w:pStyle w:val="103"/>
        <w:spacing w:line="560" w:lineRule="exact"/>
        <w:ind w:firstLine="560" w:firstLineChars="200"/>
        <w:rPr>
          <w:rFonts w:ascii="宋体" w:hAnsi="宋体"/>
          <w:kern w:val="2"/>
          <w:sz w:val="28"/>
          <w:szCs w:val="28"/>
        </w:rPr>
      </w:pPr>
      <w:r>
        <w:rPr>
          <w:rFonts w:hint="eastAsia" w:ascii="宋体" w:hAnsi="宋体"/>
          <w:kern w:val="2"/>
          <w:sz w:val="28"/>
          <w:szCs w:val="28"/>
        </w:rPr>
        <w:t>（2）组织协调、安全文明施工管理；组织初验收及正式验收、审核竣工资料（包括且不限于竣工验收及竣工验收资料移交城建档案、整改、工程移交及实物移交、竣工备案等）；</w:t>
      </w:r>
    </w:p>
    <w:p>
      <w:pPr>
        <w:pStyle w:val="103"/>
        <w:spacing w:line="560" w:lineRule="exact"/>
        <w:ind w:firstLine="560" w:firstLineChars="200"/>
        <w:rPr>
          <w:rFonts w:ascii="宋体" w:hAnsi="宋体"/>
          <w:kern w:val="2"/>
          <w:sz w:val="28"/>
          <w:szCs w:val="28"/>
        </w:rPr>
      </w:pPr>
      <w:r>
        <w:rPr>
          <w:rFonts w:hint="eastAsia" w:ascii="宋体" w:hAnsi="宋体"/>
          <w:kern w:val="2"/>
          <w:sz w:val="28"/>
          <w:szCs w:val="28"/>
        </w:rPr>
        <w:t>（3）属工程的实施范围内（监理人具有相应的监理资质）的工作内容，均应包含在监理范围之内。在工程实施过程中工程量、设计范围、工程规模调整或设计变更在监理人监理资质范围内的，均属监理人监理范围；</w:t>
      </w:r>
    </w:p>
    <w:p>
      <w:pPr>
        <w:ind w:firstLine="560" w:firstLineChars="200"/>
        <w:rPr>
          <w:rFonts w:ascii="宋体" w:hAnsi="宋体"/>
          <w:sz w:val="28"/>
          <w:szCs w:val="28"/>
        </w:rPr>
      </w:pPr>
      <w:r>
        <w:rPr>
          <w:rFonts w:hint="eastAsia" w:ascii="宋体" w:hAnsi="宋体"/>
          <w:sz w:val="28"/>
          <w:szCs w:val="28"/>
        </w:rPr>
        <w:t>2.质量要求：严格按照国家有关施工及验收规范、技术标准进行施工监理，符合国家颁发的有关质量验收评定标准。</w:t>
      </w:r>
    </w:p>
    <w:p>
      <w:pPr>
        <w:adjustRightInd w:val="0"/>
        <w:snapToGrid w:val="0"/>
        <w:spacing w:line="560" w:lineRule="exact"/>
        <w:ind w:firstLine="641" w:firstLineChars="228"/>
        <w:jc w:val="left"/>
        <w:outlineLvl w:val="1"/>
        <w:rPr>
          <w:rFonts w:ascii="Arial" w:hAnsi="Arial"/>
          <w:b/>
          <w:bCs/>
          <w:kern w:val="0"/>
          <w:sz w:val="28"/>
          <w:szCs w:val="32"/>
        </w:rPr>
      </w:pPr>
      <w:bookmarkStart w:id="61" w:name="_Toc139478056"/>
      <w:bookmarkStart w:id="62" w:name="_Toc20841"/>
      <w:r>
        <w:rPr>
          <w:rFonts w:hint="eastAsia" w:ascii="Arial" w:hAnsi="Arial"/>
          <w:b/>
          <w:bCs/>
          <w:kern w:val="0"/>
          <w:sz w:val="28"/>
          <w:szCs w:val="32"/>
        </w:rPr>
        <w:t>二、商务要求</w:t>
      </w:r>
      <w:bookmarkEnd w:id="61"/>
    </w:p>
    <w:p>
      <w:pPr>
        <w:adjustRightInd w:val="0"/>
        <w:snapToGrid w:val="0"/>
        <w:spacing w:line="560" w:lineRule="exact"/>
        <w:ind w:firstLine="641" w:firstLineChars="228"/>
        <w:jc w:val="left"/>
        <w:outlineLvl w:val="1"/>
        <w:rPr>
          <w:rFonts w:ascii="Arial" w:hAnsi="Arial"/>
          <w:b/>
          <w:bCs/>
          <w:kern w:val="0"/>
          <w:sz w:val="28"/>
          <w:szCs w:val="32"/>
        </w:rPr>
      </w:pPr>
      <w:bookmarkStart w:id="63" w:name="_Toc139478057"/>
      <w:r>
        <w:rPr>
          <w:rFonts w:hint="eastAsia" w:ascii="Arial" w:hAnsi="Arial"/>
          <w:b/>
          <w:bCs/>
          <w:kern w:val="0"/>
          <w:sz w:val="28"/>
          <w:szCs w:val="32"/>
        </w:rPr>
        <w:t>（一）结算与付款方式</w:t>
      </w:r>
      <w:bookmarkEnd w:id="62"/>
      <w:bookmarkEnd w:id="63"/>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（1）中标后，监理人、采购人签订</w:t>
      </w:r>
      <w:r>
        <w:rPr>
          <w:rFonts w:hint="eastAsia" w:ascii="宋体" w:hAnsi="宋体"/>
          <w:sz w:val="28"/>
          <w:szCs w:val="28"/>
          <w:lang w:val="en-US" w:eastAsia="zh-CN"/>
        </w:rPr>
        <w:t>监理</w:t>
      </w:r>
      <w:r>
        <w:rPr>
          <w:rFonts w:hint="eastAsia" w:ascii="宋体" w:hAnsi="宋体"/>
          <w:sz w:val="28"/>
          <w:szCs w:val="28"/>
        </w:rPr>
        <w:t>合同，合同签署后，按合同约定条款支付</w:t>
      </w:r>
      <w:r>
        <w:rPr>
          <w:rFonts w:hint="eastAsia" w:ascii="宋体" w:hAnsi="宋体"/>
          <w:sz w:val="28"/>
          <w:szCs w:val="28"/>
          <w:lang w:val="en-US" w:eastAsia="zh-CN"/>
        </w:rPr>
        <w:t>监理服务费</w:t>
      </w:r>
      <w:r>
        <w:rPr>
          <w:rFonts w:hint="eastAsia" w:ascii="宋体" w:hAnsi="宋体"/>
          <w:sz w:val="28"/>
          <w:szCs w:val="28"/>
        </w:rPr>
        <w:t>款项。</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（2）监理人按采购人要求完成委托业务，办理完工程项目竣工验收及结算且已向采购人移交完整的监理档案资料后方可办理结算支付。</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（3）每笔款项支付前，监理人须提交相应的监理服务费书面申请报告、合同及同等金额的有效发票。</w:t>
      </w:r>
    </w:p>
    <w:p>
      <w:pPr>
        <w:pStyle w:val="7"/>
        <w:ind w:firstLine="479"/>
        <w:rPr>
          <w:color w:val="auto"/>
          <w:sz w:val="28"/>
          <w:szCs w:val="28"/>
        </w:rPr>
      </w:pPr>
      <w:r>
        <w:rPr>
          <w:rFonts w:hint="eastAsia"/>
          <w:color w:val="auto"/>
          <w:sz w:val="28"/>
          <w:szCs w:val="28"/>
          <w:u w:val="none"/>
        </w:rPr>
        <w:t>（4）</w:t>
      </w:r>
      <w:r>
        <w:rPr>
          <w:rFonts w:hint="eastAsia"/>
          <w:color w:val="auto"/>
          <w:sz w:val="28"/>
          <w:szCs w:val="28"/>
          <w:u w:val="single"/>
        </w:rPr>
        <w:t>本</w:t>
      </w:r>
      <w:r>
        <w:rPr>
          <w:rFonts w:hint="eastAsia"/>
          <w:color w:val="auto"/>
          <w:sz w:val="28"/>
          <w:szCs w:val="28"/>
          <w:u w:val="single"/>
          <w:lang w:val="en-US" w:eastAsia="zh-CN"/>
        </w:rPr>
        <w:t>项目</w:t>
      </w:r>
      <w:r>
        <w:rPr>
          <w:rFonts w:hint="eastAsia"/>
          <w:color w:val="auto"/>
          <w:sz w:val="28"/>
          <w:szCs w:val="28"/>
          <w:u w:val="single"/>
        </w:rPr>
        <w:t>工程监理费为总价包干，不随工程</w:t>
      </w:r>
      <w:r>
        <w:rPr>
          <w:rFonts w:hint="eastAsia"/>
          <w:color w:val="auto"/>
          <w:sz w:val="28"/>
          <w:szCs w:val="28"/>
          <w:u w:val="single"/>
          <w:lang w:val="en-US" w:eastAsia="zh-CN"/>
        </w:rPr>
        <w:t>数量及</w:t>
      </w:r>
      <w:r>
        <w:rPr>
          <w:rFonts w:hint="eastAsia"/>
          <w:color w:val="auto"/>
          <w:sz w:val="28"/>
          <w:szCs w:val="28"/>
          <w:u w:val="single"/>
        </w:rPr>
        <w:t>结算价</w:t>
      </w:r>
      <w:r>
        <w:rPr>
          <w:rFonts w:hint="eastAsia"/>
          <w:color w:val="auto"/>
          <w:sz w:val="28"/>
          <w:szCs w:val="28"/>
          <w:u w:val="single"/>
          <w:lang w:val="en-US" w:eastAsia="zh-CN"/>
        </w:rPr>
        <w:t>和</w:t>
      </w:r>
      <w:r>
        <w:rPr>
          <w:rFonts w:hint="eastAsia"/>
          <w:color w:val="auto"/>
          <w:sz w:val="28"/>
          <w:szCs w:val="28"/>
          <w:u w:val="single"/>
        </w:rPr>
        <w:t>施工工期的变化而调整。</w:t>
      </w:r>
    </w:p>
    <w:p>
      <w:pPr>
        <w:adjustRightInd w:val="0"/>
        <w:snapToGrid w:val="0"/>
        <w:spacing w:line="560" w:lineRule="exact"/>
        <w:ind w:firstLine="560" w:firstLineChars="200"/>
        <w:rPr>
          <w:sz w:val="28"/>
          <w:szCs w:val="28"/>
          <w:u w:val="single"/>
        </w:rPr>
      </w:pPr>
      <w:r>
        <w:rPr>
          <w:rFonts w:hint="eastAsia"/>
          <w:color w:val="auto"/>
          <w:sz w:val="28"/>
          <w:szCs w:val="28"/>
          <w:u w:val="none"/>
        </w:rPr>
        <w:t>（</w:t>
      </w:r>
      <w:r>
        <w:rPr>
          <w:rFonts w:hint="eastAsia"/>
          <w:sz w:val="28"/>
          <w:szCs w:val="28"/>
        </w:rPr>
        <w:t>5</w:t>
      </w:r>
      <w:r>
        <w:rPr>
          <w:rFonts w:hint="eastAsia"/>
          <w:color w:val="auto"/>
          <w:sz w:val="28"/>
          <w:szCs w:val="28"/>
          <w:u w:val="none"/>
        </w:rPr>
        <w:t>）监理费的支付方式：</w:t>
      </w:r>
      <w:r>
        <w:rPr>
          <w:rFonts w:hint="eastAsia"/>
          <w:color w:val="auto"/>
          <w:sz w:val="28"/>
          <w:szCs w:val="28"/>
          <w:u w:val="single"/>
          <w:lang w:val="en-US" w:eastAsia="zh-CN"/>
        </w:rPr>
        <w:t>自</w:t>
      </w:r>
      <w:r>
        <w:rPr>
          <w:rFonts w:hint="eastAsia"/>
          <w:sz w:val="28"/>
          <w:szCs w:val="28"/>
          <w:u w:val="single"/>
          <w:lang w:val="en-US" w:eastAsia="zh-CN"/>
        </w:rPr>
        <w:t>监理</w:t>
      </w:r>
      <w:r>
        <w:rPr>
          <w:rFonts w:hint="eastAsia"/>
          <w:color w:val="auto"/>
          <w:sz w:val="28"/>
          <w:szCs w:val="28"/>
          <w:u w:val="single"/>
        </w:rPr>
        <w:t>合同</w:t>
      </w:r>
      <w:r>
        <w:rPr>
          <w:rFonts w:hint="eastAsia"/>
          <w:color w:val="auto"/>
          <w:sz w:val="28"/>
          <w:szCs w:val="28"/>
          <w:u w:val="single"/>
          <w:lang w:val="en-US" w:eastAsia="zh-CN"/>
        </w:rPr>
        <w:t>签订之日起，服务期满6个月后，采购人于15日内支付合同价的50%，服务期满1年后，采购人于15日内支付剩余合同价的50%</w:t>
      </w:r>
      <w:r>
        <w:rPr>
          <w:rFonts w:hint="eastAsia"/>
          <w:color w:val="auto"/>
          <w:sz w:val="28"/>
          <w:szCs w:val="28"/>
          <w:u w:val="single"/>
        </w:rPr>
        <w:t>。</w:t>
      </w:r>
    </w:p>
    <w:p>
      <w:pPr>
        <w:adjustRightInd w:val="0"/>
        <w:snapToGrid w:val="0"/>
        <w:spacing w:line="560" w:lineRule="exact"/>
        <w:ind w:firstLine="641" w:firstLineChars="228"/>
        <w:jc w:val="left"/>
        <w:outlineLvl w:val="1"/>
        <w:rPr>
          <w:rFonts w:ascii="Arial" w:hAnsi="Arial"/>
          <w:b/>
          <w:bCs/>
          <w:kern w:val="0"/>
          <w:sz w:val="28"/>
          <w:szCs w:val="32"/>
        </w:rPr>
      </w:pPr>
      <w:bookmarkStart w:id="64" w:name="_Toc22689"/>
      <w:bookmarkStart w:id="65" w:name="_Toc139478058"/>
      <w:r>
        <w:rPr>
          <w:rFonts w:hint="eastAsia" w:ascii="Arial" w:hAnsi="Arial"/>
          <w:b/>
          <w:bCs/>
          <w:kern w:val="0"/>
          <w:sz w:val="28"/>
          <w:szCs w:val="32"/>
        </w:rPr>
        <w:t>（二）违约处罚</w:t>
      </w:r>
      <w:bookmarkEnd w:id="64"/>
      <w:bookmarkEnd w:id="65"/>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1.监理人提供的监理服务报告，应价值客观、真实、合理、清晰、工整，符合监理行业标准规范要求，如未达到既定监理目标，则采购人不予支付本项目监理服务费。</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2.监理人如有违背执业标准，职业规范（如接受利益请托）等不当行为时，采购人有权即刻单方面解除本合同，并不支付所有费用，且向监理人保留追偿一切损失的权利。</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3.因监理人原因使得工程施工过程中监督不力造成质量事故、人身安全受到伤害、被行政处罚，施工现场混乱，监管缺失，有质量问题材料得以进场使用等问题时，采购人有权不予支付本项目监理费用，且应承担采购人因此而造成的损失。</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4.工程承包人未按经审批的施工组织方案的承诺投入机械、设备、材料等，监理人对此不进行检查、督促、处理，不向采购人报告，被采购人发现后，监理人除必须限期纠正外，累计三次，则采购人不予支付本项目监理费，且监理人需支付采购人监理费合同价款的50%作为违约赔偿金。</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5.对于承包人提交的现场签证资料，监理人未有准确、真实的现场原始记录或不进行现场复核或复核偏差明显失实就给予签字确认，经采购人检查，发现签字确认的文件有误的，除必须限期纠正外，累计三次，则采购人不予支付本项目监理费，且监理人需支付采购人监理费合同价款的50%作为违约赔偿金。</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6.对承包人提交的施工方案、设计变更申请，监理人对其中明显不符合现场实际的部分，或者与招投标文件不符、会引起采购人投资增加和工期延误的部分，不进行认真审核就给予同意，被采购人审查发现后，除必须限期纠正外，监理人必须承担违约责任，由此造成采购人损失的，采购人将要求监理人赔偿经济损失。</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7.对于施工方提交的请款报告，监理人不按实际完成的工作量进行审核，不按合同要求签署拨款意见，被采购人审查发现后，除必须限期纠正外，监理人必须承担违约责任，如造成采购人超付工程款，采购人将要求监理人赔偿经济损失。</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8.因监理人原因（包括：在施工过程中，监理人发出错误指令；监理人越权审批设计变更；因监理人原因造成工程投资增加的等），致使本工程在投资、工期、质量、安全、文明施工等方面给采购人造成损失的，采购人有权要求监理人进行赔偿。</w:t>
      </w:r>
    </w:p>
    <w:p>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9.采购人</w:t>
      </w:r>
      <w:r>
        <w:rPr>
          <w:rFonts w:hint="eastAsia" w:ascii="宋体" w:hAnsi="宋体"/>
          <w:sz w:val="28"/>
          <w:szCs w:val="28"/>
          <w:lang w:val="en-US" w:eastAsia="zh-CN"/>
        </w:rPr>
        <w:t>应</w:t>
      </w:r>
      <w:r>
        <w:rPr>
          <w:rFonts w:hint="eastAsia" w:ascii="宋体" w:hAnsi="宋体"/>
          <w:sz w:val="28"/>
          <w:szCs w:val="28"/>
        </w:rPr>
        <w:t>按合同约定支付监理费用，如无故拖延，则需额外支付合同价款的10%，给予监理人补偿。</w:t>
      </w:r>
    </w:p>
    <w:p>
      <w:pPr>
        <w:adjustRightInd w:val="0"/>
        <w:snapToGrid w:val="0"/>
        <w:spacing w:line="560" w:lineRule="exact"/>
        <w:ind w:firstLine="641" w:firstLineChars="228"/>
        <w:jc w:val="left"/>
        <w:outlineLvl w:val="1"/>
        <w:rPr>
          <w:rFonts w:ascii="Arial" w:hAnsi="Arial"/>
          <w:b/>
          <w:bCs/>
          <w:kern w:val="0"/>
          <w:sz w:val="28"/>
          <w:szCs w:val="32"/>
        </w:rPr>
      </w:pPr>
      <w:bookmarkStart w:id="66" w:name="_Toc139478059"/>
      <w:bookmarkStart w:id="67" w:name="_Toc371"/>
      <w:bookmarkStart w:id="68" w:name="_Toc8386"/>
      <w:r>
        <w:rPr>
          <w:rFonts w:hint="eastAsia" w:ascii="Arial" w:hAnsi="Arial"/>
          <w:b/>
          <w:bCs/>
          <w:kern w:val="0"/>
          <w:sz w:val="28"/>
          <w:szCs w:val="32"/>
        </w:rPr>
        <w:t>（三）其他要求</w:t>
      </w:r>
      <w:bookmarkEnd w:id="66"/>
      <w:bookmarkEnd w:id="67"/>
      <w:bookmarkEnd w:id="68"/>
    </w:p>
    <w:p>
      <w:pPr>
        <w:spacing w:line="560" w:lineRule="exact"/>
        <w:ind w:firstLine="638" w:firstLineChars="228"/>
        <w:rPr>
          <w:rFonts w:ascii="宋体" w:hAnsi="宋体"/>
          <w:sz w:val="28"/>
          <w:szCs w:val="28"/>
        </w:rPr>
      </w:pPr>
      <w:r>
        <w:rPr>
          <w:rFonts w:hint="eastAsia" w:ascii="宋体" w:hAnsi="宋体"/>
          <w:sz w:val="28"/>
          <w:szCs w:val="28"/>
        </w:rPr>
        <w:t>1.监理驻场人员及资格证书复印件须在合同签订后2个工作日内提供。</w:t>
      </w:r>
    </w:p>
    <w:p>
      <w:pPr>
        <w:spacing w:line="560" w:lineRule="exact"/>
        <w:ind w:firstLine="638" w:firstLineChars="228"/>
        <w:rPr>
          <w:rFonts w:ascii="宋体" w:hAnsi="宋体"/>
          <w:sz w:val="28"/>
          <w:szCs w:val="28"/>
        </w:rPr>
      </w:pPr>
      <w:r>
        <w:rPr>
          <w:rFonts w:hint="eastAsia" w:ascii="宋体" w:hAnsi="宋体"/>
          <w:sz w:val="28"/>
          <w:szCs w:val="28"/>
        </w:rPr>
        <w:t>2.自工程开工之日起，监理人需派驻场监理工程师对本项目进行全过程监理，向采购人汇报项目实施过程中质量、进度、监理情况等，如有变更等情况，有义务向采购人提出合理、经济的具体方案和建议；</w:t>
      </w:r>
    </w:p>
    <w:p>
      <w:pPr>
        <w:spacing w:line="560" w:lineRule="exact"/>
        <w:ind w:firstLine="638" w:firstLineChars="228"/>
        <w:rPr>
          <w:rFonts w:ascii="宋体" w:hAnsi="宋体"/>
          <w:sz w:val="28"/>
          <w:szCs w:val="28"/>
        </w:rPr>
      </w:pPr>
      <w:r>
        <w:rPr>
          <w:rFonts w:hint="eastAsia" w:ascii="宋体" w:hAnsi="宋体"/>
          <w:sz w:val="28"/>
          <w:szCs w:val="28"/>
        </w:rPr>
        <w:t>3.严格按时间进度安排，督促施工单位在验收前提交竣工验收资料；</w:t>
      </w:r>
    </w:p>
    <w:p>
      <w:pPr>
        <w:spacing w:line="560" w:lineRule="exact"/>
        <w:ind w:firstLine="638" w:firstLineChars="228"/>
        <w:rPr>
          <w:rFonts w:ascii="宋体" w:hAnsi="宋体"/>
          <w:sz w:val="28"/>
          <w:szCs w:val="28"/>
        </w:rPr>
      </w:pPr>
      <w:r>
        <w:rPr>
          <w:rFonts w:hint="eastAsia" w:ascii="宋体" w:hAnsi="宋体"/>
          <w:sz w:val="28"/>
          <w:szCs w:val="28"/>
        </w:rPr>
        <w:t>4.因监理人原因（包括：在施工过程中，监理人发出错误指令；监理人越权审批设计变更；因监理人原因造成工程投资增加的；因监理人监督不力造成质量事故、或人身安全、或受到行政主管部门处罚等），致使本工程在投资、工期、质量、安全、文明施工等方面给委托人造成损失的，委托人将要求监理人进行赔偿；</w:t>
      </w:r>
    </w:p>
    <w:p>
      <w:pPr>
        <w:spacing w:line="560" w:lineRule="exact"/>
        <w:ind w:firstLine="638" w:firstLineChars="228"/>
        <w:rPr>
          <w:rFonts w:ascii="宋体" w:hAnsi="宋体"/>
          <w:sz w:val="28"/>
          <w:szCs w:val="28"/>
        </w:rPr>
      </w:pPr>
      <w:r>
        <w:rPr>
          <w:rFonts w:hint="eastAsia" w:ascii="宋体" w:hAnsi="宋体"/>
          <w:sz w:val="28"/>
          <w:szCs w:val="28"/>
        </w:rPr>
        <w:t>5.当监理人不履行或没有充分履行其相关承诺及监理义务、合同条款中约定的监理工作内容，监理人应承担违约责任并支付违约金，违约金为本合同监理费的20%，在违约行为发生的当期监理费支付时直接扣除。情节严重的，采购人有权解除合同，由此造成采购人的损失由监理人承担。</w:t>
      </w:r>
    </w:p>
    <w:p>
      <w:pPr>
        <w:tabs>
          <w:tab w:val="left" w:pos="540"/>
        </w:tabs>
        <w:spacing w:line="360" w:lineRule="auto"/>
        <w:ind w:firstLine="562" w:firstLineChars="200"/>
        <w:rPr>
          <w:rFonts w:ascii="宋体" w:hAnsi="宋体"/>
          <w:sz w:val="28"/>
          <w:szCs w:val="28"/>
        </w:rPr>
      </w:pPr>
      <w:r>
        <w:rPr>
          <w:rFonts w:hint="eastAsia" w:ascii="Arial" w:hAnsi="Arial"/>
          <w:b/>
          <w:bCs/>
          <w:kern w:val="0"/>
          <w:sz w:val="28"/>
          <w:szCs w:val="32"/>
        </w:rPr>
        <w:t>（四）争议解决：</w:t>
      </w:r>
      <w:r>
        <w:rPr>
          <w:rFonts w:hint="eastAsia" w:ascii="宋体" w:hAnsi="宋体"/>
          <w:sz w:val="28"/>
          <w:szCs w:val="28"/>
        </w:rPr>
        <w:t>合同执行过程中发生的任何争议，双方友好协商解决，协商不成，向甲方所在地人民法院提起诉讼。</w:t>
      </w:r>
    </w:p>
    <w:p>
      <w:pPr>
        <w:tabs>
          <w:tab w:val="left" w:pos="540"/>
        </w:tabs>
        <w:spacing w:line="360" w:lineRule="auto"/>
        <w:ind w:firstLine="560" w:firstLineChars="200"/>
        <w:rPr>
          <w:rFonts w:ascii="宋体" w:hAnsi="宋体"/>
          <w:sz w:val="28"/>
          <w:szCs w:val="28"/>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3"/>
        <w:jc w:val="center"/>
      </w:pPr>
      <w:bookmarkStart w:id="69" w:name="_Toc139478060"/>
      <w:bookmarkStart w:id="70" w:name="_Toc14310"/>
      <w:r>
        <w:rPr>
          <w:rFonts w:hint="eastAsia"/>
        </w:rPr>
        <w:t>第三部分  报价文件格式</w:t>
      </w:r>
      <w:bookmarkEnd w:id="69"/>
      <w:bookmarkEnd w:id="70"/>
    </w:p>
    <w:p>
      <w:pPr>
        <w:jc w:val="center"/>
        <w:rPr>
          <w:color w:val="000000"/>
          <w:sz w:val="18"/>
          <w:szCs w:val="18"/>
        </w:rPr>
      </w:pPr>
      <w:r>
        <w:rPr>
          <w:rFonts w:hint="eastAsia"/>
          <w:b/>
          <w:color w:val="000000"/>
          <w:sz w:val="28"/>
          <w:szCs w:val="28"/>
        </w:rPr>
        <w:t>询价采购报价文件封面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询价采购报价文件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numPr>
          <w:ilvl w:val="0"/>
          <w:numId w:val="0"/>
        </w:numPr>
        <w:jc w:val="left"/>
        <w:rPr>
          <w:rFonts w:ascii="宋体" w:hAnsi="宋体" w:cs="宋体"/>
          <w:b/>
          <w:bCs/>
          <w:spacing w:val="30"/>
          <w:sz w:val="28"/>
          <w:szCs w:val="28"/>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leftChars="0" w:firstLine="0" w:firstLineChars="0"/>
        <w:rPr>
          <w:rFonts w:ascii="宋体" w:hAnsi="宋体" w:cs="宋体"/>
          <w:b/>
          <w:bCs/>
          <w:spacing w:val="30"/>
          <w:sz w:val="28"/>
          <w:szCs w:val="28"/>
        </w:rPr>
      </w:pP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val="0"/>
            <w:vAlign w:val="to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w:t>
      </w:r>
      <w:r>
        <w:rPr>
          <w:rFonts w:hint="eastAsia" w:ascii="宋体" w:hAnsi="宋体"/>
          <w:bCs/>
          <w:sz w:val="28"/>
          <w:szCs w:val="28"/>
        </w:rPr>
        <w:t xml:space="preserve">     </w:t>
      </w:r>
      <w:r>
        <w:rPr>
          <w:rFonts w:ascii="宋体" w:hAnsi="宋体"/>
          <w:bCs/>
          <w:sz w:val="28"/>
          <w:szCs w:val="28"/>
        </w:rPr>
        <w:t>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val="0"/>
            <w:vAlign w:val="to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pStyle w:val="7"/>
        <w:rPr>
          <w:rFonts w:ascii="宋体" w:hAnsi="宋体" w:cs="宋体"/>
          <w:b/>
          <w:bCs/>
          <w:spacing w:val="30"/>
          <w:sz w:val="44"/>
          <w:szCs w:val="44"/>
        </w:rPr>
      </w:pPr>
    </w:p>
    <w:p>
      <w:pPr>
        <w:spacing w:line="520" w:lineRule="exact"/>
        <w:jc w:val="center"/>
        <w:rPr>
          <w:rFonts w:ascii="宋体" w:hAnsi="宋体" w:cs="宋体"/>
          <w:b/>
          <w:bCs/>
          <w:spacing w:val="30"/>
          <w:sz w:val="36"/>
          <w:szCs w:val="36"/>
        </w:rPr>
      </w:pPr>
      <w:r>
        <w:rPr>
          <w:rFonts w:hAnsi="宋体" w:cs="宋体"/>
          <w:b/>
          <w:bCs/>
          <w:color w:val="auto"/>
          <w:spacing w:val="30"/>
          <w:sz w:val="36"/>
          <w:szCs w:val="36"/>
          <w:u w:val="none"/>
        </w:rPr>
        <w:t>（</w:t>
      </w:r>
      <w:r>
        <w:rPr>
          <w:rFonts w:hint="eastAsia" w:hAnsi="宋体" w:cs="宋体"/>
          <w:b/>
          <w:bCs/>
          <w:color w:val="auto"/>
          <w:spacing w:val="30"/>
          <w:sz w:val="36"/>
          <w:szCs w:val="36"/>
          <w:u w:val="none"/>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color w:val="auto"/>
                <w:sz w:val="24"/>
                <w:u w:val="none"/>
              </w:rPr>
              <w:t>广东财经大学</w:t>
            </w:r>
            <w:r>
              <w:rPr>
                <w:rFonts w:hint="eastAsia" w:ascii="宋体" w:hAnsi="宋体"/>
                <w:b/>
                <w:color w:val="auto"/>
                <w:sz w:val="24"/>
                <w:u w:val="none"/>
                <w:lang w:val="en-US" w:eastAsia="zh-CN"/>
              </w:rPr>
              <w:t>佛山校区2024年小额工程监理服务项目</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0" w:firstLineChars="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6"/>
        </w:numPr>
        <w:spacing w:line="0" w:lineRule="atLeast"/>
        <w:rPr>
          <w:rFonts w:hAnsi="宋体"/>
          <w:sz w:val="28"/>
          <w:szCs w:val="28"/>
        </w:rPr>
      </w:pPr>
      <w:r>
        <w:rPr>
          <w:rFonts w:hint="eastAsia"/>
          <w:sz w:val="28"/>
          <w:szCs w:val="28"/>
        </w:rPr>
        <w:t>填写此表时不得改变表格的形式。</w:t>
      </w:r>
    </w:p>
    <w:p>
      <w:pPr>
        <w:pStyle w:val="14"/>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ind w:firstLine="960" w:firstLineChars="300"/>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36"/>
          <w:szCs w:val="36"/>
        </w:rPr>
      </w:pPr>
      <w:r>
        <w:rPr>
          <w:rFonts w:hint="eastAsia" w:ascii="宋体" w:hAnsi="宋体" w:cs="宋体"/>
          <w:b/>
          <w:bCs/>
          <w:color w:val="auto"/>
          <w:spacing w:val="30"/>
          <w:sz w:val="36"/>
          <w:szCs w:val="36"/>
          <w:u w:val="none"/>
        </w:rPr>
        <w:t>技术（服务）条款响应表（格式可自拟）</w:t>
      </w:r>
    </w:p>
    <w:tbl>
      <w:tblPr>
        <w:tblStyle w:val="28"/>
        <w:tblW w:w="9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3"/>
        <w:gridCol w:w="989"/>
        <w:gridCol w:w="1470"/>
        <w:gridCol w:w="602"/>
        <w:gridCol w:w="602"/>
        <w:gridCol w:w="1470"/>
        <w:gridCol w:w="1759"/>
        <w:gridCol w:w="1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66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采购书需求</w:t>
            </w:r>
          </w:p>
        </w:tc>
        <w:tc>
          <w:tcPr>
            <w:tcW w:w="38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kern w:val="0"/>
                <w:szCs w:val="21"/>
              </w:rPr>
            </w:pPr>
            <w:r>
              <w:rPr>
                <w:rFonts w:hint="eastAsia" w:ascii="宋体" w:hAnsi="宋体"/>
                <w:b/>
                <w:kern w:val="0"/>
                <w:szCs w:val="21"/>
              </w:rPr>
              <w:t>报价人响应</w:t>
            </w:r>
          </w:p>
        </w:tc>
        <w:tc>
          <w:tcPr>
            <w:tcW w:w="1567" w:type="dxa"/>
            <w:tcBorders>
              <w:top w:val="single" w:color="auto" w:sz="4" w:space="0"/>
              <w:left w:val="single" w:color="auto" w:sz="4" w:space="0"/>
              <w:bottom w:val="single" w:color="auto" w:sz="4" w:space="0"/>
            </w:tcBorders>
            <w:noWrap w:val="0"/>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序号</w:t>
            </w:r>
          </w:p>
        </w:tc>
        <w:tc>
          <w:tcPr>
            <w:tcW w:w="9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品目名称</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技术规格/指标</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数量</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数量</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技术规格/指标</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技术指标偏离情况</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4</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6</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7</w:t>
            </w: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640" w:firstLineChars="200"/>
        <w:rPr>
          <w:rFonts w:ascii="宋体" w:hAnsi="宋体"/>
          <w:sz w:val="32"/>
          <w:szCs w:val="32"/>
        </w:rPr>
      </w:pPr>
      <w:r>
        <w:rPr>
          <w:rFonts w:hint="eastAsia" w:ascii="宋体" w:hAnsi="宋体"/>
          <w:sz w:val="32"/>
          <w:szCs w:val="32"/>
        </w:rPr>
        <w:t>报价人单位（盖章）：</w:t>
      </w:r>
    </w:p>
    <w:p>
      <w:pPr>
        <w:numPr>
          <w:ilvl w:val="0"/>
          <w:numId w:val="5"/>
        </w:numPr>
        <w:autoSpaceDE w:val="0"/>
        <w:autoSpaceDN w:val="0"/>
        <w:adjustRightInd w:val="0"/>
        <w:spacing w:line="640" w:lineRule="exact"/>
        <w:jc w:val="center"/>
        <w:rPr>
          <w:rFonts w:ascii="宋体" w:hAnsi="宋体" w:cs="宋体"/>
          <w:b/>
          <w:bCs/>
          <w:spacing w:val="30"/>
          <w:sz w:val="36"/>
          <w:szCs w:val="36"/>
        </w:rPr>
      </w:pPr>
      <w:r>
        <w:rPr>
          <w:rFonts w:hint="eastAsia" w:ascii="宋体" w:hAnsi="宋体" w:cs="宋体"/>
          <w:b/>
          <w:bCs/>
          <w:color w:val="auto"/>
          <w:spacing w:val="30"/>
          <w:sz w:val="36"/>
          <w:szCs w:val="36"/>
          <w:u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320" w:firstLineChars="100"/>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36"/>
          <w:szCs w:val="36"/>
        </w:rPr>
      </w:pPr>
      <w:r>
        <w:rPr>
          <w:rFonts w:hint="eastAsia" w:ascii="宋体" w:hAnsi="宋体"/>
          <w:b/>
          <w:color w:val="auto"/>
          <w:sz w:val="36"/>
          <w:szCs w:val="36"/>
          <w:u w:val="none"/>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960" w:firstLineChars="300"/>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hint="eastAsia" w:ascii="宋体" w:hAnsi="宋体"/>
          <w:sz w:val="32"/>
          <w:szCs w:val="32"/>
        </w:rPr>
      </w:pPr>
      <w:r>
        <w:rPr>
          <w:rFonts w:hint="eastAsia" w:ascii="宋体" w:hAnsi="宋体"/>
          <w:sz w:val="32"/>
          <w:szCs w:val="32"/>
        </w:rPr>
        <w:t xml:space="preserve">                                    年  月  日</w:t>
      </w: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rPr>
          <w:rFonts w:hint="eastAsia" w:ascii="宋体" w:hAnsi="宋体"/>
          <w:sz w:val="32"/>
          <w:szCs w:val="32"/>
        </w:rPr>
      </w:pPr>
    </w:p>
    <w:p>
      <w:pPr>
        <w:spacing w:line="400" w:lineRule="exact"/>
        <w:jc w:val="center"/>
        <w:rPr>
          <w:rFonts w:hint="default" w:ascii="宋体" w:hAnsi="宋体" w:eastAsia="宋体"/>
          <w:b/>
          <w:bCs/>
          <w:sz w:val="36"/>
          <w:szCs w:val="36"/>
          <w:lang w:val="en-US" w:eastAsia="zh-CN"/>
        </w:rPr>
      </w:pPr>
      <w:r>
        <w:rPr>
          <w:rFonts w:hint="eastAsia" w:ascii="宋体" w:hAnsi="宋体"/>
          <w:b/>
          <w:bCs/>
          <w:sz w:val="36"/>
          <w:szCs w:val="36"/>
          <w:lang w:val="en-US" w:eastAsia="zh-CN"/>
        </w:rPr>
        <w:t>八、证明材料</w:t>
      </w:r>
    </w:p>
    <w:p>
      <w:pPr>
        <w:spacing w:line="320" w:lineRule="exact"/>
        <w:jc w:val="center"/>
        <w:rPr>
          <w:rFonts w:ascii="宋体" w:hAnsi="宋体"/>
          <w:b/>
          <w:sz w:val="28"/>
          <w:szCs w:val="28"/>
        </w:rPr>
      </w:pPr>
    </w:p>
    <w:p>
      <w:pPr>
        <w:spacing w:line="400" w:lineRule="exact"/>
        <w:jc w:val="left"/>
        <w:rPr>
          <w:b/>
          <w:sz w:val="44"/>
          <w:szCs w:val="44"/>
        </w:rPr>
      </w:pPr>
    </w:p>
    <w:sectPr>
      <w:headerReference r:id="rId17" w:type="first"/>
      <w:headerReference r:id="rId15" w:type="default"/>
      <w:headerReference r:id="rId16" w:type="even"/>
      <w:pgSz w:w="11907" w:h="16840"/>
      <w:pgMar w:top="2098" w:right="1474" w:bottom="2098" w:left="1587"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8BD542-A6AB-4EA1-A062-D40A9CF0587D}"/>
  </w:font>
  <w:font w:name="黑体">
    <w:panose1 w:val="02010609060101010101"/>
    <w:charset w:val="86"/>
    <w:family w:val="auto"/>
    <w:pitch w:val="default"/>
    <w:sig w:usb0="800002BF" w:usb1="38CF7CFA" w:usb2="00000016" w:usb3="00000000" w:csb0="00040001" w:csb1="00000000"/>
    <w:embedRegular r:id="rId2" w:fontKey="{63ADE1BD-5C98-4DBA-8D05-59EABA4FC1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8B44F8B-4D74-4692-A087-F066CF11C581}"/>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251ACD3C-CDF8-4433-AA1C-7A5D94C919C6}"/>
  </w:font>
  <w:font w:name="方正小标宋_GBK">
    <w:panose1 w:val="02000000000000000000"/>
    <w:charset w:val="86"/>
    <w:family w:val="auto"/>
    <w:pitch w:val="default"/>
    <w:sig w:usb0="A00002BF" w:usb1="38CF7CFA" w:usb2="00082016" w:usb3="00000000" w:csb0="00040001" w:csb1="00000000"/>
    <w:embedRegular r:id="rId5" w:fontKey="{C0E23998-CAFC-41CD-B016-1443529FC612}"/>
  </w:font>
  <w:font w:name="楷体_GB2312">
    <w:panose1 w:val="02010609030101010101"/>
    <w:charset w:val="86"/>
    <w:family w:val="modern"/>
    <w:pitch w:val="default"/>
    <w:sig w:usb0="00000001" w:usb1="080E0000" w:usb2="00000000" w:usb3="00000000" w:csb0="00040000" w:csb1="00000000"/>
    <w:embedRegular r:id="rId6" w:fontKey="{802EAFD1-830F-49E1-8623-A3176EECAC7E}"/>
  </w:font>
  <w:font w:name="楷体">
    <w:panose1 w:val="02010609060101010101"/>
    <w:charset w:val="86"/>
    <w:family w:val="modern"/>
    <w:pitch w:val="default"/>
    <w:sig w:usb0="800002BF" w:usb1="38CF7CFA" w:usb2="00000016" w:usb3="00000000" w:csb0="00040001" w:csb1="00000000"/>
    <w:embedRegular r:id="rId7" w:fontKey="{A2D25E86-6E42-40C4-8679-A2CFC61769F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4g6s0BAACn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A4g6s0BAACn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X09kzAEAAKcDAAAOAAAAAAAAAAEAIAAAAB4BAABkcnMvZTJv&#10;RG9jLnhtbFBLBQYAAAAABgAGAFkBAABc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ios0BAACnAwAADgAAAGRycy9lMm9Eb2MueG1srVPNjtMwEL4j8Q6W&#10;7zTZSqA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03NX3PmhKUHP//8cf715/z7O3ub&#10;5OkDVlR1G6guDu/9QEszx5GCifXQgk1f4sMoT+KeLuKqITKZLq2Wq1VJKUm52SH84v56AIwflLcs&#10;GTUHer0sqjh+wjiWziWpm/M32pj8gsb9FyDMMaLyCky3E5Nx4mTFYTdM9Ha+ORG7ntag5o62njPz&#10;0ZHKaWNmA2ZjNxuHAHrf5ZVK3TG8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hios0BAACnAwAADgAAAAAAAAABACAAAAAeAQAAZHJzL2Uy&#10;b0RvYy54bWxQSwUGAAAAAAYABgBZAQAAXQ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19D5"/>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1F3D"/>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180"/>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3230"/>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76C2E"/>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623"/>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478B5"/>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685B"/>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08"/>
    <w:rsid w:val="007A1449"/>
    <w:rsid w:val="007A1889"/>
    <w:rsid w:val="007A2260"/>
    <w:rsid w:val="007A465B"/>
    <w:rsid w:val="007A4708"/>
    <w:rsid w:val="007A6B3C"/>
    <w:rsid w:val="007A6C16"/>
    <w:rsid w:val="007A6CBC"/>
    <w:rsid w:val="007A6F65"/>
    <w:rsid w:val="007A7556"/>
    <w:rsid w:val="007B06E4"/>
    <w:rsid w:val="007B07AE"/>
    <w:rsid w:val="007B111C"/>
    <w:rsid w:val="007B15A7"/>
    <w:rsid w:val="007B2732"/>
    <w:rsid w:val="007B2BE8"/>
    <w:rsid w:val="007B3342"/>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1902"/>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02"/>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027"/>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51F"/>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6BE"/>
    <w:rsid w:val="00BA5AAB"/>
    <w:rsid w:val="00BA5B5B"/>
    <w:rsid w:val="00BA6325"/>
    <w:rsid w:val="00BA716E"/>
    <w:rsid w:val="00BA7CA6"/>
    <w:rsid w:val="00BB091C"/>
    <w:rsid w:val="00BB1447"/>
    <w:rsid w:val="00BB15B6"/>
    <w:rsid w:val="00BB17E4"/>
    <w:rsid w:val="00BB2DD3"/>
    <w:rsid w:val="00BB3855"/>
    <w:rsid w:val="00BB4136"/>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1F3D"/>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A65"/>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DA8"/>
    <w:rsid w:val="00EB2E54"/>
    <w:rsid w:val="00EB3031"/>
    <w:rsid w:val="00EB3038"/>
    <w:rsid w:val="00EB323F"/>
    <w:rsid w:val="00EB36BC"/>
    <w:rsid w:val="00EB3BBF"/>
    <w:rsid w:val="00EB4058"/>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8D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573C7E"/>
    <w:rsid w:val="029C7941"/>
    <w:rsid w:val="031C725A"/>
    <w:rsid w:val="0338148D"/>
    <w:rsid w:val="03AD1858"/>
    <w:rsid w:val="03D568F0"/>
    <w:rsid w:val="03ED0CE5"/>
    <w:rsid w:val="05940418"/>
    <w:rsid w:val="07654F6A"/>
    <w:rsid w:val="079E325C"/>
    <w:rsid w:val="07EC4BEA"/>
    <w:rsid w:val="0A2F4D76"/>
    <w:rsid w:val="0B464611"/>
    <w:rsid w:val="0BCA7BF1"/>
    <w:rsid w:val="0BEE41F8"/>
    <w:rsid w:val="0D0015C5"/>
    <w:rsid w:val="0D0C3638"/>
    <w:rsid w:val="0DD51C7C"/>
    <w:rsid w:val="0E552DBD"/>
    <w:rsid w:val="0E6949B3"/>
    <w:rsid w:val="0EEF3211"/>
    <w:rsid w:val="0F666038"/>
    <w:rsid w:val="0FEF4AD0"/>
    <w:rsid w:val="11FA2096"/>
    <w:rsid w:val="12254861"/>
    <w:rsid w:val="12B4052F"/>
    <w:rsid w:val="12EC524A"/>
    <w:rsid w:val="13071F04"/>
    <w:rsid w:val="13452223"/>
    <w:rsid w:val="13C52591"/>
    <w:rsid w:val="14A66120"/>
    <w:rsid w:val="14E23522"/>
    <w:rsid w:val="168532DC"/>
    <w:rsid w:val="16AF71F3"/>
    <w:rsid w:val="16CD56D6"/>
    <w:rsid w:val="17163A31"/>
    <w:rsid w:val="173373DC"/>
    <w:rsid w:val="1753107A"/>
    <w:rsid w:val="183728E9"/>
    <w:rsid w:val="18416BF4"/>
    <w:rsid w:val="18CD55BE"/>
    <w:rsid w:val="18DC1D83"/>
    <w:rsid w:val="18DD33E1"/>
    <w:rsid w:val="18EE0C00"/>
    <w:rsid w:val="1A497C7A"/>
    <w:rsid w:val="1AE42B15"/>
    <w:rsid w:val="1D7C130D"/>
    <w:rsid w:val="1F8B4890"/>
    <w:rsid w:val="20BC39CA"/>
    <w:rsid w:val="213E5304"/>
    <w:rsid w:val="21E00F42"/>
    <w:rsid w:val="22422C69"/>
    <w:rsid w:val="23E6791D"/>
    <w:rsid w:val="245F6E0F"/>
    <w:rsid w:val="24905418"/>
    <w:rsid w:val="263B5217"/>
    <w:rsid w:val="27192484"/>
    <w:rsid w:val="27213913"/>
    <w:rsid w:val="274E126F"/>
    <w:rsid w:val="279C12C3"/>
    <w:rsid w:val="27C423D8"/>
    <w:rsid w:val="27ED6457"/>
    <w:rsid w:val="28154F06"/>
    <w:rsid w:val="28A2064A"/>
    <w:rsid w:val="28E13EA5"/>
    <w:rsid w:val="291150CE"/>
    <w:rsid w:val="2A85404E"/>
    <w:rsid w:val="2B682DD1"/>
    <w:rsid w:val="2C0734F1"/>
    <w:rsid w:val="2D4570A7"/>
    <w:rsid w:val="2D6B2F68"/>
    <w:rsid w:val="2E2429AD"/>
    <w:rsid w:val="2E7F096C"/>
    <w:rsid w:val="2E950643"/>
    <w:rsid w:val="2FBA14FE"/>
    <w:rsid w:val="305B2BFC"/>
    <w:rsid w:val="311763F2"/>
    <w:rsid w:val="31745D1A"/>
    <w:rsid w:val="31B36DA7"/>
    <w:rsid w:val="3237724D"/>
    <w:rsid w:val="32C61B83"/>
    <w:rsid w:val="344B05CF"/>
    <w:rsid w:val="34683033"/>
    <w:rsid w:val="35B77661"/>
    <w:rsid w:val="36583023"/>
    <w:rsid w:val="3713274F"/>
    <w:rsid w:val="38581DE4"/>
    <w:rsid w:val="388E602A"/>
    <w:rsid w:val="39A41F55"/>
    <w:rsid w:val="39A6093D"/>
    <w:rsid w:val="3AF37A62"/>
    <w:rsid w:val="3B67796F"/>
    <w:rsid w:val="3BB87D39"/>
    <w:rsid w:val="3BF75747"/>
    <w:rsid w:val="3CC82828"/>
    <w:rsid w:val="3D5D668B"/>
    <w:rsid w:val="3D832EB5"/>
    <w:rsid w:val="3EB43B95"/>
    <w:rsid w:val="3F0535D6"/>
    <w:rsid w:val="401A05CF"/>
    <w:rsid w:val="40652603"/>
    <w:rsid w:val="417E7D94"/>
    <w:rsid w:val="42532A81"/>
    <w:rsid w:val="42AE784B"/>
    <w:rsid w:val="431244A3"/>
    <w:rsid w:val="43883266"/>
    <w:rsid w:val="44025D80"/>
    <w:rsid w:val="442F0A64"/>
    <w:rsid w:val="44A1408B"/>
    <w:rsid w:val="44C56332"/>
    <w:rsid w:val="44FE771E"/>
    <w:rsid w:val="453D2E2E"/>
    <w:rsid w:val="455B5F6E"/>
    <w:rsid w:val="4678338B"/>
    <w:rsid w:val="476B2D91"/>
    <w:rsid w:val="48833F13"/>
    <w:rsid w:val="490E5A67"/>
    <w:rsid w:val="49961747"/>
    <w:rsid w:val="4ADD6003"/>
    <w:rsid w:val="4BEB2A35"/>
    <w:rsid w:val="4C513EAF"/>
    <w:rsid w:val="4C9204F0"/>
    <w:rsid w:val="4D4203D5"/>
    <w:rsid w:val="4DBA5FA6"/>
    <w:rsid w:val="4DD5065C"/>
    <w:rsid w:val="4E4D114A"/>
    <w:rsid w:val="50010825"/>
    <w:rsid w:val="507A5425"/>
    <w:rsid w:val="50C30629"/>
    <w:rsid w:val="51577DD1"/>
    <w:rsid w:val="51AB09AF"/>
    <w:rsid w:val="520732F2"/>
    <w:rsid w:val="52E26C7E"/>
    <w:rsid w:val="531269D1"/>
    <w:rsid w:val="5336569E"/>
    <w:rsid w:val="54B4589B"/>
    <w:rsid w:val="55B90436"/>
    <w:rsid w:val="56002BDB"/>
    <w:rsid w:val="57434CFA"/>
    <w:rsid w:val="5A165665"/>
    <w:rsid w:val="5A965CB3"/>
    <w:rsid w:val="5C097FBF"/>
    <w:rsid w:val="5C837B0E"/>
    <w:rsid w:val="5C9752BD"/>
    <w:rsid w:val="5CA3383C"/>
    <w:rsid w:val="5CFE645C"/>
    <w:rsid w:val="5D0F743D"/>
    <w:rsid w:val="5D901B4E"/>
    <w:rsid w:val="5DCB7EB6"/>
    <w:rsid w:val="5EB743B6"/>
    <w:rsid w:val="603B4F3C"/>
    <w:rsid w:val="6194517C"/>
    <w:rsid w:val="61F61AA4"/>
    <w:rsid w:val="62437726"/>
    <w:rsid w:val="628F0A4F"/>
    <w:rsid w:val="6296560A"/>
    <w:rsid w:val="62D60C04"/>
    <w:rsid w:val="62DB6DB3"/>
    <w:rsid w:val="63065FF8"/>
    <w:rsid w:val="63550335"/>
    <w:rsid w:val="66AE74E9"/>
    <w:rsid w:val="68742FE5"/>
    <w:rsid w:val="697C1D6F"/>
    <w:rsid w:val="6A80153E"/>
    <w:rsid w:val="6AF9611F"/>
    <w:rsid w:val="6CBE7215"/>
    <w:rsid w:val="6D196FC2"/>
    <w:rsid w:val="6F544E68"/>
    <w:rsid w:val="6FFB1E2E"/>
    <w:rsid w:val="715C2F64"/>
    <w:rsid w:val="719242C5"/>
    <w:rsid w:val="72B62304"/>
    <w:rsid w:val="72D83511"/>
    <w:rsid w:val="72F175DA"/>
    <w:rsid w:val="742D0AEA"/>
    <w:rsid w:val="743D17C4"/>
    <w:rsid w:val="74D014AA"/>
    <w:rsid w:val="750157C1"/>
    <w:rsid w:val="763D644C"/>
    <w:rsid w:val="77F228DE"/>
    <w:rsid w:val="784309DA"/>
    <w:rsid w:val="78851ED1"/>
    <w:rsid w:val="78DA73B7"/>
    <w:rsid w:val="790E0194"/>
    <w:rsid w:val="79753425"/>
    <w:rsid w:val="79C61CFF"/>
    <w:rsid w:val="7A985681"/>
    <w:rsid w:val="7ACB6801"/>
    <w:rsid w:val="7B2E7C7A"/>
    <w:rsid w:val="7BCA420F"/>
    <w:rsid w:val="7BFE6CFA"/>
    <w:rsid w:val="7C5C3D96"/>
    <w:rsid w:val="7DBD7DE5"/>
    <w:rsid w:val="7E740121"/>
    <w:rsid w:val="7EBA751C"/>
    <w:rsid w:val="7EE91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line="720" w:lineRule="exact"/>
      <w:jc w:val="center"/>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40"/>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41"/>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Style w:val="28"/>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Indent"/>
    <w:basedOn w:val="1"/>
    <w:link w:val="42"/>
    <w:qFormat/>
    <w:uiPriority w:val="0"/>
    <w:pPr>
      <w:ind w:firstLine="420"/>
    </w:pPr>
    <w:rPr>
      <w:rFonts w:ascii="Calibri" w:hAnsi="Calibri"/>
      <w:kern w:val="0"/>
      <w:sz w:val="20"/>
      <w:szCs w:val="20"/>
    </w:rPr>
  </w:style>
  <w:style w:type="paragraph" w:styleId="8">
    <w:name w:val="Document Map"/>
    <w:basedOn w:val="1"/>
    <w:link w:val="43"/>
    <w:semiHidden/>
    <w:qFormat/>
    <w:uiPriority w:val="0"/>
    <w:pPr>
      <w:shd w:val="clear" w:color="auto" w:fill="000080"/>
    </w:pPr>
    <w:rPr>
      <w:kern w:val="0"/>
      <w:sz w:val="20"/>
    </w:rPr>
  </w:style>
  <w:style w:type="paragraph" w:styleId="9">
    <w:name w:val="annotation text"/>
    <w:basedOn w:val="1"/>
    <w:next w:val="10"/>
    <w:link w:val="44"/>
    <w:qFormat/>
    <w:uiPriority w:val="0"/>
    <w:pPr>
      <w:spacing w:line="280" w:lineRule="exact"/>
      <w:jc w:val="left"/>
    </w:pPr>
    <w:rPr>
      <w:sz w:val="24"/>
    </w:rPr>
  </w:style>
  <w:style w:type="paragraph" w:styleId="10">
    <w:name w:val="Balloon Text"/>
    <w:basedOn w:val="1"/>
    <w:link w:val="45"/>
    <w:semiHidden/>
    <w:qFormat/>
    <w:uiPriority w:val="0"/>
    <w:pPr>
      <w:adjustRightInd w:val="0"/>
      <w:snapToGrid w:val="0"/>
    </w:pPr>
    <w:rPr>
      <w:sz w:val="28"/>
      <w:szCs w:val="18"/>
    </w:rPr>
  </w:style>
  <w:style w:type="paragraph" w:styleId="11">
    <w:name w:val="Body Text Indent"/>
    <w:basedOn w:val="1"/>
    <w:link w:val="4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7"/>
    <w:qFormat/>
    <w:uiPriority w:val="0"/>
    <w:rPr>
      <w:rFonts w:ascii="宋体" w:hAnsi="Courier New"/>
      <w:kern w:val="0"/>
      <w:sz w:val="20"/>
    </w:rPr>
  </w:style>
  <w:style w:type="paragraph" w:styleId="15">
    <w:name w:val="Date"/>
    <w:basedOn w:val="1"/>
    <w:next w:val="1"/>
    <w:link w:val="48"/>
    <w:qFormat/>
    <w:uiPriority w:val="0"/>
    <w:pPr>
      <w:ind w:left="100" w:leftChars="2500"/>
    </w:pPr>
    <w:rPr>
      <w:kern w:val="0"/>
      <w:sz w:val="28"/>
    </w:rPr>
  </w:style>
  <w:style w:type="paragraph" w:styleId="16">
    <w:name w:val="Body Text Indent 2"/>
    <w:basedOn w:val="1"/>
    <w:link w:val="49"/>
    <w:qFormat/>
    <w:uiPriority w:val="0"/>
    <w:pPr>
      <w:spacing w:line="300" w:lineRule="auto"/>
      <w:ind w:firstLine="540" w:firstLineChars="225"/>
    </w:pPr>
    <w:rPr>
      <w:rFonts w:ascii="宋体" w:hAnsi="宋体"/>
      <w:color w:val="000000"/>
      <w:kern w:val="0"/>
      <w:sz w:val="24"/>
    </w:rPr>
  </w:style>
  <w:style w:type="paragraph" w:styleId="17">
    <w:name w:val="footer"/>
    <w:basedOn w:val="1"/>
    <w:link w:val="50"/>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53"/>
    <w:qFormat/>
    <w:uiPriority w:val="0"/>
    <w:pPr>
      <w:snapToGrid w:val="0"/>
      <w:jc w:val="left"/>
    </w:pPr>
    <w:rPr>
      <w:kern w:val="0"/>
      <w:sz w:val="18"/>
      <w:szCs w:val="18"/>
    </w:rPr>
  </w:style>
  <w:style w:type="paragraph" w:styleId="24">
    <w:name w:val="Body Text Indent 3"/>
    <w:basedOn w:val="1"/>
    <w:link w:val="54"/>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9"/>
    <w:next w:val="9"/>
    <w:link w:val="55"/>
    <w:semiHidden/>
    <w:qFormat/>
    <w:uiPriority w:val="0"/>
    <w:rPr>
      <w:b/>
      <w:bCs/>
      <w:kern w:val="0"/>
      <w:sz w:val="20"/>
    </w:rPr>
  </w:style>
  <w:style w:type="table" w:styleId="29">
    <w:name w:val="Table Grid"/>
    <w:basedOn w:val="28"/>
    <w:qFormat/>
    <w:uiPriority w:val="59"/>
    <w:pPr>
      <w:widowControl w:val="0"/>
      <w:jc w:val="both"/>
    </w:p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标题 1 Char"/>
    <w:link w:val="3"/>
    <w:qFormat/>
    <w:uiPriority w:val="0"/>
    <w:rPr>
      <w:rFonts w:ascii="Times New Roman" w:hAnsi="Times New Roman" w:eastAsia="宋体" w:cs="Times New Roman"/>
      <w:b/>
      <w:bCs/>
      <w:kern w:val="44"/>
      <w:sz w:val="44"/>
      <w:szCs w:val="44"/>
    </w:rPr>
  </w:style>
  <w:style w:type="character" w:customStyle="1" w:styleId="39">
    <w:name w:val="标题 2 Char"/>
    <w:link w:val="4"/>
    <w:qFormat/>
    <w:uiPriority w:val="0"/>
    <w:rPr>
      <w:rFonts w:ascii="Arial" w:hAnsi="Arial" w:eastAsia="宋体" w:cs="Times New Roman"/>
      <w:b/>
      <w:bCs/>
      <w:sz w:val="28"/>
      <w:szCs w:val="32"/>
    </w:rPr>
  </w:style>
  <w:style w:type="character" w:customStyle="1" w:styleId="40">
    <w:name w:val="标题 3 Char"/>
    <w:link w:val="5"/>
    <w:qFormat/>
    <w:uiPriority w:val="0"/>
    <w:rPr>
      <w:rFonts w:ascii="Times New Roman" w:hAnsi="Times New Roman" w:eastAsia="宋体" w:cs="Times New Roman"/>
      <w:b/>
      <w:bCs/>
      <w:sz w:val="24"/>
      <w:szCs w:val="32"/>
    </w:rPr>
  </w:style>
  <w:style w:type="character" w:customStyle="1" w:styleId="41">
    <w:name w:val="标题 4 Char"/>
    <w:link w:val="6"/>
    <w:semiHidden/>
    <w:qFormat/>
    <w:uiPriority w:val="9"/>
    <w:rPr>
      <w:rFonts w:ascii="Cambria" w:hAnsi="Cambria" w:eastAsia="宋体" w:cs="Times New Roman"/>
      <w:b/>
      <w:bCs/>
      <w:sz w:val="28"/>
      <w:szCs w:val="28"/>
    </w:rPr>
  </w:style>
  <w:style w:type="character" w:customStyle="1" w:styleId="42">
    <w:name w:val="正文缩进 Char"/>
    <w:link w:val="7"/>
    <w:qFormat/>
    <w:uiPriority w:val="0"/>
    <w:rPr>
      <w:rFonts w:eastAsia="宋体"/>
    </w:rPr>
  </w:style>
  <w:style w:type="character" w:customStyle="1" w:styleId="43">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44">
    <w:name w:val="批注文字 Char"/>
    <w:link w:val="9"/>
    <w:qFormat/>
    <w:uiPriority w:val="0"/>
    <w:rPr>
      <w:rFonts w:ascii="Times New Roman" w:hAnsi="Times New Roman"/>
      <w:kern w:val="2"/>
      <w:sz w:val="24"/>
      <w:szCs w:val="24"/>
    </w:rPr>
  </w:style>
  <w:style w:type="character" w:customStyle="1" w:styleId="45">
    <w:name w:val="批注框文本 Char"/>
    <w:link w:val="10"/>
    <w:semiHidden/>
    <w:qFormat/>
    <w:uiPriority w:val="0"/>
    <w:rPr>
      <w:rFonts w:ascii="Times New Roman" w:hAnsi="Times New Roman"/>
      <w:kern w:val="2"/>
      <w:sz w:val="28"/>
      <w:szCs w:val="18"/>
    </w:rPr>
  </w:style>
  <w:style w:type="character" w:customStyle="1" w:styleId="46">
    <w:name w:val="正文文本缩进 Char"/>
    <w:link w:val="11"/>
    <w:qFormat/>
    <w:uiPriority w:val="0"/>
    <w:rPr>
      <w:rFonts w:ascii="宋体" w:hAnsi="宋体" w:eastAsia="宋体" w:cs="Times New Roman"/>
      <w:sz w:val="24"/>
      <w:szCs w:val="24"/>
    </w:rPr>
  </w:style>
  <w:style w:type="character" w:customStyle="1" w:styleId="47">
    <w:name w:val="纯文本 Char"/>
    <w:link w:val="14"/>
    <w:qFormat/>
    <w:uiPriority w:val="0"/>
    <w:rPr>
      <w:rFonts w:ascii="宋体" w:hAnsi="Courier New" w:eastAsia="宋体"/>
      <w:szCs w:val="24"/>
    </w:rPr>
  </w:style>
  <w:style w:type="character" w:customStyle="1" w:styleId="48">
    <w:name w:val="日期 Char"/>
    <w:link w:val="15"/>
    <w:qFormat/>
    <w:uiPriority w:val="0"/>
    <w:rPr>
      <w:rFonts w:ascii="Times New Roman" w:hAnsi="Times New Roman" w:eastAsia="宋体" w:cs="Times New Roman"/>
      <w:sz w:val="28"/>
      <w:szCs w:val="24"/>
    </w:rPr>
  </w:style>
  <w:style w:type="character" w:customStyle="1" w:styleId="49">
    <w:name w:val="正文文本缩进 2 Char"/>
    <w:link w:val="16"/>
    <w:qFormat/>
    <w:uiPriority w:val="0"/>
    <w:rPr>
      <w:rFonts w:ascii="宋体" w:hAnsi="宋体" w:eastAsia="宋体" w:cs="Times New Roman"/>
      <w:color w:val="000000"/>
      <w:sz w:val="24"/>
      <w:szCs w:val="24"/>
    </w:rPr>
  </w:style>
  <w:style w:type="character" w:customStyle="1" w:styleId="50">
    <w:name w:val="页脚 Char"/>
    <w:link w:val="17"/>
    <w:qFormat/>
    <w:uiPriority w:val="0"/>
    <w:rPr>
      <w:rFonts w:ascii="Times New Roman" w:hAnsi="Times New Roman" w:eastAsia="宋体" w:cs="Times New Roman"/>
      <w:sz w:val="18"/>
      <w:szCs w:val="18"/>
    </w:rPr>
  </w:style>
  <w:style w:type="character" w:customStyle="1" w:styleId="51">
    <w:name w:val="页眉 Char"/>
    <w:link w:val="18"/>
    <w:qFormat/>
    <w:uiPriority w:val="0"/>
    <w:rPr>
      <w:sz w:val="18"/>
      <w:szCs w:val="18"/>
    </w:rPr>
  </w:style>
  <w:style w:type="character" w:customStyle="1" w:styleId="52">
    <w:name w:val="副标题 Char"/>
    <w:link w:val="22"/>
    <w:qFormat/>
    <w:uiPriority w:val="0"/>
    <w:rPr>
      <w:rFonts w:ascii="Cambria" w:hAnsi="Cambria" w:eastAsia="宋体" w:cs="Times New Roman"/>
      <w:b/>
      <w:bCs/>
      <w:kern w:val="28"/>
      <w:sz w:val="32"/>
      <w:szCs w:val="32"/>
    </w:rPr>
  </w:style>
  <w:style w:type="character" w:customStyle="1" w:styleId="53">
    <w:name w:val="脚注文本 Char"/>
    <w:link w:val="23"/>
    <w:qFormat/>
    <w:uiPriority w:val="0"/>
    <w:rPr>
      <w:rFonts w:ascii="Times New Roman" w:hAnsi="Times New Roman" w:eastAsia="宋体" w:cs="Times New Roman"/>
      <w:sz w:val="18"/>
      <w:szCs w:val="18"/>
    </w:rPr>
  </w:style>
  <w:style w:type="character" w:customStyle="1" w:styleId="54">
    <w:name w:val="正文文本缩进 3 Char"/>
    <w:link w:val="24"/>
    <w:qFormat/>
    <w:uiPriority w:val="0"/>
    <w:rPr>
      <w:rFonts w:ascii="宋体" w:hAnsi="Times New Roman" w:eastAsia="宋体" w:cs="Times New Roman"/>
      <w:sz w:val="28"/>
      <w:szCs w:val="20"/>
    </w:rPr>
  </w:style>
  <w:style w:type="character" w:customStyle="1" w:styleId="55">
    <w:name w:val="批注主题 Char"/>
    <w:link w:val="27"/>
    <w:semiHidden/>
    <w:qFormat/>
    <w:uiPriority w:val="0"/>
    <w:rPr>
      <w:rFonts w:ascii="Times New Roman" w:hAnsi="Times New Roman" w:eastAsia="宋体" w:cs="Times New Roman"/>
      <w:b/>
      <w:bCs/>
      <w:szCs w:val="24"/>
    </w:rPr>
  </w:style>
  <w:style w:type="character" w:customStyle="1" w:styleId="56">
    <w:name w:val="列出段落 Char"/>
    <w:link w:val="57"/>
    <w:qFormat/>
    <w:locked/>
    <w:uiPriority w:val="99"/>
    <w:rPr>
      <w:rFonts w:ascii="Times New Roman" w:hAnsi="Times New Roman"/>
      <w:kern w:val="2"/>
      <w:sz w:val="21"/>
      <w:szCs w:val="24"/>
    </w:rPr>
  </w:style>
  <w:style w:type="paragraph" w:customStyle="1" w:styleId="57">
    <w:name w:val="列出段落2"/>
    <w:basedOn w:val="1"/>
    <w:link w:val="56"/>
    <w:qFormat/>
    <w:uiPriority w:val="99"/>
    <w:pPr>
      <w:ind w:firstLine="420" w:firstLineChars="200"/>
    </w:pPr>
  </w:style>
  <w:style w:type="character" w:customStyle="1" w:styleId="58">
    <w:name w:val="纯文本 Char1"/>
    <w:semiHidden/>
    <w:qFormat/>
    <w:uiPriority w:val="99"/>
    <w:rPr>
      <w:rFonts w:ascii="宋体" w:hAnsi="Courier New" w:eastAsia="宋体" w:cs="Courier New"/>
      <w:szCs w:val="21"/>
    </w:rPr>
  </w:style>
  <w:style w:type="character" w:customStyle="1" w:styleId="59">
    <w:name w:val="页眉1 Char"/>
    <w:link w:val="60"/>
    <w:qFormat/>
    <w:uiPriority w:val="0"/>
    <w:rPr>
      <w:sz w:val="18"/>
      <w:szCs w:val="18"/>
    </w:rPr>
  </w:style>
  <w:style w:type="paragraph" w:customStyle="1" w:styleId="60">
    <w:name w:val="页眉1"/>
    <w:basedOn w:val="18"/>
    <w:link w:val="59"/>
    <w:qFormat/>
    <w:uiPriority w:val="0"/>
    <w:pPr>
      <w:pBdr>
        <w:bottom w:val="none" w:color="auto" w:sz="0" w:space="0"/>
      </w:pBdr>
      <w:jc w:val="both"/>
    </w:pPr>
  </w:style>
  <w:style w:type="character" w:customStyle="1" w:styleId="61">
    <w:name w:val="h2"/>
    <w:qFormat/>
    <w:uiPriority w:val="0"/>
    <w:rPr>
      <w:color w:val="000000"/>
      <w:sz w:val="24"/>
      <w:szCs w:val="24"/>
    </w:rPr>
  </w:style>
  <w:style w:type="character" w:customStyle="1" w:styleId="62">
    <w:name w:val="unnamed1"/>
    <w:basedOn w:val="30"/>
    <w:qFormat/>
    <w:uiPriority w:val="0"/>
  </w:style>
  <w:style w:type="character" w:customStyle="1" w:styleId="63">
    <w:name w:val="font101"/>
    <w:qFormat/>
    <w:uiPriority w:val="0"/>
    <w:rPr>
      <w:rFonts w:hint="eastAsia" w:ascii="黑体" w:hAnsi="宋体" w:eastAsia="黑体" w:cs="黑体"/>
      <w:color w:val="000000"/>
      <w:sz w:val="20"/>
      <w:szCs w:val="20"/>
      <w:u w:val="none"/>
    </w:rPr>
  </w:style>
  <w:style w:type="character" w:customStyle="1" w:styleId="64">
    <w:name w:val="font61"/>
    <w:qFormat/>
    <w:uiPriority w:val="0"/>
    <w:rPr>
      <w:rFonts w:hint="eastAsia" w:ascii="宋体" w:hAnsi="宋体" w:eastAsia="宋体" w:cs="宋体"/>
      <w:color w:val="000000"/>
      <w:sz w:val="20"/>
      <w:szCs w:val="20"/>
      <w:u w:val="none"/>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82"/>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82">
    <w:name w:val="图 Char Char"/>
    <w:link w:val="81"/>
    <w:qFormat/>
    <w:locked/>
    <w:uiPriority w:val="0"/>
    <w:rPr>
      <w:rFonts w:ascii="Times New Roman" w:hAnsi="Times New Roman"/>
      <w:snapToGrid w:val="0"/>
      <w:spacing w:val="20"/>
      <w:sz w:val="24"/>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customStyle="1"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03">
    <w:name w:val="p0"/>
    <w:basedOn w:val="1"/>
    <w:qFormat/>
    <w:uiPriority w:val="0"/>
    <w:pPr>
      <w:widowControl/>
    </w:pPr>
    <w:rPr>
      <w:kern w:val="0"/>
      <w:szCs w:val="21"/>
    </w:rPr>
  </w:style>
  <w:style w:type="paragraph" w:customStyle="1" w:styleId="104">
    <w:name w:val="WPSOffice手动目录 1"/>
    <w:qFormat/>
    <w:uiPriority w:val="0"/>
    <w:rPr>
      <w:rFonts w:ascii="Times New Roman" w:hAnsi="Times New Roman" w:eastAsia="宋体" w:cs="Times New Roman"/>
      <w:lang w:val="en-US" w:eastAsia="zh-CN" w:bidi="ar-SA"/>
    </w:rPr>
  </w:style>
  <w:style w:type="paragraph" w:customStyle="1" w:styleId="10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10170</Words>
  <Characters>10487</Characters>
  <Lines>92</Lines>
  <Paragraphs>26</Paragraphs>
  <TotalTime>13</TotalTime>
  <ScaleCrop>false</ScaleCrop>
  <LinksUpToDate>false</LinksUpToDate>
  <CharactersWithSpaces>11024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2023-12-08T01:24:32Z</cp:lastPrinted>
  <dcterms:modified xsi:type="dcterms:W3CDTF">2024-06-20T06:42:47Z</dcterms:modified>
  <cp:revision>948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079E0B285169423FBDF18C0390342D8D_13</vt:lpwstr>
  </property>
</Properties>
</file>