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广东财经大学2023届广东省高校毕业生供需见面会财经政法类专场技术服务和物资采购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学生就业指导中心</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2022年10月</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3"/>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4"/>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根据《</w:t>
      </w:r>
      <w:r>
        <w:rPr>
          <w:rFonts w:hint="eastAsia" w:ascii="宋体" w:hAnsi="宋体"/>
          <w:sz w:val="28"/>
          <w:szCs w:val="28"/>
        </w:rPr>
        <w:t>广东省教育厅关于举办广东省2023届普通高校毕业生系列供需见面活动的通知</w:t>
      </w:r>
      <w:r>
        <w:rPr>
          <w:rFonts w:hint="eastAsia" w:ascii="宋体" w:hAnsi="宋体"/>
          <w:sz w:val="28"/>
          <w:szCs w:val="28"/>
          <w:lang w:eastAsia="zh-CN"/>
        </w:rPr>
        <w:t>》</w:t>
      </w:r>
      <w:r>
        <w:rPr>
          <w:rFonts w:hint="eastAsia" w:ascii="宋体" w:hAnsi="宋体"/>
          <w:sz w:val="28"/>
          <w:szCs w:val="28"/>
          <w:lang w:val="en-US" w:eastAsia="zh-CN"/>
        </w:rPr>
        <w:t>要求，深入贯彻落实党的十九届六中全会精神和党中央、国务院以及省委省政府关于“六稳”“六保”的决策部署，广东省教育厅定于2022年10月至2023年6月举办广东省2023届普通高校毕业生系列供需见面活动，活动由广东省教育厅主办，相关高校承办。</w:t>
      </w:r>
    </w:p>
    <w:p>
      <w:pPr>
        <w:spacing w:line="560" w:lineRule="exact"/>
        <w:ind w:firstLine="560" w:firstLineChars="200"/>
        <w:rPr>
          <w:rFonts w:hint="eastAsia"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99900</w:t>
      </w:r>
      <w:r>
        <w:rPr>
          <w:rFonts w:hint="eastAsia" w:ascii="宋体" w:hAnsi="宋体"/>
          <w:sz w:val="28"/>
          <w:szCs w:val="28"/>
        </w:rPr>
        <w:t>万元，资金已到位。</w:t>
      </w:r>
    </w:p>
    <w:p>
      <w:pPr>
        <w:pStyle w:val="4"/>
        <w:spacing w:line="560" w:lineRule="exact"/>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4"/>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4"/>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4"/>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4"/>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lang w:eastAsia="zh-CN"/>
        </w:rPr>
        <w:t>：</w:t>
      </w:r>
      <w:r>
        <w:rPr>
          <w:rFonts w:hint="eastAsia" w:ascii="宋体" w:hAnsi="宋体"/>
          <w:sz w:val="28"/>
          <w:szCs w:val="28"/>
          <w:u w:val="single"/>
          <w:lang w:val="en-US" w:eastAsia="zh-CN"/>
        </w:rPr>
        <w:t>方法三</w:t>
      </w:r>
      <w:r>
        <w:rPr>
          <w:rFonts w:hint="eastAsia" w:ascii="宋体" w:hAnsi="宋体"/>
          <w:sz w:val="28"/>
          <w:szCs w:val="28"/>
          <w:u w:val="single"/>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sz w:val="28"/>
          <w:szCs w:val="28"/>
          <w:lang w:val="en-US" w:eastAsia="zh-CN"/>
        </w:rPr>
        <w:t>一</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w:t>
      </w:r>
      <w:bookmarkStart w:id="31" w:name="_GoBack"/>
      <w:bookmarkEnd w:id="31"/>
      <w:r>
        <w:rPr>
          <w:rFonts w:hint="eastAsia" w:ascii="宋体" w:hAnsi="宋体"/>
          <w:sz w:val="28"/>
          <w:szCs w:val="28"/>
        </w:rPr>
        <w:t>由高到低推荐成交供应商。综合得分相等时，以报价低的优先，报价也相等时，以技术质量因素得分高的优先，技术质量因素得分也相等时，由采购方代表确定1家作为中标候选人。</w:t>
      </w:r>
    </w:p>
    <w:p>
      <w:pPr>
        <w:pStyle w:val="4"/>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3</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应标单位须具备良好资质，近2年内举办或承办过高校毕业生校园招聘会。</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default" w:ascii="宋体" w:hAnsi="宋体"/>
                <w:b/>
                <w:sz w:val="28"/>
                <w:szCs w:val="28"/>
                <w:lang w:val="en-US" w:eastAsia="zh-CN"/>
              </w:rPr>
            </w:pPr>
            <w:r>
              <w:rPr>
                <w:rFonts w:hint="eastAsia" w:ascii="宋体" w:hAnsi="宋体"/>
                <w:b/>
                <w:sz w:val="28"/>
                <w:szCs w:val="28"/>
                <w:lang w:val="en-US" w:eastAsia="zh-CN"/>
              </w:rPr>
              <w:t>4</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应标单位须具备大型活动疫情防控能力，有在疫情防控期间成功举办过2场以上大型校园招聘会的经验。</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8"/>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r>
              <w:rPr>
                <w:color w:val="FF0000"/>
              </w:rPr>
              <w:t>技术指标</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lang w:val="en-US" w:eastAsia="zh-CN"/>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性能及品质</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分；评价较好得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分；评价一般得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r>
              <w:rPr>
                <w:rFonts w:hint="eastAsia"/>
                <w:color w:val="FF0000"/>
              </w:rPr>
              <w:t>.</w:t>
            </w:r>
          </w:p>
        </w:tc>
        <w:tc>
          <w:tcPr>
            <w:tcW w:w="1080" w:type="dxa"/>
            <w:noWrap/>
            <w:vAlign w:val="center"/>
          </w:tcPr>
          <w:p>
            <w:pPr>
              <w:jc w:val="center"/>
              <w:rPr>
                <w:rFonts w:hint="eastAsia"/>
                <w:color w:val="FF0000"/>
              </w:rPr>
            </w:pPr>
            <w:r>
              <w:rPr>
                <w:color w:val="FF0000"/>
              </w:rPr>
              <w:t>……</w:t>
            </w:r>
            <w:r>
              <w:rPr>
                <w:rFonts w:hint="eastAsia"/>
                <w:color w:val="FF0000"/>
              </w:rPr>
              <w:t>.</w:t>
            </w:r>
          </w:p>
        </w:tc>
        <w:tc>
          <w:tcPr>
            <w:tcW w:w="5400" w:type="dxa"/>
            <w:noWrap/>
            <w:vAlign w:val="center"/>
          </w:tcPr>
          <w:p>
            <w:pPr>
              <w:rPr>
                <w:color w:val="FF0000"/>
                <w:szCs w:val="21"/>
              </w:rPr>
            </w:pPr>
            <w:r>
              <w:rPr>
                <w:color w:val="FF0000"/>
              </w:rPr>
              <w:t>……</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color w:val="FF0000"/>
              </w:rPr>
              <w:t>保修期</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服务承诺</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业   绩</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3"/>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4"/>
        <w:spacing w:line="560" w:lineRule="exact"/>
      </w:pPr>
      <w:bookmarkStart w:id="25" w:name="_Toc179"/>
      <w:r>
        <w:rPr>
          <w:rFonts w:hint="eastAsia"/>
        </w:rPr>
        <w:t>一、技术（服务）要求</w:t>
      </w:r>
      <w:bookmarkEnd w:id="25"/>
    </w:p>
    <w:p>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8"/>
        <w:tblW w:w="10039"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8"/>
        <w:gridCol w:w="6667"/>
        <w:gridCol w:w="1017"/>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类别</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具体内容</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展位布置</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单位招聘展位（含3*3米帐蓬1顶，1张桌子和桌布，2张折叠椅，2张凳子）</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其他展位（院企交流区展位18个，出入口及服务区展位约22个）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桌椅74套（含1张桌子、1张桌布、2张靠背椅、2张圆凳），其中院企交流区14套,服务区10套,出入口、体温安全检测区、舞台区50套。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3"/>
                <w:lang w:val="en-US" w:eastAsia="zh-CN" w:bidi="ar"/>
              </w:rPr>
              <w:t>1、展位帐蓬横眉（单位展位400条、院系名称、服务名称等14条，分区指引48条）</w:t>
            </w:r>
            <w:r>
              <w:rPr>
                <w:rStyle w:val="103"/>
                <w:lang w:val="en-US" w:eastAsia="zh-CN" w:bidi="ar"/>
              </w:rPr>
              <w:br w:type="textWrapping"/>
            </w:r>
            <w:r>
              <w:rPr>
                <w:rStyle w:val="103"/>
                <w:lang w:val="en-US" w:eastAsia="zh-CN" w:bidi="ar"/>
              </w:rPr>
              <w:t>2、尺寸：3米*0.5米，高清写真喷绘</w:t>
            </w:r>
            <w:r>
              <w:rPr>
                <w:rStyle w:val="104"/>
                <w:lang w:val="en-US" w:eastAsia="zh-CN" w:bidi="ar"/>
              </w:rPr>
              <w:t>（含排版费用，用固定的底版）</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安检/测温</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1、标准专业安检设备3套（每套含安检门1个、探测器3个）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2、现场配专人监控</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测温设备：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数字测温设备，用于学生及企业进入会场时测量体温</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周边布置</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舞台后展板1块（10米*4米），黑底灯布高清写真喷绘，桁架安装</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企业名录展板1块（10米*3米），黑底灯布高清写真喷绘，桁架安装</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院在交流区展板14块（2.5米*2米），黑底灯布高清写真喷绘，桁架安装</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出入口指示板2块（2米*1.5米），黑底灯布高清写真喷绘，桁架安装</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横幅3条（15米*1.3米），黑底灯布高清写真喷绘，含安装和撤场</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舞台前档板1块（10米*0.8米），KT板高清写真喷绘，含安装和撤场</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各区1米排队提示地贴60条（0.3米*2.2米），写真背胶，含安装和撤场</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洗手间、服务台、打印区、停车区指引（含安装和撤场）</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1、尺寸：长10米*宽4米*高0.8米（用于活动开幕及用人单位宣讲）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2、含舞台两侧楼梯及舞台上地毯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3、含安装和撤场</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1、专业户外音响套装，含4个音箱、4个无线麦、1套控音台、安装脚架等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2、覆盖范围约为100*100米</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图片直播和视频录制</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Style w:val="103"/>
                <w:lang w:val="en-US" w:eastAsia="zh-CN" w:bidi="ar"/>
              </w:rPr>
              <w:t>1、航拍无人机1台</w:t>
            </w:r>
            <w:r>
              <w:rPr>
                <w:rStyle w:val="103"/>
                <w:lang w:val="en-US" w:eastAsia="zh-CN" w:bidi="ar"/>
              </w:rPr>
              <w:br w:type="textWrapping"/>
            </w:r>
            <w:r>
              <w:rPr>
                <w:rStyle w:val="103"/>
                <w:lang w:val="en-US" w:eastAsia="zh-CN" w:bidi="ar"/>
              </w:rPr>
              <w:t>2、专业拍照2台</w:t>
            </w:r>
            <w:r>
              <w:rPr>
                <w:rStyle w:val="103"/>
                <w:lang w:val="en-US" w:eastAsia="zh-CN" w:bidi="ar"/>
              </w:rPr>
              <w:br w:type="textWrapping"/>
            </w:r>
            <w:r>
              <w:rPr>
                <w:rStyle w:val="103"/>
                <w:rFonts w:hint="eastAsia"/>
                <w:lang w:val="en-US" w:eastAsia="zh-CN" w:bidi="ar"/>
              </w:rPr>
              <w:t>3、视频拍摄1次。</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物料采购</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给单位的资料，每套资料含：普通白色钮扣文件袋1个，笔2支，白纸2张，圆形针10个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3"/>
                <w:lang w:val="en-US" w:eastAsia="zh-CN" w:bidi="ar"/>
              </w:rPr>
              <w:t>手提袋</w:t>
            </w:r>
            <w:r>
              <w:rPr>
                <w:rStyle w:val="103"/>
                <w:rFonts w:hint="eastAsia"/>
                <w:lang w:val="en-US" w:eastAsia="zh-CN" w:bidi="ar"/>
              </w:rPr>
              <w:t>450</w:t>
            </w:r>
            <w:r>
              <w:rPr>
                <w:rStyle w:val="103"/>
                <w:lang w:val="en-US" w:eastAsia="zh-CN" w:bidi="ar"/>
              </w:rPr>
              <w:t>个，学校推荐材料、生源信息等</w:t>
            </w:r>
            <w:r>
              <w:rPr>
                <w:rStyle w:val="103"/>
                <w:rFonts w:hint="eastAsia"/>
                <w:lang w:val="en-US" w:eastAsia="zh-CN" w:bidi="ar"/>
              </w:rPr>
              <w:t>450</w:t>
            </w:r>
            <w:r>
              <w:rPr>
                <w:rStyle w:val="103"/>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参会证900套（每单位2套，含卡套、吊带、卡片印刷）</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招聘平台订制</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3"/>
                <w:lang w:val="en-US" w:eastAsia="zh-CN" w:bidi="ar"/>
              </w:rPr>
              <w:t>1、功能：学生可以提前或者在现场智能搜索、收藏心仪的单位和岗位，直接到事先收藏的展位面试，提高面试效率</w:t>
            </w:r>
            <w:r>
              <w:rPr>
                <w:rStyle w:val="103"/>
                <w:lang w:val="en-US" w:eastAsia="zh-CN" w:bidi="ar"/>
              </w:rPr>
              <w:br w:type="textWrapping"/>
            </w:r>
            <w:r>
              <w:rPr>
                <w:rStyle w:val="103"/>
                <w:lang w:val="en-US" w:eastAsia="zh-CN" w:bidi="ar"/>
              </w:rPr>
              <w:t>2、要求：需要事先把单位的岗位信息录入平台（可以单位自己录入，也可以单位提供固定表格后由我方录入，</w:t>
            </w:r>
            <w:r>
              <w:rPr>
                <w:rStyle w:val="104"/>
                <w:lang w:val="en-US" w:eastAsia="zh-CN" w:bidi="ar"/>
              </w:rPr>
              <w:t>我方录入的法规规定需要单位提供营业执照复印件）</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前期协调及现场组织人员的项目管理费</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展位布置</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单位招聘展位（含3*3米帐蓬1顶，1张桌子和桌布，2张折叠椅，2张凳子）</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其他展位（院企交流区展位14个，出入口及服务区展位约20个）</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桌椅74套（含1张桌子、1张桌布、2张靠背椅、2张圆凳），其中院企交流区14套,服务区10套,出入口、体温安全检测区、舞台区50套。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3"/>
                <w:lang w:val="en-US" w:eastAsia="zh-CN" w:bidi="ar"/>
              </w:rPr>
              <w:t>1、展位帐蓬横眉（单位展位400条、院系名称、服务名称等14条，分区指引48条）</w:t>
            </w:r>
            <w:r>
              <w:rPr>
                <w:rStyle w:val="103"/>
                <w:lang w:val="en-US" w:eastAsia="zh-CN" w:bidi="ar"/>
              </w:rPr>
              <w:br w:type="textWrapping"/>
            </w:r>
            <w:r>
              <w:rPr>
                <w:rStyle w:val="103"/>
                <w:lang w:val="en-US" w:eastAsia="zh-CN" w:bidi="ar"/>
              </w:rPr>
              <w:t>2、尺寸：3米*0.5米，高清写真喷绘</w:t>
            </w:r>
            <w:r>
              <w:rPr>
                <w:rStyle w:val="104"/>
                <w:lang w:val="en-US" w:eastAsia="zh-CN" w:bidi="ar"/>
              </w:rPr>
              <w:t>（含排版费用，用固定的底版）</w:t>
            </w:r>
            <w:r>
              <w:rPr>
                <w:rStyle w:val="103"/>
                <w:lang w:val="en-US" w:eastAsia="zh-CN" w:bidi="ar"/>
              </w:rPr>
              <w:br w:type="textWrapping"/>
            </w:r>
            <w:r>
              <w:rPr>
                <w:rStyle w:val="104"/>
                <w:lang w:val="en-US" w:eastAsia="zh-CN" w:bidi="ar"/>
              </w:rPr>
              <w:t>3、学校安排学生装订，服务商指导指导学生安装</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安检/测温</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1、标准专业安检设备3套（每套含安检门1个、探测器3个）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2、现场配专人监控</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测温设备：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数字测温设备，用于学生及企业进入会场时测量体温</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周边布置</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舞台后展板1块（10米*4米），黑底灯布高清写真喷绘，桁架安装</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企业名录展板1块（10米*3米），黑底灯布高清写真喷绘，桁架安装</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院在交流区展板14块（2.5米*2米），黑底灯布高清写真喷绘，桁架安装</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出入口指示板2块（2米*1.5米），黑底灯布高清写真喷绘，桁架安装</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横幅3条（15米*1.3米），黑底灯布高清写真喷绘，含安装和撤场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舞台前档板1块（10米*0.8米），KT板高清写真喷绘，含安装和撤场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各区1米排队提示地贴60条（0.3米*2.2米），写真背胶，含安装和撤场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洗手间、服务台、打印区、停车区指引（含安装和撤场）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1、尺寸：长10米*宽4米*高0.8米（用于活动开幕及用人单位宣讲）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2、含舞台两侧楼梯及舞台上地毯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3、含安装和撤场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1、专业户外音响套装，含4个音箱、4个无线麦、1套控音台、安装脚架等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2、覆盖范围约为100*100米</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直播服务</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3"/>
                <w:lang w:val="en-US" w:eastAsia="zh-CN" w:bidi="ar"/>
              </w:rPr>
              <w:t>1、航拍无人机1台</w:t>
            </w:r>
            <w:r>
              <w:rPr>
                <w:rStyle w:val="103"/>
                <w:lang w:val="en-US" w:eastAsia="zh-CN" w:bidi="ar"/>
              </w:rPr>
              <w:br w:type="textWrapping"/>
            </w:r>
            <w:r>
              <w:rPr>
                <w:rStyle w:val="103"/>
                <w:lang w:val="en-US" w:eastAsia="zh-CN" w:bidi="ar"/>
              </w:rPr>
              <w:t>2、专业录像1台</w:t>
            </w:r>
            <w:r>
              <w:rPr>
                <w:rStyle w:val="103"/>
                <w:lang w:val="en-US" w:eastAsia="zh-CN" w:bidi="ar"/>
              </w:rPr>
              <w:br w:type="textWrapping"/>
            </w:r>
            <w:r>
              <w:rPr>
                <w:rStyle w:val="103"/>
                <w:lang w:val="en-US" w:eastAsia="zh-CN" w:bidi="ar"/>
              </w:rPr>
              <w:t>3、专业拍照2台</w:t>
            </w:r>
            <w:r>
              <w:rPr>
                <w:rStyle w:val="103"/>
                <w:lang w:val="en-US" w:eastAsia="zh-CN" w:bidi="ar"/>
              </w:rPr>
              <w:br w:type="textWrapping"/>
            </w:r>
            <w:r>
              <w:rPr>
                <w:rStyle w:val="104"/>
                <w:lang w:val="en-US" w:eastAsia="zh-CN" w:bidi="ar"/>
              </w:rPr>
              <w:t>4、直播平台搭建</w:t>
            </w:r>
            <w:r>
              <w:rPr>
                <w:rStyle w:val="104"/>
                <w:lang w:val="en-US" w:eastAsia="zh-CN" w:bidi="ar"/>
              </w:rPr>
              <w:br w:type="textWrapping"/>
            </w:r>
            <w:r>
              <w:rPr>
                <w:rStyle w:val="104"/>
                <w:lang w:val="en-US" w:eastAsia="zh-CN" w:bidi="ar"/>
              </w:rPr>
              <w:t>5、专业HR领域直播主持（含岗位剖释等）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物料采购</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给单位的资料，每套资料含：普通白色钮扣文件袋1个，笔2支，白纸2张，圆形针10个</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3"/>
                <w:lang w:val="en-US" w:eastAsia="zh-CN" w:bidi="ar"/>
              </w:rPr>
              <w:t>手提袋</w:t>
            </w:r>
            <w:r>
              <w:rPr>
                <w:rStyle w:val="103"/>
                <w:rFonts w:hint="eastAsia"/>
                <w:lang w:val="en-US" w:eastAsia="zh-CN" w:bidi="ar"/>
              </w:rPr>
              <w:t>450</w:t>
            </w:r>
            <w:r>
              <w:rPr>
                <w:rStyle w:val="103"/>
                <w:lang w:val="en-US" w:eastAsia="zh-CN" w:bidi="ar"/>
              </w:rPr>
              <w:t>个，学校推荐材料、生源信息等</w:t>
            </w:r>
            <w:r>
              <w:rPr>
                <w:rStyle w:val="103"/>
                <w:rFonts w:hint="eastAsia"/>
                <w:lang w:val="en-US" w:eastAsia="zh-CN" w:bidi="ar"/>
              </w:rPr>
              <w:t>450</w:t>
            </w:r>
            <w:r>
              <w:rPr>
                <w:rStyle w:val="103"/>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参会证900套（每单位2套，含卡套、吊带、卡片印刷）</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招聘平台订制</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03"/>
                <w:rFonts w:hint="default"/>
                <w:lang w:val="en-US" w:eastAsia="zh-CN" w:bidi="ar"/>
              </w:rPr>
            </w:pPr>
            <w:r>
              <w:rPr>
                <w:rStyle w:val="103"/>
                <w:lang w:val="en-US" w:eastAsia="zh-CN" w:bidi="ar"/>
              </w:rPr>
              <w:t>1、</w:t>
            </w:r>
            <w:r>
              <w:rPr>
                <w:rStyle w:val="103"/>
                <w:rFonts w:hint="eastAsia"/>
                <w:lang w:val="en-US" w:eastAsia="zh-CN" w:bidi="ar"/>
              </w:rPr>
              <w:t>引导企业通过“广东省大学生就业创业智慧招聘平台”完成注册和信息填报，及时做好审核工作；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3"/>
                <w:rFonts w:hint="eastAsia"/>
                <w:lang w:val="en-US" w:eastAsia="zh-CN" w:bidi="ar"/>
              </w:rPr>
              <w:t>2、对接个性平台，</w:t>
            </w:r>
            <w:r>
              <w:rPr>
                <w:rStyle w:val="103"/>
                <w:lang w:val="en-US" w:eastAsia="zh-CN" w:bidi="ar"/>
              </w:rPr>
              <w:t>功能：学生可以提前或者在现场智能搜索、收藏心仪的单位和岗位，直接到事先收藏的展位面试，提高面试效率</w:t>
            </w:r>
            <w:r>
              <w:rPr>
                <w:rStyle w:val="103"/>
                <w:lang w:val="en-US" w:eastAsia="zh-CN" w:bidi="ar"/>
              </w:rPr>
              <w:br w:type="textWrapping"/>
            </w:r>
            <w:r>
              <w:rPr>
                <w:rStyle w:val="103"/>
                <w:rFonts w:hint="eastAsia"/>
                <w:lang w:val="en-US" w:eastAsia="zh-CN" w:bidi="ar"/>
              </w:rPr>
              <w:t>3</w:t>
            </w:r>
            <w:r>
              <w:rPr>
                <w:rStyle w:val="103"/>
                <w:lang w:val="en-US" w:eastAsia="zh-CN" w:bidi="ar"/>
              </w:rPr>
              <w:t>、要求：需要事先把单位的岗位信息录入平台（可以单位自己录入，也可以单位提供固定表格后由我方录入，</w:t>
            </w:r>
            <w:r>
              <w:rPr>
                <w:rStyle w:val="104"/>
                <w:lang w:val="en-US" w:eastAsia="zh-CN" w:bidi="ar"/>
              </w:rPr>
              <w:t>我方录入的法规规定需要单位提供营业执照复印件）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w:t>
            </w:r>
          </w:p>
        </w:tc>
        <w:tc>
          <w:tcPr>
            <w:tcW w:w="6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前期协调及现场组织人员的项目管理费</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rPr>
          <w:rFonts w:hint="eastAsia"/>
        </w:rPr>
      </w:pPr>
      <w:r>
        <w:rPr>
          <w:rFonts w:hint="eastAsia"/>
        </w:rPr>
        <w:t>1.具有独立承担民事责任能力，且具备履行合同所必需的设备和专业技术能力；</w:t>
      </w:r>
      <w:r>
        <w:rPr>
          <w:rFonts w:hint="eastAsia"/>
          <w:sz w:val="28"/>
        </w:rPr>
        <w:t>★</w:t>
      </w:r>
    </w:p>
    <w:p>
      <w:pPr>
        <w:numPr>
          <w:ilvl w:val="0"/>
          <w:numId w:val="4"/>
        </w:numPr>
        <w:rPr>
          <w:rFonts w:hint="eastAsia"/>
        </w:rPr>
      </w:pPr>
      <w:r>
        <w:rPr>
          <w:rFonts w:hint="eastAsia"/>
        </w:rPr>
        <w:t>具有合法有效的企业法人《营业执照》副本或事业单位法人证书或法人登记证书。</w:t>
      </w:r>
      <w:r>
        <w:rPr>
          <w:rFonts w:hint="eastAsia"/>
          <w:sz w:val="28"/>
        </w:rPr>
        <w:t>★</w:t>
      </w:r>
    </w:p>
    <w:p>
      <w:pPr>
        <w:numPr>
          <w:ilvl w:val="0"/>
          <w:numId w:val="4"/>
        </w:numPr>
        <w:rPr>
          <w:rFonts w:hint="eastAsia"/>
        </w:rPr>
      </w:pPr>
      <w:r>
        <w:rPr>
          <w:rFonts w:hint="eastAsia"/>
        </w:rPr>
        <w:t>应标单位须具备良好资质，近2年内举办或承办过高校毕业生校园招聘会。</w:t>
      </w:r>
      <w:r>
        <w:rPr>
          <w:rFonts w:hint="eastAsia"/>
          <w:sz w:val="28"/>
        </w:rPr>
        <w:t>★</w:t>
      </w:r>
    </w:p>
    <w:p>
      <w:pPr>
        <w:numPr>
          <w:ilvl w:val="0"/>
          <w:numId w:val="4"/>
        </w:numPr>
        <w:rPr>
          <w:rFonts w:hint="eastAsia"/>
        </w:rPr>
      </w:pPr>
      <w:r>
        <w:rPr>
          <w:rFonts w:hint="eastAsia"/>
        </w:rPr>
        <w:t>应标单位须具备大型活动疫情防控能力，有在疫情防控期间成功举办过2场以上大型校园招聘会的经验。</w:t>
      </w:r>
      <w:r>
        <w:rPr>
          <w:rFonts w:hint="eastAsia"/>
          <w:sz w:val="28"/>
        </w:rPr>
        <w:t>★</w:t>
      </w:r>
    </w:p>
    <w:p>
      <w:pPr>
        <w:numPr>
          <w:ilvl w:val="0"/>
          <w:numId w:val="4"/>
        </w:numPr>
        <w:rPr>
          <w:rFonts w:hint="eastAsia"/>
        </w:rPr>
      </w:pPr>
      <w:r>
        <w:rPr>
          <w:rFonts w:hint="eastAsia"/>
        </w:rPr>
        <w:t>应标单位须具备丰富的企业资源，能在规定时间内成功邀请500家以上优质企业用人单位通过指定平台报名参会。（本场招聘会为公益性，应标企业不得跟报名参会企业收取任何费用。）</w:t>
      </w:r>
      <w:r>
        <w:rPr>
          <w:rFonts w:hint="eastAsia"/>
          <w:sz w:val="28"/>
        </w:rPr>
        <w:t>★</w:t>
      </w:r>
    </w:p>
    <w:p>
      <w:pPr>
        <w:numPr>
          <w:ilvl w:val="0"/>
          <w:numId w:val="4"/>
        </w:numPr>
        <w:rPr>
          <w:rFonts w:hint="eastAsia"/>
        </w:rPr>
      </w:pPr>
      <w:r>
        <w:rPr>
          <w:rFonts w:hint="eastAsia"/>
        </w:rPr>
        <w:t>应标单位须熟悉校园招聘会的整个流程，能做好校园招聘会的会务工作和前期企业联系工作，并在</w:t>
      </w:r>
      <w:r>
        <w:rPr>
          <w:rFonts w:hint="eastAsia"/>
          <w:lang w:val="en-US" w:eastAsia="zh-CN"/>
        </w:rPr>
        <w:t>11</w:t>
      </w:r>
      <w:r>
        <w:rPr>
          <w:rFonts w:hint="eastAsia"/>
        </w:rPr>
        <w:t>月</w:t>
      </w:r>
      <w:r>
        <w:rPr>
          <w:rFonts w:hint="eastAsia"/>
          <w:lang w:val="en-US" w:eastAsia="zh-CN"/>
        </w:rPr>
        <w:t>10</w:t>
      </w:r>
      <w:r>
        <w:rPr>
          <w:rFonts w:hint="eastAsia"/>
        </w:rPr>
        <w:t>日前完成现场招聘会相关展位安排及通知参会企业按时参加招聘会，并向企业发放进校招聘指引，确保到会企业数量。</w:t>
      </w:r>
      <w:r>
        <w:rPr>
          <w:rFonts w:hint="eastAsia"/>
          <w:sz w:val="28"/>
        </w:rPr>
        <w:t>★</w:t>
      </w:r>
    </w:p>
    <w:p>
      <w:pPr>
        <w:numPr>
          <w:ilvl w:val="0"/>
          <w:numId w:val="4"/>
        </w:numPr>
        <w:rPr>
          <w:rFonts w:hint="eastAsia"/>
        </w:rPr>
      </w:pPr>
      <w:r>
        <w:rPr>
          <w:rFonts w:hint="eastAsia"/>
        </w:rPr>
        <w:t>应标单位须根据学校防控要求做好招聘会当天的会场消毒及相关防疫物资准备工作。</w:t>
      </w:r>
      <w:r>
        <w:rPr>
          <w:rFonts w:hint="eastAsia"/>
          <w:sz w:val="28"/>
        </w:rPr>
        <w:t>★</w:t>
      </w:r>
    </w:p>
    <w:p>
      <w:pPr>
        <w:numPr>
          <w:ilvl w:val="0"/>
          <w:numId w:val="4"/>
        </w:numPr>
        <w:rPr>
          <w:rFonts w:hint="eastAsia"/>
        </w:rPr>
      </w:pPr>
      <w:r>
        <w:rPr>
          <w:rFonts w:hint="eastAsia"/>
        </w:rPr>
        <w:t>所有应标单位须于</w:t>
      </w:r>
      <w:r>
        <w:rPr>
          <w:rFonts w:hint="eastAsia"/>
          <w:lang w:val="en-US" w:eastAsia="zh-CN"/>
        </w:rPr>
        <w:t>9</w:t>
      </w:r>
      <w:r>
        <w:rPr>
          <w:rFonts w:hint="eastAsia"/>
        </w:rPr>
        <w:t>月</w:t>
      </w:r>
      <w:r>
        <w:rPr>
          <w:rFonts w:hint="eastAsia"/>
          <w:lang w:val="en-US" w:eastAsia="zh-CN"/>
        </w:rPr>
        <w:t>28</w:t>
      </w:r>
      <w:r>
        <w:rPr>
          <w:rFonts w:hint="eastAsia"/>
        </w:rPr>
        <w:t>日上午10时到校现场查勘场地和答疑。</w:t>
      </w:r>
      <w:r>
        <w:rPr>
          <w:rFonts w:hint="eastAsia"/>
          <w:sz w:val="28"/>
        </w:rPr>
        <w:t>★</w:t>
      </w:r>
    </w:p>
    <w:p>
      <w:pPr>
        <w:rPr>
          <w:rFonts w:hint="eastAsia"/>
        </w:rPr>
      </w:pPr>
      <w:r>
        <w:rPr>
          <w:rFonts w:hint="eastAsia"/>
          <w:lang w:val="en-US" w:eastAsia="zh-CN"/>
        </w:rPr>
        <w:t>9.采购清单中</w:t>
      </w:r>
      <w:r>
        <w:rPr>
          <w:rFonts w:hint="eastAsia"/>
        </w:rPr>
        <w:t>所有物资要求九成新以上，并于</w:t>
      </w:r>
      <w:r>
        <w:rPr>
          <w:rFonts w:hint="eastAsia"/>
          <w:lang w:val="en-US" w:eastAsia="zh-CN"/>
        </w:rPr>
        <w:t>11</w:t>
      </w:r>
      <w:r>
        <w:rPr>
          <w:rFonts w:hint="eastAsia"/>
        </w:rPr>
        <w:t>月</w:t>
      </w:r>
      <w:r>
        <w:rPr>
          <w:rFonts w:hint="eastAsia"/>
          <w:lang w:val="en-US" w:eastAsia="zh-CN"/>
        </w:rPr>
        <w:t>18</w:t>
      </w:r>
      <w:r>
        <w:rPr>
          <w:rFonts w:hint="eastAsia"/>
        </w:rPr>
        <w:t>日中午12时布置完毕。</w:t>
      </w:r>
      <w:r>
        <w:rPr>
          <w:rFonts w:hint="eastAsia"/>
          <w:sz w:val="28"/>
        </w:rPr>
        <w:t>★</w:t>
      </w:r>
    </w:p>
    <w:p>
      <w:pPr>
        <w:rPr>
          <w:rFonts w:hint="eastAsia"/>
        </w:rPr>
      </w:pPr>
      <w:r>
        <w:rPr>
          <w:rFonts w:hint="eastAsia"/>
          <w:lang w:val="en-US" w:eastAsia="zh-CN"/>
        </w:rPr>
        <w:t>10</w:t>
      </w:r>
      <w:r>
        <w:rPr>
          <w:rFonts w:hint="eastAsia"/>
        </w:rPr>
        <w:t>.招聘会宣传工作要求：</w:t>
      </w:r>
    </w:p>
    <w:p>
      <w:pPr>
        <w:rPr>
          <w:rFonts w:hint="eastAsia"/>
        </w:rPr>
      </w:pPr>
      <w:r>
        <w:rPr>
          <w:rFonts w:hint="eastAsia"/>
        </w:rPr>
        <w:t>（1）做好线上宣传：招聘会开始前要通过网站、微信公众号、QQ群等新媒体大力宣传报道招聘会相关活动。招聘会结束后要提交工作总结及相关新闻报道稿及宣传；</w:t>
      </w:r>
    </w:p>
    <w:p>
      <w:pPr>
        <w:rPr>
          <w:rFonts w:hint="eastAsia"/>
        </w:rPr>
      </w:pPr>
      <w:r>
        <w:rPr>
          <w:rFonts w:hint="eastAsia"/>
        </w:rPr>
        <w:t>（2）做好线下宣传物料准备及布置张贴工作。</w:t>
      </w:r>
    </w:p>
    <w:p>
      <w:pPr>
        <w:rPr>
          <w:rFonts w:hint="eastAsia"/>
        </w:rPr>
      </w:pPr>
      <w:r>
        <w:rPr>
          <w:rFonts w:hint="eastAsia"/>
          <w:lang w:val="en-US" w:eastAsia="zh-CN"/>
        </w:rPr>
        <w:t>11</w:t>
      </w:r>
      <w:r>
        <w:rPr>
          <w:rFonts w:hint="eastAsia"/>
        </w:rPr>
        <w:t>.招聘会当天工作人员安排要求:</w:t>
      </w:r>
    </w:p>
    <w:p>
      <w:pPr>
        <w:rPr>
          <w:rFonts w:hint="eastAsia"/>
        </w:rPr>
      </w:pPr>
      <w:r>
        <w:rPr>
          <w:rFonts w:hint="eastAsia"/>
        </w:rPr>
        <w:t>（1）会务组10人，做好招聘会的组织和协调、以及疫情防控工作，必须于</w:t>
      </w:r>
      <w:r>
        <w:rPr>
          <w:rFonts w:hint="eastAsia"/>
          <w:lang w:val="en-US" w:eastAsia="zh-CN"/>
        </w:rPr>
        <w:t>11</w:t>
      </w:r>
      <w:r>
        <w:rPr>
          <w:rFonts w:hint="eastAsia"/>
        </w:rPr>
        <w:t>月</w:t>
      </w:r>
      <w:r>
        <w:rPr>
          <w:rFonts w:hint="eastAsia"/>
          <w:lang w:val="en-US" w:eastAsia="zh-CN"/>
        </w:rPr>
        <w:t>19</w:t>
      </w:r>
      <w:r>
        <w:rPr>
          <w:rFonts w:hint="eastAsia"/>
        </w:rPr>
        <w:t xml:space="preserve">日上午8：00到位; </w:t>
      </w:r>
    </w:p>
    <w:p>
      <w:pPr>
        <w:rPr>
          <w:rFonts w:hint="eastAsia"/>
        </w:rPr>
      </w:pPr>
      <w:r>
        <w:rPr>
          <w:rFonts w:hint="eastAsia"/>
        </w:rPr>
        <w:t>（2）企业接待组 10人，做好用人单位报到和相关安排工作，必须于</w:t>
      </w:r>
      <w:r>
        <w:rPr>
          <w:rFonts w:hint="eastAsia"/>
          <w:lang w:val="en-US" w:eastAsia="zh-CN"/>
        </w:rPr>
        <w:t>11</w:t>
      </w:r>
      <w:r>
        <w:rPr>
          <w:rFonts w:hint="eastAsia"/>
        </w:rPr>
        <w:t>月</w:t>
      </w:r>
      <w:r>
        <w:rPr>
          <w:rFonts w:hint="eastAsia"/>
          <w:lang w:val="en-US" w:eastAsia="zh-CN"/>
        </w:rPr>
        <w:t>19</w:t>
      </w:r>
      <w:r>
        <w:rPr>
          <w:rFonts w:hint="eastAsia"/>
        </w:rPr>
        <w:t>日上午8：00到位；</w:t>
      </w:r>
    </w:p>
    <w:p>
      <w:pPr>
        <w:rPr>
          <w:rFonts w:hint="eastAsia"/>
        </w:rPr>
      </w:pPr>
      <w:r>
        <w:rPr>
          <w:rFonts w:hint="eastAsia"/>
        </w:rPr>
        <w:t>（3）按照每10家单位配备一名工作人员做好服务工作；</w:t>
      </w:r>
    </w:p>
    <w:p>
      <w:pPr>
        <w:rPr>
          <w:rFonts w:hint="eastAsia"/>
        </w:rPr>
      </w:pPr>
      <w:r>
        <w:rPr>
          <w:rFonts w:hint="eastAsia"/>
        </w:rPr>
        <w:t>（4）安排专人负责场地内安全须知及注意事项广播。</w:t>
      </w:r>
    </w:p>
    <w:p>
      <w:pPr>
        <w:rPr>
          <w:rFonts w:hint="eastAsia"/>
        </w:rPr>
      </w:pPr>
      <w:r>
        <w:rPr>
          <w:rFonts w:hint="eastAsia"/>
        </w:rPr>
        <w:t>1</w:t>
      </w:r>
      <w:r>
        <w:rPr>
          <w:rFonts w:hint="eastAsia"/>
          <w:lang w:val="en-US" w:eastAsia="zh-CN"/>
        </w:rPr>
        <w:t>2</w:t>
      </w:r>
      <w:r>
        <w:rPr>
          <w:rFonts w:hint="eastAsia"/>
        </w:rPr>
        <w:t>. 所有物资应包含运输、案装、张贴、撤场，在活动进行中，应确保物资正常使用，如有损坏可以在半小时内进行维修和更换。</w:t>
      </w:r>
    </w:p>
    <w:p>
      <w:pPr>
        <w:rPr>
          <w:rFonts w:hint="eastAsia"/>
        </w:rPr>
      </w:pPr>
      <w:r>
        <w:rPr>
          <w:rFonts w:hint="eastAsia"/>
        </w:rPr>
        <w:t>1</w:t>
      </w:r>
      <w:r>
        <w:rPr>
          <w:rFonts w:hint="eastAsia"/>
          <w:lang w:val="en-US" w:eastAsia="zh-CN"/>
        </w:rPr>
        <w:t>3</w:t>
      </w:r>
      <w:r>
        <w:rPr>
          <w:rFonts w:hint="eastAsia"/>
        </w:rPr>
        <w:t>.应标单位须了解高校就业工作，熟悉大学校园环境，完成主办方广东财经大学学生就业指导中心布置的其它招聘会相关工作。</w:t>
      </w:r>
    </w:p>
    <w:p>
      <w:pPr>
        <w:pStyle w:val="2"/>
        <w:rPr>
          <w:rFonts w:hint="eastAsia"/>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4"/>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r>
        <w:rPr>
          <w:rFonts w:hint="eastAsia" w:ascii="宋体" w:hAnsi="宋体"/>
          <w:bCs/>
          <w:sz w:val="28"/>
          <w:szCs w:val="28"/>
          <w:lang w:val="en-US" w:eastAsia="zh-CN"/>
        </w:rPr>
        <w:t>田径场</w:t>
      </w:r>
      <w:r>
        <w:rPr>
          <w:rFonts w:hint="eastAsia" w:ascii="宋体" w:hAnsi="宋体"/>
          <w:bCs/>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 xml:space="preserve"> 11月18日-11月19日</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 xml:space="preserve"> 2小时</w:t>
      </w:r>
      <w:r>
        <w:rPr>
          <w:rFonts w:hint="eastAsia" w:ascii="宋体" w:hAnsi="宋体"/>
          <w:sz w:val="28"/>
          <w:szCs w:val="28"/>
        </w:rPr>
        <w:t>之内,并在内解决故障。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3"/>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9"/>
        </w:numPr>
        <w:spacing w:line="0" w:lineRule="atLeast"/>
        <w:rPr>
          <w:rFonts w:hAnsi="宋体"/>
          <w:sz w:val="28"/>
          <w:szCs w:val="28"/>
        </w:rPr>
      </w:pPr>
      <w:r>
        <w:rPr>
          <w:rFonts w:hint="eastAsia"/>
          <w:sz w:val="28"/>
          <w:szCs w:val="28"/>
        </w:rPr>
        <w:t>填写此表时不得改变表格的形式。</w:t>
      </w:r>
    </w:p>
    <w:p>
      <w:pPr>
        <w:pStyle w:val="14"/>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EF2729-117C-4918-A5A1-1DBC6560E1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27DB76-4FEF-4A82-870A-1BEE9767B91B}"/>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9AB18AEF-7381-413B-AD25-62F55D3C56A9}"/>
  </w:font>
  <w:font w:name="楷体_GB2312">
    <w:altName w:val="楷体"/>
    <w:panose1 w:val="00000000000000000000"/>
    <w:charset w:val="86"/>
    <w:family w:val="modern"/>
    <w:pitch w:val="default"/>
    <w:sig w:usb0="00000000" w:usb1="00000000" w:usb2="00000000" w:usb3="00000000" w:csb0="00040000" w:csb1="00000000"/>
    <w:embedRegular r:id="rId4" w:fontKey="{1B1DDED2-DB38-45FA-ADB6-FC525176CB55}"/>
  </w:font>
  <w:font w:name="楷体">
    <w:panose1 w:val="02010609060101010101"/>
    <w:charset w:val="86"/>
    <w:family w:val="auto"/>
    <w:pitch w:val="default"/>
    <w:sig w:usb0="800002BF" w:usb1="38CF7CFA" w:usb2="00000016" w:usb3="00000000" w:csb0="00040001" w:csb1="00000000"/>
    <w:embedRegular r:id="rId5" w:fontKey="{37A3035F-72C3-4BC0-A986-EB344100AD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F84E80F3"/>
    <w:multiLevelType w:val="singleLevel"/>
    <w:tmpl w:val="F84E80F3"/>
    <w:lvl w:ilvl="0" w:tentative="0">
      <w:start w:val="2"/>
      <w:numFmt w:val="decimal"/>
      <w:lvlText w:val="%1."/>
      <w:lvlJc w:val="left"/>
      <w:pPr>
        <w:tabs>
          <w:tab w:val="left" w:pos="312"/>
        </w:tabs>
      </w:p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9"/>
  </w:num>
  <w:num w:numId="3">
    <w:abstractNumId w:val="3"/>
  </w:num>
  <w:num w:numId="4">
    <w:abstractNumId w:val="4"/>
  </w:num>
  <w:num w:numId="5">
    <w:abstractNumId w:val="2"/>
  </w:num>
  <w:num w:numId="6">
    <w:abstractNumId w:val="1"/>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GZjZTUwODZkOTViZTYzMDc5MGNjODI1OWZiMDA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8B263E1"/>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FD1559A"/>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DFC0368"/>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5FC689B"/>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063344"/>
    <w:rsid w:val="719242C5"/>
    <w:rsid w:val="72B62304"/>
    <w:rsid w:val="742D0AEA"/>
    <w:rsid w:val="750157C1"/>
    <w:rsid w:val="776225FC"/>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line="720" w:lineRule="exact"/>
      <w:jc w:val="center"/>
      <w:outlineLvl w:val="0"/>
    </w:pPr>
    <w:rPr>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link w:val="47"/>
    <w:qFormat/>
    <w:uiPriority w:val="0"/>
    <w:pPr>
      <w:ind w:firstLine="420"/>
    </w:pPr>
    <w:rPr>
      <w:rFonts w:ascii="Calibri" w:hAnsi="Calibri"/>
      <w:kern w:val="0"/>
      <w:sz w:val="20"/>
      <w:szCs w:val="20"/>
    </w:rPr>
  </w:style>
  <w:style w:type="paragraph" w:styleId="8">
    <w:name w:val="Document Map"/>
    <w:basedOn w:val="1"/>
    <w:link w:val="62"/>
    <w:semiHidden/>
    <w:qFormat/>
    <w:uiPriority w:val="0"/>
    <w:pPr>
      <w:shd w:val="clear" w:color="auto" w:fill="000080"/>
    </w:pPr>
    <w:rPr>
      <w:kern w:val="0"/>
      <w:sz w:val="20"/>
    </w:rPr>
  </w:style>
  <w:style w:type="paragraph" w:styleId="9">
    <w:name w:val="annotation text"/>
    <w:basedOn w:val="1"/>
    <w:next w:val="10"/>
    <w:link w:val="65"/>
    <w:qFormat/>
    <w:uiPriority w:val="0"/>
    <w:pPr>
      <w:spacing w:line="280" w:lineRule="exact"/>
      <w:jc w:val="left"/>
    </w:pPr>
    <w:rPr>
      <w:sz w:val="24"/>
    </w:rPr>
  </w:style>
  <w:style w:type="paragraph" w:styleId="10">
    <w:name w:val="Balloon Text"/>
    <w:basedOn w:val="1"/>
    <w:link w:val="41"/>
    <w:semiHidden/>
    <w:qFormat/>
    <w:uiPriority w:val="0"/>
    <w:pPr>
      <w:adjustRightInd w:val="0"/>
      <w:snapToGrid w:val="0"/>
    </w:pPr>
    <w:rPr>
      <w:sz w:val="28"/>
      <w:szCs w:val="18"/>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10"/>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7"/>
    <w:qFormat/>
    <w:uiPriority w:val="0"/>
    <w:rPr>
      <w:rFonts w:eastAsia="宋体"/>
    </w:rPr>
  </w:style>
  <w:style w:type="character" w:customStyle="1" w:styleId="48">
    <w:name w:val="标题 2 Char"/>
    <w:link w:val="4"/>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5"/>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6"/>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3"/>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9"/>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3">
    <w:name w:val="font11"/>
    <w:basedOn w:val="30"/>
    <w:qFormat/>
    <w:uiPriority w:val="0"/>
    <w:rPr>
      <w:rFonts w:hint="eastAsia" w:ascii="宋体" w:hAnsi="宋体" w:eastAsia="宋体" w:cs="宋体"/>
      <w:color w:val="000000"/>
      <w:sz w:val="22"/>
      <w:szCs w:val="22"/>
      <w:u w:val="none"/>
    </w:rPr>
  </w:style>
  <w:style w:type="character" w:customStyle="1" w:styleId="104">
    <w:name w:val="font01"/>
    <w:basedOn w:val="30"/>
    <w:qFormat/>
    <w:uiPriority w:val="0"/>
    <w:rPr>
      <w:rFonts w:hint="eastAsia" w:ascii="宋体" w:hAnsi="宋体" w:eastAsia="宋体" w:cs="宋体"/>
      <w:color w:val="0000FF"/>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7997</Words>
  <Characters>8263</Characters>
  <Lines>72</Lines>
  <Paragraphs>20</Paragraphs>
  <TotalTime>13</TotalTime>
  <ScaleCrop>false</ScaleCrop>
  <LinksUpToDate>false</LinksUpToDate>
  <CharactersWithSpaces>8830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赵薇薇</cp:lastModifiedBy>
  <cp:lastPrinted>2022-01-21T10:35:00Z</cp:lastPrinted>
  <dcterms:modified xsi:type="dcterms:W3CDTF">2022-10-10T02:31:41Z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B7B0ABEE24384D689CCCEA035A597AEF</vt:lpwstr>
  </property>
</Properties>
</file>