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ind w:firstLine="1084" w:firstLineChars="300"/>
        <w:jc w:val="both"/>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防雷装置定期检测服务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eastAsia="zh-CN"/>
        </w:rPr>
        <w:t>后勤处</w:t>
      </w:r>
      <w:r>
        <w:rPr>
          <w:rFonts w:hint="eastAsia" w:ascii="宋体" w:hAnsi="宋体"/>
          <w:b/>
          <w:sz w:val="36"/>
          <w:u w:val="single"/>
        </w:rPr>
        <w:t xml:space="preserve">                     </w:t>
      </w:r>
    </w:p>
    <w:p>
      <w:pPr>
        <w:spacing w:line="1000" w:lineRule="exact"/>
        <w:ind w:firstLine="1084" w:firstLineChars="300"/>
        <w:jc w:val="both"/>
        <w:rPr>
          <w:rFonts w:ascii="黑体" w:eastAsia="黑体"/>
          <w:b/>
          <w:sz w:val="72"/>
          <w:szCs w:val="72"/>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2023年3月1日</w:t>
      </w:r>
      <w:r>
        <w:rPr>
          <w:rFonts w:hint="eastAsia" w:ascii="宋体" w:hAnsi="宋体"/>
          <w:b/>
          <w:sz w:val="36"/>
          <w:u w:val="single"/>
        </w:rPr>
        <w:t xml:space="preserve">          </w:t>
      </w:r>
      <w:bookmarkStart w:id="46" w:name="_GoBack"/>
      <w:bookmarkEnd w:id="46"/>
      <w:r>
        <w:rPr>
          <w:rFonts w:hint="eastAsia" w:ascii="宋体" w:hAnsi="宋体"/>
          <w:b/>
          <w:sz w:val="36"/>
          <w:u w:val="single"/>
        </w:rPr>
        <w:t xml:space="preserve">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tabs>
          <w:tab w:val="left" w:pos="1145"/>
        </w:tabs>
        <w:spacing w:line="360" w:lineRule="auto"/>
        <w:ind w:firstLine="560" w:firstLineChars="200"/>
        <w:jc w:val="left"/>
        <w:rPr>
          <w:rFonts w:hint="eastAsia" w:ascii="宋体" w:hAnsi="宋体" w:eastAsia="宋体" w:cs="宋体"/>
          <w:color w:val="auto"/>
          <w:sz w:val="28"/>
          <w:szCs w:val="28"/>
        </w:rPr>
      </w:pPr>
      <w:bookmarkStart w:id="7" w:name="_Toc60236699"/>
      <w:bookmarkStart w:id="8" w:name="_Toc508103352"/>
      <w:bookmarkStart w:id="9" w:name="_Toc28829"/>
      <w:r>
        <w:rPr>
          <w:rFonts w:hint="eastAsia" w:ascii="宋体" w:hAnsi="宋体" w:eastAsia="宋体" w:cs="宋体"/>
          <w:kern w:val="0"/>
          <w:sz w:val="28"/>
          <w:szCs w:val="28"/>
        </w:rPr>
        <w:t>广东财经大学是广东和华南地区重要的经、管、法人才培养、科学研究和社会服务基地。学校建筑物众多，学校师生人数众多，根据《中华人民共和国气象法》、《广东省气象灾害防御条例》、《广东省防御雷电灾害管理规定》等法律法规要求，对学校内建(构)筑物防雷设施进行定期检测，排</w:t>
      </w:r>
      <w:r>
        <w:rPr>
          <w:rFonts w:hint="eastAsia" w:ascii="宋体" w:hAnsi="宋体" w:eastAsia="宋体" w:cs="宋体"/>
          <w:color w:val="auto"/>
          <w:kern w:val="0"/>
          <w:sz w:val="28"/>
          <w:szCs w:val="28"/>
        </w:rPr>
        <w:t>查安全隐患，确保防雷装置有效运行，以策安全。</w:t>
      </w:r>
      <w:r>
        <w:rPr>
          <w:rFonts w:hint="eastAsia" w:ascii="宋体" w:hAnsi="宋体" w:eastAsia="宋体" w:cs="宋体"/>
          <w:color w:val="auto"/>
          <w:sz w:val="28"/>
          <w:szCs w:val="28"/>
        </w:rPr>
        <w:t>本项目的总预算为人民币5万元，服务年限为2年，每年检测1次，共2次。</w:t>
      </w:r>
    </w:p>
    <w:p>
      <w:pPr>
        <w:widowControl/>
        <w:numPr>
          <w:ilvl w:val="0"/>
          <w:numId w:val="0"/>
        </w:num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承包方式：以整体项目总价包干方式承包。如果需要检测项目的施工方案发生变更，中标人的检测方案应做相应调整，但检测费用不变。在履行检测合同期间，对因物价变动或其它因素而导致的检测人员及其它总额费用的变化或服务期间的延长，均不予调整服务费用。投标报价应包括检测单位因完成本项目所发生的一切费用。投标人在报价时必须充分考虑各种影响因素和风险，检测费结算时任何因忽视、误解、遗漏等情况而导致的索赔申请将不批准。</w:t>
      </w:r>
    </w:p>
    <w:p>
      <w:pPr>
        <w:widowControl/>
        <w:numPr>
          <w:ilvl w:val="0"/>
          <w:numId w:val="0"/>
        </w:numPr>
        <w:spacing w:line="360" w:lineRule="auto"/>
        <w:ind w:firstLine="560" w:firstLineChars="200"/>
        <w:jc w:val="left"/>
        <w:rPr>
          <w:rFonts w:hint="eastAsia" w:ascii="宋体" w:hAnsi="宋体" w:eastAsia="宋体" w:cs="宋体"/>
          <w:color w:val="FF0000"/>
          <w:sz w:val="28"/>
          <w:szCs w:val="28"/>
        </w:rPr>
      </w:pPr>
      <w:r>
        <w:rPr>
          <w:rFonts w:hint="eastAsia" w:ascii="宋体" w:hAnsi="宋体" w:eastAsia="宋体" w:cs="宋体"/>
          <w:kern w:val="0"/>
          <w:sz w:val="28"/>
          <w:szCs w:val="28"/>
        </w:rPr>
        <w:t>投标人必须自行考虑本项目在实施期间的一切可能产生的费用。在合同执行过程中，采购人将不再另行支付与本项目相关的任何费用。</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sz w:val="28"/>
          <w:szCs w:val="28"/>
          <w:lang w:eastAsia="zh-CN"/>
        </w:rPr>
      </w:pPr>
      <w:r>
        <w:rPr>
          <w:rFonts w:hint="eastAsia" w:ascii="宋体" w:hAnsi="宋体"/>
          <w:sz w:val="28"/>
          <w:szCs w:val="28"/>
          <w:lang w:eastAsia="zh-CN"/>
        </w:rPr>
        <w:t>（三）</w:t>
      </w:r>
      <w:r>
        <w:rPr>
          <w:rFonts w:hint="eastAsia" w:ascii="宋体" w:hAnsi="宋体"/>
          <w:sz w:val="28"/>
          <w:szCs w:val="28"/>
        </w:rPr>
        <w:t>具有合法有效的防雷设施检测服务资质的检测机构。</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numPr>
          <w:ilvl w:val="0"/>
          <w:numId w:val="0"/>
        </w:num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00"/>
        <w:gridCol w:w="1257"/>
        <w:gridCol w:w="1706"/>
        <w:gridCol w:w="97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47" w:type="dxa"/>
            <w:noWrap w:val="0"/>
            <w:vAlign w:val="center"/>
          </w:tcPr>
          <w:p>
            <w:pPr>
              <w:rPr>
                <w:rFonts w:ascii="宋体" w:hAnsi="宋体"/>
                <w:b/>
                <w:bCs/>
                <w:sz w:val="24"/>
              </w:rPr>
            </w:pPr>
            <w:r>
              <w:rPr>
                <w:rFonts w:ascii="宋体" w:hAnsi="宋体"/>
                <w:b/>
                <w:sz w:val="24"/>
              </w:rPr>
              <w:t xml:space="preserve"> </w:t>
            </w:r>
            <w:r>
              <w:rPr>
                <w:rFonts w:hint="eastAsia" w:ascii="宋体" w:hAnsi="宋体"/>
                <w:b/>
                <w:sz w:val="24"/>
                <w:lang w:eastAsia="zh-CN"/>
              </w:rPr>
              <w:t>建筑物</w:t>
            </w:r>
            <w:r>
              <w:rPr>
                <w:rFonts w:hint="eastAsia" w:ascii="宋体" w:hAnsi="宋体"/>
                <w:b/>
                <w:bCs/>
                <w:sz w:val="24"/>
              </w:rPr>
              <w:t>名称</w:t>
            </w:r>
          </w:p>
        </w:tc>
        <w:tc>
          <w:tcPr>
            <w:tcW w:w="1200" w:type="dxa"/>
            <w:noWrap w:val="0"/>
            <w:vAlign w:val="center"/>
          </w:tcPr>
          <w:p>
            <w:pPr>
              <w:widowControl/>
              <w:jc w:val="center"/>
              <w:rPr>
                <w:rFonts w:ascii="宋体" w:hAnsi="宋体"/>
                <w:b/>
                <w:bCs/>
                <w:sz w:val="24"/>
              </w:rPr>
            </w:pPr>
            <w:r>
              <w:rPr>
                <w:rFonts w:hint="eastAsia" w:ascii="宋体" w:hAnsi="宋体"/>
                <w:b/>
                <w:bCs/>
                <w:sz w:val="24"/>
              </w:rPr>
              <w:t>防雷</w:t>
            </w:r>
          </w:p>
          <w:p>
            <w:pPr>
              <w:widowControl/>
              <w:jc w:val="center"/>
              <w:rPr>
                <w:rFonts w:ascii="宋体" w:hAnsi="宋体"/>
                <w:b/>
                <w:bCs/>
                <w:sz w:val="24"/>
              </w:rPr>
            </w:pPr>
            <w:r>
              <w:rPr>
                <w:rFonts w:hint="eastAsia" w:ascii="宋体" w:hAnsi="宋体"/>
                <w:b/>
                <w:bCs/>
                <w:sz w:val="24"/>
              </w:rPr>
              <w:t>类别</w:t>
            </w:r>
          </w:p>
        </w:tc>
        <w:tc>
          <w:tcPr>
            <w:tcW w:w="1257" w:type="dxa"/>
            <w:noWrap w:val="0"/>
            <w:vAlign w:val="center"/>
          </w:tcPr>
          <w:p>
            <w:pPr>
              <w:jc w:val="center"/>
              <w:rPr>
                <w:rFonts w:ascii="宋体" w:hAnsi="宋体"/>
                <w:b/>
                <w:bCs/>
                <w:sz w:val="24"/>
              </w:rPr>
            </w:pPr>
            <w:r>
              <w:rPr>
                <w:rFonts w:hint="eastAsia" w:ascii="宋体" w:hAnsi="宋体"/>
                <w:b/>
                <w:bCs/>
                <w:sz w:val="24"/>
              </w:rPr>
              <w:t>天面面积（</w:t>
            </w:r>
            <w:r>
              <w:rPr>
                <w:rFonts w:ascii="宋体" w:hAnsi="宋体"/>
                <w:b/>
                <w:bCs/>
                <w:sz w:val="24"/>
              </w:rPr>
              <w:t>m</w:t>
            </w:r>
            <w:r>
              <w:rPr>
                <w:rFonts w:ascii="宋体" w:hAnsi="宋体"/>
                <w:b/>
                <w:bCs/>
                <w:sz w:val="24"/>
                <w:vertAlign w:val="superscript"/>
              </w:rPr>
              <w:t>2</w:t>
            </w:r>
            <w:r>
              <w:rPr>
                <w:rFonts w:hint="eastAsia" w:ascii="宋体" w:hAnsi="宋体"/>
                <w:b/>
                <w:bCs/>
                <w:sz w:val="24"/>
              </w:rPr>
              <w:t>）</w:t>
            </w:r>
          </w:p>
        </w:tc>
        <w:tc>
          <w:tcPr>
            <w:tcW w:w="1706" w:type="dxa"/>
            <w:noWrap w:val="0"/>
            <w:vAlign w:val="center"/>
          </w:tcPr>
          <w:p>
            <w:pPr>
              <w:jc w:val="center"/>
              <w:rPr>
                <w:rFonts w:hint="eastAsia" w:ascii="宋体" w:hAnsi="宋体" w:eastAsia="宋体"/>
                <w:b/>
                <w:bCs/>
                <w:sz w:val="24"/>
                <w:lang w:eastAsia="zh-CN"/>
              </w:rPr>
            </w:pPr>
            <w:r>
              <w:rPr>
                <w:rFonts w:hint="eastAsia" w:ascii="宋体" w:hAnsi="宋体"/>
                <w:b/>
                <w:bCs/>
                <w:sz w:val="24"/>
                <w:lang w:eastAsia="zh-CN"/>
              </w:rPr>
              <w:t>检测项目</w:t>
            </w:r>
          </w:p>
        </w:tc>
        <w:tc>
          <w:tcPr>
            <w:tcW w:w="970" w:type="dxa"/>
            <w:noWrap w:val="0"/>
            <w:vAlign w:val="center"/>
          </w:tcPr>
          <w:p>
            <w:pPr>
              <w:jc w:val="center"/>
              <w:rPr>
                <w:rFonts w:hint="eastAsia" w:ascii="宋体" w:hAnsi="宋体"/>
                <w:b/>
                <w:bCs/>
                <w:sz w:val="24"/>
                <w:lang w:eastAsia="zh-CN"/>
              </w:rPr>
            </w:pPr>
            <w:r>
              <w:rPr>
                <w:rFonts w:hint="eastAsia" w:ascii="宋体" w:hAnsi="宋体"/>
                <w:b/>
                <w:bCs/>
                <w:sz w:val="24"/>
                <w:lang w:eastAsia="zh-CN"/>
              </w:rPr>
              <w:t>计量</w:t>
            </w:r>
          </w:p>
          <w:p>
            <w:pPr>
              <w:jc w:val="center"/>
              <w:rPr>
                <w:rFonts w:hint="eastAsia" w:ascii="宋体" w:hAnsi="宋体" w:eastAsia="宋体"/>
                <w:b/>
                <w:bCs/>
                <w:sz w:val="24"/>
                <w:lang w:eastAsia="zh-CN"/>
              </w:rPr>
            </w:pPr>
            <w:r>
              <w:rPr>
                <w:rFonts w:hint="eastAsia" w:ascii="宋体" w:hAnsi="宋体"/>
                <w:b/>
                <w:bCs/>
                <w:sz w:val="24"/>
                <w:lang w:eastAsia="zh-CN"/>
              </w:rPr>
              <w:t>单位</w:t>
            </w:r>
          </w:p>
        </w:tc>
        <w:tc>
          <w:tcPr>
            <w:tcW w:w="1205" w:type="dxa"/>
            <w:noWrap w:val="0"/>
            <w:vAlign w:val="center"/>
          </w:tcPr>
          <w:p>
            <w:pPr>
              <w:jc w:val="center"/>
              <w:rPr>
                <w:rFonts w:hint="eastAsia" w:ascii="宋体" w:hAnsi="宋体" w:eastAsia="宋体"/>
                <w:b/>
                <w:bCs/>
                <w:sz w:val="24"/>
                <w:lang w:eastAsia="zh-CN"/>
              </w:rPr>
            </w:pPr>
            <w:r>
              <w:rPr>
                <w:rFonts w:hint="eastAsia" w:ascii="宋体" w:hAnsi="宋体"/>
                <w:b/>
                <w:bCs/>
                <w:sz w:val="24"/>
              </w:rPr>
              <w:t>数</w:t>
            </w:r>
            <w:r>
              <w:rPr>
                <w:rFonts w:hint="eastAsia" w:ascii="宋体" w:hAnsi="宋体"/>
                <w:b/>
                <w:bCs/>
                <w:sz w:val="24"/>
                <w:lang w:eastAsia="zh-CN"/>
              </w:rPr>
              <w:t>量</w:t>
            </w:r>
          </w:p>
          <w:p>
            <w:pPr>
              <w:jc w:val="center"/>
              <w:rPr>
                <w:rFonts w:ascii="宋体" w:hAnsi="宋体"/>
                <w:b/>
                <w:bCs/>
                <w:color w:val="0000FF"/>
                <w:sz w:val="24"/>
              </w:rPr>
            </w:pPr>
            <w:r>
              <w:rPr>
                <w:rFonts w:hint="eastAsia" w:ascii="宋体" w:hAnsi="宋体"/>
                <w:b/>
                <w:bCs/>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旧图书馆</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2750</w:t>
            </w:r>
          </w:p>
        </w:tc>
        <w:tc>
          <w:tcPr>
            <w:tcW w:w="1706" w:type="dxa"/>
            <w:noWrap w:val="0"/>
            <w:vAlign w:val="center"/>
          </w:tcPr>
          <w:p>
            <w:pPr>
              <w:spacing w:line="360" w:lineRule="auto"/>
              <w:jc w:val="center"/>
              <w:rPr>
                <w:rFonts w:ascii="宋体" w:hAnsi="宋体"/>
                <w:bCs/>
                <w:szCs w:val="21"/>
              </w:rPr>
            </w:pPr>
            <w:r>
              <w:rPr>
                <w:rFonts w:hint="eastAsia" w:ascii="宋体" w:hAnsi="宋体"/>
                <w:bCs/>
                <w:szCs w:val="21"/>
              </w:rPr>
              <w:t>屋面接闪器</w:t>
            </w:r>
          </w:p>
        </w:tc>
        <w:tc>
          <w:tcPr>
            <w:tcW w:w="970"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保卫宿舍楼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480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szCs w:val="21"/>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17栋宿舍楼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szCs w:val="21"/>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18栋宿舍楼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19栋宿舍楼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26栋宿舍楼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612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7" w:type="dxa"/>
            <w:noWrap w:val="0"/>
            <w:vAlign w:val="center"/>
          </w:tcPr>
          <w:p>
            <w:pPr>
              <w:jc w:val="center"/>
              <w:rPr>
                <w:rFonts w:ascii="宋体" w:hAnsi="宋体"/>
                <w:szCs w:val="21"/>
              </w:rPr>
            </w:pPr>
            <w:r>
              <w:rPr>
                <w:rFonts w:hint="eastAsia" w:ascii="宋体" w:hAnsi="宋体"/>
                <w:szCs w:val="21"/>
              </w:rPr>
              <w:t>27栋宿舍楼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612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第一饭堂</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1386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25栋宿舍楼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693</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693</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22栋宿舍楼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23栋宿舍楼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375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21栋宿舍楼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630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20栋宿舍楼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630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第二饭堂</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3402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5栋宿舍楼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6栋宿舍楼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9栋宿舍楼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10栋宿舍楼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11栋宿舍楼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12栋宿舍楼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13栋宿舍楼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476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丽枫酒店</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720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第二综合楼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第二教学楼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402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47" w:type="dxa"/>
            <w:noWrap w:val="0"/>
            <w:vAlign w:val="center"/>
          </w:tcPr>
          <w:p>
            <w:pPr>
              <w:jc w:val="center"/>
              <w:rPr>
                <w:rFonts w:ascii="宋体" w:hAnsi="宋体"/>
                <w:szCs w:val="21"/>
              </w:rPr>
            </w:pPr>
            <w:r>
              <w:rPr>
                <w:rFonts w:hint="eastAsia" w:ascii="宋体" w:hAnsi="宋体"/>
                <w:szCs w:val="21"/>
              </w:rPr>
              <w:t>化1、化2宿舍楼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1088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7" w:type="dxa"/>
            <w:noWrap w:val="0"/>
            <w:vAlign w:val="center"/>
          </w:tcPr>
          <w:p>
            <w:pPr>
              <w:jc w:val="center"/>
              <w:rPr>
                <w:rFonts w:ascii="宋体" w:hAnsi="宋体"/>
                <w:szCs w:val="21"/>
              </w:rPr>
            </w:pPr>
            <w:r>
              <w:rPr>
                <w:rFonts w:hint="eastAsia" w:ascii="宋体" w:hAnsi="宋体"/>
                <w:szCs w:val="21"/>
              </w:rPr>
              <w:t>化3、化4宿舍楼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1020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bookmarkStart w:id="26" w:name="_Hlk520151376"/>
            <w:r>
              <w:rPr>
                <w:rFonts w:hint="eastAsia" w:ascii="宋体" w:hAnsi="宋体"/>
                <w:szCs w:val="21"/>
              </w:rPr>
              <w:t>实验大楼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2450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医务楼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450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bookmarkStart w:id="27" w:name="_Hlk520150912"/>
            <w:r>
              <w:rPr>
                <w:rFonts w:hint="eastAsia" w:ascii="宋体" w:hAnsi="宋体"/>
                <w:szCs w:val="21"/>
              </w:rPr>
              <w:t>教学楼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1792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w:t>
            </w:r>
            <w:r>
              <w:rPr>
                <w:rFonts w:hint="eastAsia" w:ascii="宋体" w:hAnsi="宋体"/>
                <w:szCs w:val="21"/>
              </w:rPr>
              <w:t>1</w:t>
            </w:r>
          </w:p>
        </w:tc>
      </w:tr>
      <w:bookmarkEnd w:id="26"/>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综合楼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bCs/>
                <w:szCs w:val="21"/>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1700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28" w:name="_Hlk520150901"/>
            <w:r>
              <w:rPr>
                <w:rFonts w:hint="eastAsia" w:ascii="宋体" w:hAnsi="宋体"/>
                <w:szCs w:val="21"/>
              </w:rPr>
              <w:t>新图书馆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8245</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w:t>
            </w:r>
            <w:r>
              <w:rPr>
                <w:rFonts w:ascii="宋体" w:hAnsi="宋体"/>
                <w:szCs w:val="21"/>
              </w:rPr>
              <w:t>4</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29" w:name="OLE_LINK1"/>
            <w:bookmarkStart w:id="30" w:name="OLE_LINK4"/>
            <w:bookmarkStart w:id="31" w:name="OLE_LINK2"/>
            <w:bookmarkStart w:id="32" w:name="OLE_LINK3"/>
            <w:bookmarkStart w:id="33" w:name="_Hlk520151667"/>
            <w:r>
              <w:rPr>
                <w:rFonts w:hint="eastAsia" w:ascii="宋体" w:hAnsi="宋体"/>
                <w:szCs w:val="21"/>
              </w:rPr>
              <w:t>北</w:t>
            </w:r>
            <w:r>
              <w:rPr>
                <w:rFonts w:ascii="宋体" w:hAnsi="宋体"/>
                <w:szCs w:val="21"/>
              </w:rPr>
              <w:t>2</w:t>
            </w:r>
            <w:bookmarkEnd w:id="29"/>
            <w:bookmarkEnd w:id="30"/>
            <w:bookmarkEnd w:id="31"/>
            <w:bookmarkEnd w:id="32"/>
            <w:bookmarkStart w:id="34" w:name="OLE_LINK9"/>
            <w:bookmarkStart w:id="35" w:name="OLE_LINK8"/>
            <w:bookmarkStart w:id="36" w:name="OLE_LINK10"/>
            <w:r>
              <w:rPr>
                <w:rFonts w:hint="eastAsia" w:ascii="宋体" w:hAnsi="宋体"/>
                <w:szCs w:val="21"/>
              </w:rPr>
              <w:t>宿舍楼</w:t>
            </w:r>
            <w:bookmarkEnd w:id="34"/>
            <w:bookmarkEnd w:id="35"/>
            <w:bookmarkEnd w:id="36"/>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1800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37" w:name="_Hlk520151083"/>
            <w:r>
              <w:rPr>
                <w:rFonts w:hint="eastAsia" w:ascii="宋体" w:hAnsi="宋体"/>
                <w:szCs w:val="21"/>
              </w:rPr>
              <w:t>北</w:t>
            </w:r>
            <w:r>
              <w:rPr>
                <w:rFonts w:ascii="宋体" w:hAnsi="宋体"/>
                <w:szCs w:val="21"/>
              </w:rPr>
              <w:t>3</w:t>
            </w:r>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770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6</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38" w:name="OLE_LINK5"/>
            <w:bookmarkStart w:id="39" w:name="OLE_LINK7"/>
            <w:bookmarkStart w:id="40" w:name="OLE_LINK6"/>
            <w:r>
              <w:rPr>
                <w:rFonts w:hint="eastAsia" w:ascii="宋体" w:hAnsi="宋体"/>
                <w:szCs w:val="21"/>
              </w:rPr>
              <w:t>北</w:t>
            </w:r>
            <w:r>
              <w:rPr>
                <w:rFonts w:ascii="宋体" w:hAnsi="宋体"/>
                <w:szCs w:val="21"/>
              </w:rPr>
              <w:t>4</w:t>
            </w:r>
            <w:bookmarkEnd w:id="38"/>
            <w:bookmarkEnd w:id="39"/>
            <w:bookmarkEnd w:id="40"/>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北</w:t>
            </w:r>
            <w:r>
              <w:rPr>
                <w:rFonts w:ascii="宋体" w:hAnsi="宋体"/>
                <w:szCs w:val="21"/>
              </w:rPr>
              <w:t>5</w:t>
            </w:r>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28</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2346</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29</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4800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30</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3600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32</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2250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14</w:t>
            </w:r>
          </w:p>
        </w:tc>
      </w:tr>
    </w:tbl>
    <w:p>
      <w:pPr>
        <w:numPr>
          <w:ilvl w:val="0"/>
          <w:numId w:val="0"/>
        </w:numPr>
        <w:spacing w:line="560" w:lineRule="exact"/>
        <w:rPr>
          <w:rFonts w:hint="eastAsia" w:ascii="宋体" w:hAnsi="宋体"/>
          <w:b/>
          <w:bCs/>
          <w:kern w:val="0"/>
          <w:sz w:val="28"/>
          <w:szCs w:val="28"/>
        </w:rPr>
      </w:pPr>
    </w:p>
    <w:p>
      <w:pPr>
        <w:widowControl/>
        <w:spacing w:line="360" w:lineRule="auto"/>
        <w:ind w:left="640"/>
        <w:jc w:val="left"/>
        <w:rPr>
          <w:rFonts w:ascii="仿宋" w:hAnsi="仿宋" w:eastAsia="仿宋" w:cs="仿宋"/>
          <w:b/>
          <w:kern w:val="0"/>
          <w:sz w:val="32"/>
          <w:szCs w:val="32"/>
        </w:rPr>
      </w:pPr>
      <w:bookmarkStart w:id="41" w:name="_Toc17787"/>
      <w:bookmarkStart w:id="42" w:name="_Toc60236709"/>
      <w:r>
        <w:rPr>
          <w:rFonts w:hint="eastAsia" w:ascii="仿宋" w:hAnsi="仿宋" w:eastAsia="仿宋" w:cs="仿宋"/>
          <w:b/>
          <w:kern w:val="0"/>
          <w:sz w:val="32"/>
          <w:szCs w:val="32"/>
          <w:lang w:eastAsia="zh-CN"/>
        </w:rPr>
        <w:t>（二）</w:t>
      </w:r>
      <w:r>
        <w:rPr>
          <w:rFonts w:ascii="仿宋" w:hAnsi="仿宋" w:eastAsia="仿宋" w:cs="仿宋"/>
          <w:b/>
          <w:kern w:val="0"/>
          <w:sz w:val="32"/>
          <w:szCs w:val="32"/>
        </w:rPr>
        <w:t>检测内容</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1、防直击雷设施。重点检测学校建（构）筑物的直击雷防护设施，主要包括天面接闪器（接闪带、接闪杆、接闪网格）及其他金属物的接地及等电位连接情况。</w:t>
      </w:r>
    </w:p>
    <w:p>
      <w:pPr>
        <w:widowControl/>
        <w:spacing w:line="360" w:lineRule="auto"/>
        <w:ind w:left="640"/>
        <w:jc w:val="left"/>
        <w:rPr>
          <w:rFonts w:hint="eastAsia" w:ascii="宋体" w:hAnsi="宋体" w:eastAsia="宋体" w:cs="宋体"/>
          <w:kern w:val="0"/>
          <w:sz w:val="28"/>
          <w:szCs w:val="28"/>
        </w:rPr>
      </w:pPr>
      <w:r>
        <w:rPr>
          <w:rFonts w:hint="eastAsia" w:ascii="宋体" w:hAnsi="宋体" w:eastAsia="宋体" w:cs="宋体"/>
          <w:kern w:val="0"/>
          <w:sz w:val="28"/>
          <w:szCs w:val="28"/>
        </w:rPr>
        <w:t>2、防感应雷装置。检查配电系统、网络系统和监控</w:t>
      </w:r>
    </w:p>
    <w:p>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系统机房是否按照国家和地方有关技术标准和规范要求安装防感应雷装置（浪涌保护器），安装的防感应雷装置是否安全、有效。</w:t>
      </w:r>
    </w:p>
    <w:p>
      <w:pPr>
        <w:widowControl/>
        <w:numPr>
          <w:ilvl w:val="0"/>
          <w:numId w:val="0"/>
        </w:numPr>
        <w:spacing w:line="360" w:lineRule="auto"/>
        <w:ind w:firstLine="560" w:firstLineChars="200"/>
        <w:jc w:val="left"/>
        <w:rPr>
          <w:rFonts w:hint="eastAsia" w:ascii="宋体" w:hAnsi="宋体" w:eastAsia="宋体" w:cs="宋体"/>
          <w:kern w:val="0"/>
          <w:sz w:val="28"/>
          <w:szCs w:val="28"/>
          <w:u w:val="single"/>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检测范围：</w:t>
      </w:r>
      <w:r>
        <w:rPr>
          <w:rFonts w:hint="eastAsia" w:ascii="宋体" w:hAnsi="宋体" w:eastAsia="宋体" w:cs="宋体"/>
          <w:kern w:val="0"/>
          <w:sz w:val="28"/>
          <w:szCs w:val="28"/>
          <w:u w:val="single"/>
        </w:rPr>
        <w:t>旧图书馆、保卫宿舍楼、17栋宿舍楼、18栋宿舍楼、19栋宿舍楼、26栋宿舍楼、27栋宿舍楼、第一饭堂、25栋宿舍楼、24栋宿舍楼、22栋宿舍楼、23栋宿舍楼、21栋宿舍楼、20栋宿舍楼、第二饭堂、4栋宿舍楼、5栋宿舍楼、6栋宿舍楼、7栋宿舍楼、9栋宿舍楼、10栋宿舍楼、11栋宿舍楼、12栋宿舍楼、13栋宿舍楼、14栋宿舍楼、丽枫酒店、第二综合楼、第二教学楼、化1、化2宿舍楼、化3、化4宿舍楼、综合楼、实验大楼、医务楼、教学楼、新图书馆、北2、北3、北4、北5、28栋宿舍楼、29栋宿舍楼、30栋宿舍楼、32栋宿舍楼。</w:t>
      </w:r>
    </w:p>
    <w:p>
      <w:pPr>
        <w:widowControl/>
        <w:spacing w:line="360" w:lineRule="auto"/>
        <w:jc w:val="left"/>
        <w:rPr>
          <w:rFonts w:hint="eastAsia" w:ascii="宋体" w:hAnsi="宋体" w:eastAsia="宋体" w:cs="宋体"/>
          <w:kern w:val="0"/>
          <w:sz w:val="28"/>
          <w:szCs w:val="28"/>
        </w:rPr>
      </w:pPr>
    </w:p>
    <w:p>
      <w:pPr>
        <w:pStyle w:val="3"/>
        <w:spacing w:line="560" w:lineRule="exact"/>
        <w:rPr>
          <w:rFonts w:ascii="宋体" w:hAnsi="宋体" w:cs="宋体"/>
          <w:sz w:val="24"/>
        </w:rPr>
      </w:pPr>
      <w:r>
        <w:rPr>
          <w:rFonts w:hint="eastAsia"/>
        </w:rPr>
        <w:t>二、商务要求</w:t>
      </w:r>
      <w:bookmarkEnd w:id="41"/>
      <w:bookmarkEnd w:id="42"/>
    </w:p>
    <w:p>
      <w:pPr>
        <w:widowControl/>
        <w:numPr>
          <w:ilvl w:val="0"/>
          <w:numId w:val="0"/>
        </w:numPr>
        <w:spacing w:line="360" w:lineRule="auto"/>
        <w:ind w:left="634" w:leftChars="0"/>
        <w:jc w:val="left"/>
        <w:rPr>
          <w:rFonts w:hint="eastAsia" w:ascii="宋体" w:hAnsi="宋体" w:eastAsia="宋体" w:cs="宋体"/>
          <w:kern w:val="0"/>
          <w:sz w:val="28"/>
          <w:szCs w:val="28"/>
        </w:rPr>
      </w:pPr>
      <w:r>
        <w:rPr>
          <w:rFonts w:hint="eastAsia" w:ascii="宋体" w:hAnsi="宋体" w:eastAsia="宋体" w:cs="宋体"/>
          <w:b/>
          <w:sz w:val="28"/>
          <w:szCs w:val="28"/>
        </w:rPr>
        <w:t>（</w:t>
      </w:r>
      <w:r>
        <w:rPr>
          <w:rFonts w:hint="eastAsia" w:ascii="宋体" w:hAnsi="宋体" w:eastAsia="宋体" w:cs="宋体"/>
          <w:b/>
          <w:sz w:val="28"/>
          <w:szCs w:val="28"/>
          <w:lang w:eastAsia="zh-CN"/>
        </w:rPr>
        <w:t>一）服务时间</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202</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年和202</w:t>
      </w: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eastAsia="zh-CN"/>
        </w:rPr>
        <w:t>年各检测一次，</w:t>
      </w:r>
      <w:r>
        <w:rPr>
          <w:rFonts w:hint="eastAsia" w:ascii="宋体" w:hAnsi="宋体" w:eastAsia="宋体" w:cs="宋体"/>
          <w:kern w:val="0"/>
          <w:sz w:val="28"/>
          <w:szCs w:val="28"/>
        </w:rPr>
        <w:t>每年8月1日-11月31日内进行检测。</w:t>
      </w:r>
    </w:p>
    <w:p>
      <w:pPr>
        <w:widowControl/>
        <w:numPr>
          <w:ilvl w:val="0"/>
          <w:numId w:val="0"/>
        </w:num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rPr>
        <w:t>防雷装置经</w:t>
      </w:r>
      <w:r>
        <w:rPr>
          <w:rFonts w:hint="eastAsia" w:ascii="宋体" w:hAnsi="宋体" w:eastAsia="宋体" w:cs="宋体"/>
          <w:sz w:val="28"/>
          <w:szCs w:val="28"/>
          <w:lang w:eastAsia="zh-CN"/>
        </w:rPr>
        <w:t>成交人</w:t>
      </w:r>
      <w:r>
        <w:rPr>
          <w:rFonts w:hint="eastAsia" w:ascii="宋体" w:hAnsi="宋体" w:eastAsia="宋体" w:cs="宋体"/>
          <w:kern w:val="0"/>
          <w:sz w:val="28"/>
          <w:szCs w:val="28"/>
        </w:rPr>
        <w:t>检测符合规范要求，</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个工作日内出具检测报告和合格证；经</w:t>
      </w:r>
      <w:r>
        <w:rPr>
          <w:rFonts w:hint="eastAsia" w:ascii="宋体" w:hAnsi="宋体" w:eastAsia="宋体" w:cs="宋体"/>
          <w:sz w:val="28"/>
          <w:szCs w:val="28"/>
          <w:lang w:eastAsia="zh-CN"/>
        </w:rPr>
        <w:t>成交人</w:t>
      </w:r>
      <w:r>
        <w:rPr>
          <w:rFonts w:hint="eastAsia" w:ascii="宋体" w:hAnsi="宋体" w:eastAsia="宋体" w:cs="宋体"/>
          <w:kern w:val="0"/>
          <w:sz w:val="28"/>
          <w:szCs w:val="28"/>
        </w:rPr>
        <w:t>检测存在不符合规范要求的，</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个工作日内出具检测意见，</w:t>
      </w:r>
      <w:r>
        <w:rPr>
          <w:rFonts w:hint="eastAsia" w:ascii="宋体" w:hAnsi="宋体" w:eastAsia="宋体" w:cs="宋体"/>
          <w:kern w:val="0"/>
          <w:sz w:val="28"/>
          <w:szCs w:val="28"/>
          <w:lang w:eastAsia="zh-CN"/>
        </w:rPr>
        <w:t>采购</w:t>
      </w:r>
      <w:r>
        <w:rPr>
          <w:rFonts w:hint="eastAsia" w:ascii="宋体" w:hAnsi="宋体" w:eastAsia="宋体" w:cs="宋体"/>
          <w:kern w:val="0"/>
          <w:sz w:val="28"/>
          <w:szCs w:val="28"/>
        </w:rPr>
        <w:t>方应根据检测意见及时整改，整改完成后通知</w:t>
      </w:r>
      <w:r>
        <w:rPr>
          <w:rFonts w:hint="eastAsia" w:ascii="宋体" w:hAnsi="宋体" w:eastAsia="宋体" w:cs="宋体"/>
          <w:sz w:val="28"/>
          <w:szCs w:val="28"/>
          <w:lang w:eastAsia="zh-CN"/>
        </w:rPr>
        <w:t>成交人</w:t>
      </w:r>
      <w:r>
        <w:rPr>
          <w:rFonts w:hint="eastAsia" w:ascii="宋体" w:hAnsi="宋体" w:eastAsia="宋体" w:cs="宋体"/>
          <w:kern w:val="0"/>
          <w:sz w:val="28"/>
          <w:szCs w:val="28"/>
        </w:rPr>
        <w:t>复检，复检符合要求，</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个工作日内出具检测报告和合格证。</w:t>
      </w:r>
    </w:p>
    <w:p>
      <w:pPr>
        <w:ind w:firstLine="560" w:firstLineChars="200"/>
        <w:rPr>
          <w:rFonts w:hint="eastAsia" w:ascii="宋体" w:hAnsi="宋体" w:eastAsia="宋体" w:cs="宋体"/>
          <w:b/>
          <w:kern w:val="0"/>
          <w:sz w:val="28"/>
          <w:szCs w:val="28"/>
        </w:rPr>
      </w:pPr>
      <w:r>
        <w:rPr>
          <w:rFonts w:hint="eastAsia" w:ascii="宋体" w:hAnsi="宋体" w:eastAsia="宋体" w:cs="宋体"/>
          <w:kern w:val="0"/>
          <w:sz w:val="28"/>
          <w:szCs w:val="28"/>
          <w:lang w:eastAsia="zh-CN"/>
        </w:rPr>
        <w:t>（三）</w:t>
      </w:r>
      <w:r>
        <w:rPr>
          <w:rFonts w:hint="eastAsia" w:ascii="宋体" w:hAnsi="宋体" w:eastAsia="宋体" w:cs="宋体"/>
          <w:b/>
          <w:kern w:val="0"/>
          <w:sz w:val="28"/>
          <w:szCs w:val="28"/>
        </w:rPr>
        <w:t>提交成果资料</w:t>
      </w:r>
    </w:p>
    <w:p>
      <w:pPr>
        <w:ind w:firstLine="548" w:firstLineChars="196"/>
        <w:rPr>
          <w:rFonts w:hint="eastAsia" w:ascii="宋体" w:hAnsi="宋体" w:eastAsia="宋体" w:cs="宋体"/>
          <w:kern w:val="0"/>
          <w:sz w:val="28"/>
          <w:szCs w:val="28"/>
        </w:rPr>
      </w:pPr>
      <w:r>
        <w:rPr>
          <w:rFonts w:hint="eastAsia" w:ascii="宋体" w:hAnsi="宋体" w:eastAsia="宋体" w:cs="宋体"/>
          <w:sz w:val="28"/>
          <w:szCs w:val="28"/>
          <w:lang w:eastAsia="zh-CN"/>
        </w:rPr>
        <w:t>成交人</w:t>
      </w:r>
      <w:r>
        <w:rPr>
          <w:rFonts w:hint="eastAsia" w:ascii="宋体" w:hAnsi="宋体" w:eastAsia="宋体" w:cs="宋体"/>
          <w:kern w:val="0"/>
          <w:sz w:val="28"/>
          <w:szCs w:val="28"/>
        </w:rPr>
        <w:t>完成检测后，出具合法的《防雷装置定期检测报告书》具体要求如下：</w:t>
      </w:r>
    </w:p>
    <w:p>
      <w:pPr>
        <w:numPr>
          <w:ilvl w:val="0"/>
          <w:numId w:val="4"/>
        </w:numPr>
        <w:rPr>
          <w:rFonts w:hint="eastAsia" w:ascii="宋体" w:hAnsi="宋体" w:eastAsia="宋体" w:cs="宋体"/>
          <w:kern w:val="0"/>
          <w:sz w:val="28"/>
          <w:szCs w:val="28"/>
        </w:rPr>
      </w:pPr>
      <w:r>
        <w:rPr>
          <w:rFonts w:hint="eastAsia" w:ascii="宋体" w:hAnsi="宋体" w:eastAsia="宋体" w:cs="宋体"/>
          <w:kern w:val="0"/>
          <w:sz w:val="28"/>
          <w:szCs w:val="28"/>
        </w:rPr>
        <w:t>须独立出具《防雷装置定期检测报告书》一式三份。</w:t>
      </w:r>
    </w:p>
    <w:p>
      <w:pPr>
        <w:numPr>
          <w:ilvl w:val="0"/>
          <w:numId w:val="4"/>
        </w:numPr>
        <w:rPr>
          <w:rFonts w:hint="eastAsia" w:ascii="宋体" w:hAnsi="宋体" w:eastAsia="宋体" w:cs="宋体"/>
          <w:kern w:val="0"/>
          <w:sz w:val="28"/>
          <w:szCs w:val="28"/>
        </w:rPr>
      </w:pPr>
      <w:r>
        <w:rPr>
          <w:rFonts w:hint="eastAsia" w:ascii="宋体" w:hAnsi="宋体" w:eastAsia="宋体" w:cs="宋体"/>
          <w:kern w:val="0"/>
          <w:sz w:val="28"/>
          <w:szCs w:val="28"/>
        </w:rPr>
        <w:t>检测不合格的防雷装置须出具整改意见。</w:t>
      </w:r>
    </w:p>
    <w:p>
      <w:pPr>
        <w:numPr>
          <w:ilvl w:val="0"/>
          <w:numId w:val="4"/>
        </w:numPr>
        <w:rPr>
          <w:rFonts w:hint="eastAsia" w:ascii="宋体" w:hAnsi="宋体" w:eastAsia="宋体" w:cs="宋体"/>
          <w:kern w:val="0"/>
          <w:sz w:val="28"/>
          <w:szCs w:val="28"/>
          <w:lang w:eastAsia="zh-CN"/>
        </w:rPr>
      </w:pPr>
      <w:r>
        <w:rPr>
          <w:rFonts w:hint="eastAsia" w:ascii="宋体" w:hAnsi="宋体" w:eastAsia="宋体" w:cs="宋体"/>
          <w:kern w:val="0"/>
          <w:sz w:val="28"/>
          <w:szCs w:val="28"/>
        </w:rPr>
        <w:t>对须整改的防雷装置免费提供后续咨询服务。</w:t>
      </w:r>
    </w:p>
    <w:p>
      <w:pPr>
        <w:numPr>
          <w:ilvl w:val="0"/>
          <w:numId w:val="5"/>
        </w:numPr>
        <w:ind w:left="630" w:left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参考收费标准</w:t>
      </w:r>
    </w:p>
    <w:p>
      <w:pPr>
        <w:numPr>
          <w:ilvl w:val="0"/>
          <w:numId w:val="0"/>
        </w:numPr>
      </w:pPr>
      <w:r>
        <w:rPr>
          <w:rFonts w:hint="eastAsia" w:ascii="仿宋" w:hAnsi="仿宋" w:eastAsia="仿宋" w:cs="仿宋"/>
          <w:kern w:val="0"/>
          <w:sz w:val="32"/>
          <w:szCs w:val="32"/>
          <w:lang w:val="en-US" w:eastAsia="zh-CN"/>
        </w:rPr>
        <w:t xml:space="preserve">   </w:t>
      </w:r>
      <w:r>
        <w:drawing>
          <wp:inline distT="0" distB="0" distL="114300" distR="114300">
            <wp:extent cx="5266055" cy="61614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6055" cy="6161405"/>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5116830" cy="60001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116830" cy="6000115"/>
                    </a:xfrm>
                    <a:prstGeom prst="rect">
                      <a:avLst/>
                    </a:prstGeom>
                    <a:noFill/>
                    <a:ln>
                      <a:noFill/>
                    </a:ln>
                  </pic:spPr>
                </pic:pic>
              </a:graphicData>
            </a:graphic>
          </wp:inline>
        </w:drawing>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五</w:t>
      </w:r>
      <w:r>
        <w:rPr>
          <w:rFonts w:hint="eastAsia" w:ascii="宋体" w:hAnsi="宋体"/>
          <w:b/>
          <w:sz w:val="28"/>
          <w:szCs w:val="28"/>
        </w:rPr>
        <w:t>）结算与付款方式</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采购方</w:t>
      </w:r>
      <w:r>
        <w:rPr>
          <w:rFonts w:hint="eastAsia" w:ascii="宋体" w:hAnsi="宋体" w:eastAsia="宋体" w:cs="宋体"/>
          <w:sz w:val="28"/>
          <w:szCs w:val="28"/>
        </w:rPr>
        <w:t>在收到</w:t>
      </w:r>
      <w:r>
        <w:rPr>
          <w:rFonts w:hint="eastAsia" w:ascii="宋体" w:hAnsi="宋体" w:eastAsia="宋体" w:cs="宋体"/>
          <w:sz w:val="28"/>
          <w:szCs w:val="28"/>
          <w:lang w:eastAsia="zh-CN"/>
        </w:rPr>
        <w:t>成交人</w:t>
      </w:r>
      <w:r>
        <w:rPr>
          <w:rFonts w:hint="eastAsia" w:ascii="宋体" w:hAnsi="宋体" w:eastAsia="宋体" w:cs="宋体"/>
          <w:sz w:val="28"/>
          <w:szCs w:val="28"/>
        </w:rPr>
        <w:t>出具的当年《防雷装置定期检测报告》（或检测意见）后</w:t>
      </w:r>
      <w:r>
        <w:rPr>
          <w:rFonts w:hint="eastAsia" w:ascii="宋体" w:hAnsi="宋体" w:eastAsia="宋体" w:cs="宋体"/>
          <w:sz w:val="28"/>
          <w:szCs w:val="28"/>
          <w:u w:val="single"/>
        </w:rPr>
        <w:t>15</w:t>
      </w:r>
      <w:r>
        <w:rPr>
          <w:rFonts w:hint="eastAsia" w:ascii="宋体" w:hAnsi="宋体" w:eastAsia="宋体" w:cs="宋体"/>
          <w:sz w:val="28"/>
          <w:szCs w:val="28"/>
        </w:rPr>
        <w:t>个工作日内凭</w:t>
      </w:r>
      <w:r>
        <w:rPr>
          <w:rFonts w:hint="eastAsia" w:ascii="宋体" w:hAnsi="宋体" w:eastAsia="宋体" w:cs="宋体"/>
          <w:sz w:val="28"/>
          <w:szCs w:val="28"/>
          <w:lang w:eastAsia="zh-CN"/>
        </w:rPr>
        <w:t>成交人</w:t>
      </w:r>
      <w:r>
        <w:rPr>
          <w:rFonts w:hint="eastAsia" w:ascii="宋体" w:hAnsi="宋体" w:eastAsia="宋体" w:cs="宋体"/>
          <w:sz w:val="28"/>
          <w:szCs w:val="28"/>
        </w:rPr>
        <w:t>方出具的正式发票向</w:t>
      </w:r>
      <w:r>
        <w:rPr>
          <w:rFonts w:hint="eastAsia" w:ascii="宋体" w:hAnsi="宋体" w:eastAsia="宋体" w:cs="宋体"/>
          <w:sz w:val="28"/>
          <w:szCs w:val="28"/>
          <w:lang w:eastAsia="zh-CN"/>
        </w:rPr>
        <w:t>成交人</w:t>
      </w:r>
      <w:r>
        <w:rPr>
          <w:rFonts w:hint="eastAsia" w:ascii="宋体" w:hAnsi="宋体" w:eastAsia="宋体" w:cs="宋体"/>
          <w:sz w:val="28"/>
          <w:szCs w:val="28"/>
        </w:rPr>
        <w:t>支付当年的费用。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kern w:val="0"/>
          <w:sz w:val="28"/>
          <w:szCs w:val="28"/>
        </w:rPr>
        <w:t>以银行转账的方式每年支付一次。</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五</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eastAsia="zh-CN"/>
        </w:rPr>
        <w:t>七</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43" w:name="_Toc60236710"/>
      <w:bookmarkStart w:id="44" w:name="_Toc13543213"/>
      <w:r>
        <w:rPr>
          <w:rFonts w:hint="eastAsia"/>
        </w:rPr>
        <w:br w:type="page"/>
      </w:r>
      <w:bookmarkEnd w:id="43"/>
      <w:bookmarkEnd w:id="44"/>
    </w:p>
    <w:p>
      <w:pPr>
        <w:pStyle w:val="2"/>
      </w:pPr>
      <w:bookmarkStart w:id="45" w:name="_Toc14310"/>
      <w:r>
        <w:rPr>
          <w:rFonts w:hint="eastAsia"/>
        </w:rPr>
        <w:t>第三部分  报价文件格式</w:t>
      </w:r>
      <w:bookmarkEnd w:id="45"/>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1AC174-47DA-43F4-A8C0-DB56289608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BC74E78-EB9A-493B-8029-929B4A931A2C}"/>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31F350A9-6051-479A-B1BA-7D0E547AD0FB}"/>
  </w:font>
  <w:font w:name="方正小标宋_GBK">
    <w:panose1 w:val="02000000000000000000"/>
    <w:charset w:val="86"/>
    <w:family w:val="auto"/>
    <w:pitch w:val="default"/>
    <w:sig w:usb0="A00002BF" w:usb1="38CF7CFA" w:usb2="00082016" w:usb3="00000000" w:csb0="00040001" w:csb1="00000000"/>
    <w:embedRegular r:id="rId4" w:fontKey="{BEEF9886-5A77-4CD5-98CA-243B4651D59A}"/>
  </w:font>
  <w:font w:name="楷体_GB2312">
    <w:altName w:val="楷体"/>
    <w:panose1 w:val="00000000000000000000"/>
    <w:charset w:val="86"/>
    <w:family w:val="modern"/>
    <w:pitch w:val="default"/>
    <w:sig w:usb0="00000000" w:usb1="00000000" w:usb2="00000000" w:usb3="00000000" w:csb0="00040000" w:csb1="00000000"/>
    <w:embedRegular r:id="rId5" w:fontKey="{87BED020-8FFC-4FD5-9E2B-0D793F118224}"/>
  </w:font>
  <w:font w:name="楷体">
    <w:panose1 w:val="02010609060101010101"/>
    <w:charset w:val="86"/>
    <w:family w:val="auto"/>
    <w:pitch w:val="default"/>
    <w:sig w:usb0="800002BF" w:usb1="38CF7CFA" w:usb2="00000016" w:usb3="00000000" w:csb0="00040001" w:csb1="00000000"/>
    <w:embedRegular r:id="rId6" w:fontKey="{1F2ACF50-8D53-4A05-8D0C-6386C89723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A367752"/>
    <w:multiLevelType w:val="singleLevel"/>
    <w:tmpl w:val="BA367752"/>
    <w:lvl w:ilvl="0" w:tentative="0">
      <w:start w:val="4"/>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72E93312"/>
    <w:multiLevelType w:val="multilevel"/>
    <w:tmpl w:val="72E93312"/>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TAzOGQ4YmQ5N2UzNzU3NWY4YjdkYTVmMmEyMW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8C51B63"/>
    <w:rsid w:val="0A2F4D76"/>
    <w:rsid w:val="0BEE41F8"/>
    <w:rsid w:val="0D0015C5"/>
    <w:rsid w:val="0DBF054C"/>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31244A3"/>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014730A"/>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43D17C4"/>
    <w:rsid w:val="750157C1"/>
    <w:rsid w:val="77F228DE"/>
    <w:rsid w:val="78851ED1"/>
    <w:rsid w:val="79C61CFF"/>
    <w:rsid w:val="7A9D559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9050</Words>
  <Characters>9439</Characters>
  <Lines>72</Lines>
  <Paragraphs>20</Paragraphs>
  <TotalTime>8</TotalTime>
  <ScaleCrop>false</ScaleCrop>
  <LinksUpToDate>false</LinksUpToDate>
  <CharactersWithSpaces>10018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HGH</cp:lastModifiedBy>
  <cp:lastPrinted>2022-01-21T10:35:00Z</cp:lastPrinted>
  <dcterms:modified xsi:type="dcterms:W3CDTF">2023-03-01T07:57:39Z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4DE801C30DD345CBA011E4810AA661F6</vt:lpwstr>
  </property>
</Properties>
</file>