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31" w:name="_GoBack"/>
      <w:bookmarkEnd w:id="31"/>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ind w:left="1802" w:hanging="1807" w:hangingChars="500"/>
        <w:rPr>
          <w:rFonts w:ascii="宋体" w:hAnsi="宋体"/>
          <w:b/>
          <w:sz w:val="36"/>
          <w:u w:val="single"/>
        </w:rPr>
      </w:pPr>
      <w:r>
        <w:rPr>
          <w:rFonts w:hint="eastAsia"/>
          <w:b/>
          <w:sz w:val="36"/>
        </w:rPr>
        <w:t>项目</w:t>
      </w:r>
      <w:r>
        <w:rPr>
          <w:rFonts w:hint="eastAsia"/>
          <w:b/>
          <w:sz w:val="36"/>
          <w:szCs w:val="36"/>
        </w:rPr>
        <w:t>名称</w:t>
      </w:r>
      <w:r>
        <w:rPr>
          <w:rFonts w:hint="eastAsia"/>
          <w:b/>
          <w:sz w:val="36"/>
        </w:rPr>
        <w:t>：</w:t>
      </w:r>
      <w:r>
        <w:rPr>
          <w:rFonts w:hint="eastAsia" w:ascii="宋体" w:hAnsi="宋体"/>
          <w:b/>
          <w:sz w:val="36"/>
          <w:u w:val="single"/>
        </w:rPr>
        <w:t>广东财经大学2024</w:t>
      </w:r>
      <w:r>
        <w:rPr>
          <w:rFonts w:hint="eastAsia" w:ascii="宋体" w:hAnsi="宋体"/>
          <w:b/>
          <w:sz w:val="36"/>
          <w:u w:val="single"/>
          <w:lang w:val="en-US" w:eastAsia="zh-CN"/>
        </w:rPr>
        <w:t>年学位授予仪式舞台设计搭建</w:t>
      </w:r>
      <w:r>
        <w:rPr>
          <w:rFonts w:ascii="宋体" w:hAnsi="宋体"/>
          <w:b/>
          <w:sz w:val="36"/>
          <w:u w:val="single"/>
        </w:rPr>
        <w:t xml:space="preserve"> </w:t>
      </w:r>
    </w:p>
    <w:p>
      <w:pPr>
        <w:spacing w:line="760" w:lineRule="exact"/>
        <w:ind w:left="1988" w:hanging="1988" w:hangingChars="550"/>
        <w:rPr>
          <w:rFonts w:hint="default" w:ascii="宋体" w:hAnsi="宋体" w:eastAsia="宋体"/>
          <w:b/>
          <w:sz w:val="36"/>
          <w:szCs w:val="36"/>
          <w:u w:val="single"/>
          <w:lang w:val="en-US" w:eastAsia="zh-CN"/>
        </w:rPr>
      </w:pPr>
      <w:r>
        <w:rPr>
          <w:rFonts w:hint="eastAsia"/>
          <w:b/>
          <w:sz w:val="36"/>
          <w:szCs w:val="36"/>
        </w:rPr>
        <w:t>采购单位：</w:t>
      </w:r>
      <w:r>
        <w:rPr>
          <w:rFonts w:hint="eastAsia" w:ascii="宋体" w:hAnsi="宋体"/>
          <w:b/>
          <w:sz w:val="36"/>
          <w:u w:val="single"/>
          <w:lang w:val="en-US" w:eastAsia="zh-CN"/>
        </w:rPr>
        <w:t>党委研究生工作部、研究生院（处）（合署）</w:t>
      </w:r>
    </w:p>
    <w:p>
      <w:pPr>
        <w:spacing w:line="760" w:lineRule="exact"/>
        <w:rPr>
          <w:b/>
          <w:sz w:val="36"/>
          <w:szCs w:val="36"/>
        </w:rPr>
      </w:pPr>
      <w:r>
        <w:rPr>
          <w:rFonts w:hint="eastAsia"/>
          <w:b/>
          <w:sz w:val="36"/>
          <w:szCs w:val="36"/>
        </w:rPr>
        <w:t>发布时间：</w:t>
      </w:r>
      <w:r>
        <w:rPr>
          <w:rFonts w:hint="eastAsia" w:ascii="宋体" w:hAnsi="宋体"/>
          <w:b/>
          <w:sz w:val="36"/>
          <w:u w:val="single"/>
        </w:rPr>
        <w:t xml:space="preserve"> </w:t>
      </w:r>
      <w:r>
        <w:rPr>
          <w:rFonts w:ascii="宋体" w:hAnsi="宋体"/>
          <w:b/>
          <w:sz w:val="36"/>
          <w:u w:val="single"/>
        </w:rPr>
        <w:t xml:space="preserve">          202</w:t>
      </w:r>
      <w:r>
        <w:rPr>
          <w:rFonts w:hint="eastAsia" w:ascii="宋体" w:hAnsi="宋体"/>
          <w:b/>
          <w:sz w:val="36"/>
          <w:u w:val="single"/>
          <w:lang w:val="en-US" w:eastAsia="zh-CN"/>
        </w:rPr>
        <w:t>4</w:t>
      </w:r>
      <w:r>
        <w:rPr>
          <w:rFonts w:hint="eastAsia" w:ascii="宋体" w:hAnsi="宋体"/>
          <w:b/>
          <w:sz w:val="36"/>
          <w:u w:val="single"/>
        </w:rPr>
        <w:t>年</w:t>
      </w:r>
      <w:r>
        <w:rPr>
          <w:rFonts w:hint="eastAsia" w:ascii="宋体" w:hAnsi="宋体"/>
          <w:b/>
          <w:sz w:val="36"/>
          <w:u w:val="single"/>
          <w:lang w:val="en-US" w:eastAsia="zh-CN"/>
        </w:rPr>
        <w:t>6</w:t>
      </w:r>
      <w:r>
        <w:rPr>
          <w:rFonts w:hint="eastAsia" w:ascii="宋体" w:hAnsi="宋体"/>
          <w:b/>
          <w:sz w:val="36"/>
          <w:u w:val="single"/>
        </w:rPr>
        <w:t>月</w:t>
      </w:r>
      <w:r>
        <w:rPr>
          <w:rFonts w:hint="eastAsia" w:ascii="宋体" w:hAnsi="宋体"/>
          <w:b/>
          <w:sz w:val="36"/>
          <w:u w:val="single"/>
          <w:lang w:val="en-US" w:eastAsia="zh-CN"/>
        </w:rPr>
        <w:t>14</w:t>
      </w:r>
      <w:r>
        <w:rPr>
          <w:rFonts w:hint="eastAsia" w:ascii="宋体" w:hAnsi="宋体"/>
          <w:b/>
          <w:sz w:val="36"/>
          <w:u w:val="single"/>
        </w:rPr>
        <w:t xml:space="preserve">日 </w:t>
      </w:r>
      <w:r>
        <w:rPr>
          <w:rFonts w:ascii="宋体" w:hAnsi="宋体"/>
          <w:b/>
          <w:sz w:val="36"/>
          <w:u w:val="single"/>
        </w:rPr>
        <w:t xml:space="preserve">           </w:t>
      </w:r>
    </w:p>
    <w:p>
      <w:pPr>
        <w:spacing w:line="1000" w:lineRule="exact"/>
        <w:rPr>
          <w:rFonts w:ascii="黑体" w:eastAsia="黑体"/>
          <w:b/>
          <w:sz w:val="72"/>
          <w:szCs w:val="72"/>
        </w:rPr>
      </w:pPr>
    </w:p>
    <w:p>
      <w:pPr>
        <w:jc w:val="center"/>
        <w:rPr>
          <w:b/>
          <w:sz w:val="52"/>
          <w:szCs w:val="52"/>
        </w:rPr>
      </w:pPr>
      <w:r>
        <w:rPr>
          <w:rFonts w:ascii="宋体" w:hAnsi="宋体"/>
          <w:sz w:val="32"/>
          <w:szCs w:val="32"/>
        </w:rPr>
        <w:br w:type="column"/>
      </w:r>
      <w:r>
        <w:rPr>
          <w:rFonts w:hint="eastAsia"/>
          <w:sz w:val="52"/>
          <w:szCs w:val="52"/>
        </w:rPr>
        <w:t>目录</w:t>
      </w:r>
    </w:p>
    <w:p>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0" w:name="_Toc508103350"/>
      <w:bookmarkStart w:id="1" w:name="_Toc60236697"/>
      <w:bookmarkStart w:id="2" w:name="_Toc508103135"/>
      <w:r>
        <w:br w:type="page"/>
      </w:r>
    </w:p>
    <w:p>
      <w:pPr>
        <w:pStyle w:val="2"/>
      </w:pPr>
      <w:bookmarkStart w:id="3" w:name="_Toc1048"/>
      <w:r>
        <w:t xml:space="preserve">第一部分   </w:t>
      </w:r>
      <w:r>
        <w:rPr>
          <w:rFonts w:hint="eastAsia"/>
        </w:rPr>
        <w:t>报价</w:t>
      </w:r>
      <w:r>
        <w:t>须知</w:t>
      </w:r>
      <w:bookmarkEnd w:id="0"/>
      <w:bookmarkEnd w:id="1"/>
      <w:bookmarkEnd w:id="2"/>
      <w:bookmarkEnd w:id="3"/>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spacing w:line="560" w:lineRule="exact"/>
      </w:pPr>
      <w:bookmarkStart w:id="4" w:name="_Toc508103351"/>
      <w:bookmarkStart w:id="5" w:name="_Toc60236698"/>
      <w:bookmarkStart w:id="6" w:name="_Toc16574"/>
      <w:r>
        <w:rPr>
          <w:rFonts w:hint="eastAsia"/>
        </w:rPr>
        <w:t>一、采购项目</w:t>
      </w:r>
      <w:bookmarkEnd w:id="4"/>
      <w:bookmarkEnd w:id="5"/>
      <w:r>
        <w:rPr>
          <w:rFonts w:hint="eastAsia"/>
        </w:rPr>
        <w:t>概况</w:t>
      </w:r>
      <w:bookmarkEnd w:id="6"/>
    </w:p>
    <w:p>
      <w:pPr>
        <w:spacing w:line="560" w:lineRule="exact"/>
        <w:ind w:firstLine="560" w:firstLineChars="200"/>
        <w:rPr>
          <w:rFonts w:hint="eastAsia" w:ascii="宋体" w:hAnsi="宋体"/>
          <w:sz w:val="28"/>
          <w:szCs w:val="28"/>
        </w:rPr>
      </w:pPr>
      <w:r>
        <w:rPr>
          <w:rFonts w:hint="eastAsia" w:ascii="宋体" w:hAnsi="宋体"/>
          <w:sz w:val="28"/>
          <w:szCs w:val="28"/>
        </w:rPr>
        <w:t>为做好</w:t>
      </w:r>
      <w:r>
        <w:rPr>
          <w:rFonts w:hint="eastAsia" w:ascii="宋体" w:hAnsi="宋体"/>
          <w:sz w:val="28"/>
          <w:szCs w:val="28"/>
          <w:lang w:val="en-US" w:eastAsia="zh-CN"/>
        </w:rPr>
        <w:t>2024年</w:t>
      </w:r>
      <w:r>
        <w:rPr>
          <w:rFonts w:hint="eastAsia" w:ascii="宋体" w:hAnsi="宋体"/>
          <w:sz w:val="28"/>
          <w:szCs w:val="28"/>
        </w:rPr>
        <w:t>我校学位授予仪式相关工作，</w:t>
      </w:r>
      <w:r>
        <w:rPr>
          <w:rFonts w:hint="eastAsia" w:ascii="宋体" w:hAnsi="宋体"/>
          <w:sz w:val="28"/>
          <w:szCs w:val="28"/>
          <w:lang w:val="en-US" w:eastAsia="zh-CN"/>
        </w:rPr>
        <w:t>营造浓厚的毕业氛围及优质的学位授予仪式场内效果</w:t>
      </w:r>
      <w:r>
        <w:rPr>
          <w:rFonts w:hint="eastAsia" w:ascii="宋体" w:hAnsi="宋体"/>
          <w:sz w:val="28"/>
          <w:szCs w:val="28"/>
        </w:rPr>
        <w:t>，现需</w:t>
      </w:r>
      <w:r>
        <w:rPr>
          <w:rFonts w:hint="eastAsia" w:ascii="宋体" w:hAnsi="宋体"/>
          <w:sz w:val="28"/>
          <w:szCs w:val="28"/>
          <w:lang w:val="en-US" w:eastAsia="zh-CN"/>
        </w:rPr>
        <w:t>对广东财经大学广州校区北田径场主会场舞台进行设计及搭建</w:t>
      </w:r>
      <w:r>
        <w:rPr>
          <w:rFonts w:hint="eastAsia" w:ascii="宋体" w:hAnsi="宋体"/>
          <w:sz w:val="28"/>
          <w:szCs w:val="28"/>
        </w:rPr>
        <w:t>。</w:t>
      </w:r>
    </w:p>
    <w:p>
      <w:pPr>
        <w:spacing w:line="560" w:lineRule="exact"/>
        <w:ind w:firstLine="560" w:firstLineChars="200"/>
        <w:rPr>
          <w:rFonts w:hint="eastAsia" w:ascii="宋体" w:hAnsi="宋体"/>
          <w:sz w:val="28"/>
          <w:szCs w:val="28"/>
        </w:rPr>
      </w:pPr>
      <w:r>
        <w:rPr>
          <w:rFonts w:hint="eastAsia" w:ascii="宋体" w:hAnsi="宋体"/>
          <w:sz w:val="28"/>
          <w:szCs w:val="28"/>
        </w:rPr>
        <w:t>本项目为交钥匙承包项目，供应商数量为一个，中标人承包及负责招标文件对中标人要求的一切事宜及责任，包括项目设计、货物供货、运输、保管、安装、调试、验收、培训及相关服务等。</w:t>
      </w:r>
    </w:p>
    <w:p>
      <w:pPr>
        <w:spacing w:line="560" w:lineRule="exact"/>
        <w:ind w:firstLine="560" w:firstLineChars="200"/>
        <w:rPr>
          <w:rFonts w:ascii="宋体" w:hAnsi="宋体"/>
          <w:sz w:val="28"/>
          <w:szCs w:val="28"/>
        </w:rPr>
      </w:pPr>
      <w:r>
        <w:rPr>
          <w:rFonts w:hint="eastAsia" w:ascii="宋体" w:hAnsi="宋体" w:cs="宋体"/>
          <w:bCs/>
          <w:sz w:val="28"/>
          <w:szCs w:val="28"/>
        </w:rPr>
        <w:t>本项目</w:t>
      </w:r>
      <w:r>
        <w:rPr>
          <w:rFonts w:hint="eastAsia" w:ascii="宋体" w:hAnsi="宋体"/>
          <w:sz w:val="28"/>
          <w:szCs w:val="28"/>
        </w:rPr>
        <w:t>采购预算控制价</w:t>
      </w:r>
      <w:r>
        <w:rPr>
          <w:rFonts w:hint="eastAsia" w:ascii="宋体" w:hAnsi="宋体"/>
          <w:sz w:val="28"/>
          <w:szCs w:val="28"/>
          <w:lang w:val="en-US" w:eastAsia="zh-CN"/>
        </w:rPr>
        <w:t>99000</w:t>
      </w:r>
      <w:r>
        <w:rPr>
          <w:rFonts w:hint="eastAsia" w:ascii="宋体" w:hAnsi="宋体"/>
          <w:sz w:val="28"/>
          <w:szCs w:val="28"/>
        </w:rPr>
        <w:t>元，资金已到位</w:t>
      </w:r>
      <w:r>
        <w:rPr>
          <w:rFonts w:ascii="宋体" w:hAnsi="宋体"/>
          <w:sz w:val="28"/>
          <w:szCs w:val="28"/>
        </w:rPr>
        <w:t>。</w:t>
      </w:r>
    </w:p>
    <w:p>
      <w:pPr>
        <w:pStyle w:val="3"/>
        <w:spacing w:line="560" w:lineRule="exact"/>
      </w:pPr>
      <w:bookmarkStart w:id="7" w:name="_Toc28829"/>
      <w:bookmarkStart w:id="8" w:name="_Toc508103352"/>
      <w:bookmarkStart w:id="9" w:name="_Toc60236699"/>
      <w:r>
        <w:rPr>
          <w:rFonts w:hint="eastAsia"/>
        </w:rPr>
        <w:t>二、相关说明</w:t>
      </w:r>
      <w:bookmarkEnd w:id="7"/>
      <w:bookmarkEnd w:id="8"/>
      <w:bookmarkEnd w:id="9"/>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0" w:name="_Toc60236700"/>
      <w:bookmarkStart w:id="11" w:name="_Toc508103353"/>
      <w:bookmarkStart w:id="12" w:name="_Toc11839"/>
      <w:r>
        <w:rPr>
          <w:rFonts w:hint="eastAsia"/>
        </w:rPr>
        <w:t>三、报价人</w:t>
      </w:r>
      <w:r>
        <w:t>资格</w:t>
      </w:r>
      <w:bookmarkEnd w:id="10"/>
      <w:bookmarkEnd w:id="11"/>
      <w:bookmarkEnd w:id="12"/>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hint="eastAsia"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spacing w:line="560" w:lineRule="exact"/>
        <w:ind w:firstLine="560" w:firstLineChars="200"/>
        <w:rPr>
          <w:rFonts w:hint="default" w:ascii="宋体" w:hAnsi="宋体" w:eastAsia="宋体"/>
          <w:sz w:val="28"/>
          <w:szCs w:val="28"/>
          <w:lang w:val="en-US" w:eastAsia="zh-CN"/>
        </w:rPr>
      </w:pPr>
      <w:r>
        <w:rPr>
          <w:rFonts w:hint="eastAsia" w:ascii="宋体" w:hAnsi="宋体"/>
          <w:sz w:val="28"/>
          <w:szCs w:val="28"/>
          <w:lang w:eastAsia="zh-CN"/>
        </w:rPr>
        <w:t>（</w:t>
      </w:r>
      <w:r>
        <w:rPr>
          <w:rFonts w:hint="eastAsia" w:ascii="宋体" w:hAnsi="宋体"/>
          <w:sz w:val="28"/>
          <w:szCs w:val="28"/>
          <w:lang w:val="en-US" w:eastAsia="zh-CN"/>
        </w:rPr>
        <w:t>三</w:t>
      </w:r>
      <w:r>
        <w:rPr>
          <w:rFonts w:hint="eastAsia" w:ascii="宋体" w:hAnsi="宋体"/>
          <w:sz w:val="28"/>
          <w:szCs w:val="28"/>
          <w:lang w:eastAsia="zh-CN"/>
        </w:rPr>
        <w:t>）</w:t>
      </w:r>
      <w:r>
        <w:rPr>
          <w:rFonts w:hint="eastAsia" w:ascii="宋体" w:hAnsi="宋体"/>
          <w:sz w:val="28"/>
          <w:szCs w:val="28"/>
          <w:lang w:val="en-US" w:eastAsia="zh-CN"/>
        </w:rPr>
        <w:t>报价人需在6月18日9:00前提供舞台设计搭建方案至邮箱：34471862@qq.com，</w:t>
      </w:r>
      <w:r>
        <w:rPr>
          <w:rFonts w:hint="eastAsia" w:ascii="宋体" w:hAnsi="宋体"/>
          <w:sz w:val="28"/>
          <w:szCs w:val="28"/>
        </w:rPr>
        <w:t>逾期将视为自动放弃报价资格</w:t>
      </w:r>
      <w:r>
        <w:rPr>
          <w:rFonts w:hint="eastAsia" w:ascii="宋体" w:hAnsi="宋体"/>
          <w:sz w:val="28"/>
          <w:szCs w:val="28"/>
          <w:lang w:val="en-US" w:eastAsia="zh-CN"/>
        </w:rPr>
        <w:t>。</w:t>
      </w:r>
      <w:r>
        <w:rPr>
          <w:rFonts w:hint="eastAsia" w:ascii="宋体" w:hAnsi="宋体"/>
          <w:sz w:val="28"/>
          <w:szCs w:val="28"/>
        </w:rPr>
        <w:t>经审核符合用户需求的投标人会在202</w:t>
      </w:r>
      <w:r>
        <w:rPr>
          <w:rFonts w:hint="eastAsia" w:ascii="宋体" w:hAnsi="宋体"/>
          <w:sz w:val="28"/>
          <w:szCs w:val="28"/>
          <w:lang w:val="en-US" w:eastAsia="zh-CN"/>
        </w:rPr>
        <w:t>4</w:t>
      </w:r>
      <w:r>
        <w:rPr>
          <w:rFonts w:hint="eastAsia" w:ascii="宋体" w:hAnsi="宋体"/>
          <w:sz w:val="28"/>
          <w:szCs w:val="28"/>
        </w:rPr>
        <w:t>年6月</w:t>
      </w:r>
      <w:r>
        <w:rPr>
          <w:rFonts w:hint="eastAsia" w:ascii="宋体" w:hAnsi="宋体"/>
          <w:sz w:val="28"/>
          <w:szCs w:val="28"/>
          <w:lang w:val="en-US" w:eastAsia="zh-CN"/>
        </w:rPr>
        <w:t>18</w:t>
      </w:r>
      <w:r>
        <w:rPr>
          <w:rFonts w:hint="eastAsia" w:ascii="宋体" w:hAnsi="宋体"/>
          <w:sz w:val="28"/>
          <w:szCs w:val="28"/>
        </w:rPr>
        <w:t>日</w:t>
      </w:r>
      <w:r>
        <w:rPr>
          <w:rFonts w:ascii="宋体" w:hAnsi="宋体"/>
          <w:sz w:val="28"/>
          <w:szCs w:val="28"/>
        </w:rPr>
        <w:t>1</w:t>
      </w:r>
      <w:r>
        <w:rPr>
          <w:rFonts w:hint="eastAsia" w:ascii="宋体" w:hAnsi="宋体"/>
          <w:sz w:val="28"/>
          <w:szCs w:val="28"/>
          <w:lang w:val="en-US" w:eastAsia="zh-CN"/>
        </w:rPr>
        <w:t>2:</w:t>
      </w:r>
      <w:r>
        <w:rPr>
          <w:rFonts w:hint="eastAsia" w:ascii="宋体" w:hAnsi="宋体"/>
          <w:sz w:val="28"/>
          <w:szCs w:val="28"/>
        </w:rPr>
        <w:t>00前收到报价邀请函（盖有广东财经大学</w:t>
      </w:r>
      <w:r>
        <w:rPr>
          <w:rFonts w:hint="eastAsia" w:ascii="宋体" w:hAnsi="宋体"/>
          <w:sz w:val="28"/>
          <w:szCs w:val="28"/>
          <w:lang w:val="en-US" w:eastAsia="zh-CN"/>
        </w:rPr>
        <w:t>研工部</w:t>
      </w:r>
      <w:r>
        <w:rPr>
          <w:rFonts w:hint="eastAsia" w:ascii="宋体" w:hAnsi="宋体"/>
          <w:sz w:val="28"/>
          <w:szCs w:val="28"/>
        </w:rPr>
        <w:t>章的扫描件），获得报价邀请函的供应商才具有报价资格。</w:t>
      </w:r>
    </w:p>
    <w:p>
      <w:pPr>
        <w:pStyle w:val="3"/>
        <w:spacing w:line="560" w:lineRule="exact"/>
      </w:pPr>
      <w:bookmarkStart w:id="13" w:name="_Toc60236701"/>
      <w:bookmarkStart w:id="14" w:name="_Toc508103354"/>
      <w:bookmarkStart w:id="15" w:name="_Toc20873"/>
      <w:r>
        <w:rPr>
          <w:rFonts w:hint="eastAsia"/>
        </w:rPr>
        <w:t>四、</w:t>
      </w:r>
      <w:r>
        <w:t>报价要求</w:t>
      </w:r>
      <w:bookmarkEnd w:id="13"/>
      <w:bookmarkEnd w:id="14"/>
      <w:bookmarkEnd w:id="15"/>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3"/>
        <w:spacing w:line="560" w:lineRule="exact"/>
      </w:pPr>
      <w:bookmarkStart w:id="16" w:name="_Toc508103355"/>
      <w:bookmarkStart w:id="17" w:name="_Toc60236702"/>
      <w:bookmarkStart w:id="18" w:name="_Toc18253"/>
      <w:r>
        <w:rPr>
          <w:rFonts w:hint="eastAsia"/>
        </w:rPr>
        <w:t>五、报价</w:t>
      </w:r>
      <w:r>
        <w:t>文件</w:t>
      </w:r>
      <w:r>
        <w:rPr>
          <w:rFonts w:hint="eastAsia"/>
        </w:rPr>
        <w:t>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4.未在报价前提供实物样品。</w:t>
      </w:r>
    </w:p>
    <w:p>
      <w:pPr>
        <w:spacing w:line="560" w:lineRule="exact"/>
        <w:ind w:firstLine="560" w:firstLineChars="200"/>
        <w:rPr>
          <w:rFonts w:hint="default" w:ascii="宋体" w:hAnsi="宋体" w:cs="宋体"/>
          <w:kern w:val="0"/>
          <w:sz w:val="28"/>
          <w:szCs w:val="28"/>
          <w:lang w:val="en-US" w:eastAsia="zh-CN"/>
        </w:rPr>
      </w:pPr>
      <w:r>
        <w:rPr>
          <w:rFonts w:hint="eastAsia" w:ascii="宋体" w:hAnsi="宋体"/>
          <w:sz w:val="28"/>
          <w:szCs w:val="28"/>
          <w:lang w:val="en-US" w:eastAsia="zh-CN"/>
        </w:rPr>
        <w:t>5</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spacing w:line="560" w:lineRule="exact"/>
      </w:pPr>
      <w:bookmarkStart w:id="19" w:name="_Toc508103356"/>
      <w:bookmarkStart w:id="20" w:name="_Toc60236703"/>
      <w:bookmarkStart w:id="21" w:name="_Toc10890"/>
      <w:r>
        <w:rPr>
          <w:rFonts w:hint="eastAsia"/>
        </w:rPr>
        <w:t>六、评审</w:t>
      </w:r>
      <w:r>
        <w:t>方法</w:t>
      </w:r>
      <w:r>
        <w:rPr>
          <w:rFonts w:hint="eastAsia"/>
        </w:rPr>
        <w:t>及原则</w:t>
      </w:r>
      <w:bookmarkEnd w:id="19"/>
      <w:bookmarkEnd w:id="20"/>
      <w:bookmarkEnd w:id="21"/>
    </w:p>
    <w:p>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一  。</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sz w:val="28"/>
          <w:szCs w:val="28"/>
        </w:rPr>
      </w:pPr>
      <w:r>
        <w:rPr>
          <w:rFonts w:hint="eastAsia" w:ascii="宋体" w:hAnsi="宋体"/>
          <w:sz w:val="28"/>
          <w:szCs w:val="28"/>
        </w:rPr>
        <w:t>2.谈判</w:t>
      </w:r>
    </w:p>
    <w:p>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pPr>
        <w:spacing w:line="560" w:lineRule="exact"/>
        <w:ind w:firstLine="420" w:firstLineChars="150"/>
        <w:rPr>
          <w:rFonts w:ascii="宋体" w:hAnsi="宋体"/>
          <w:sz w:val="28"/>
          <w:szCs w:val="28"/>
        </w:rPr>
      </w:pPr>
      <w:r>
        <w:rPr>
          <w:rFonts w:hint="eastAsia" w:ascii="宋体" w:hAnsi="宋体"/>
          <w:sz w:val="28"/>
          <w:szCs w:val="28"/>
        </w:rPr>
        <w:t>本项目采用方式 定标。</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3"/>
        <w:numPr>
          <w:ilvl w:val="0"/>
          <w:numId w:val="3"/>
        </w:numPr>
        <w:spacing w:line="560" w:lineRule="exact"/>
      </w:pPr>
      <w:bookmarkStart w:id="22" w:name="_Toc18663"/>
      <w:r>
        <w:rPr>
          <w:rFonts w:hint="eastAsia"/>
        </w:rPr>
        <w:t>成交供应商确定</w:t>
      </w:r>
      <w:bookmarkEnd w:id="22"/>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78" w:beforeLines="25" w:after="78"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jc w:val="center"/>
        <w:rPr>
          <w:rFonts w:hint="eastAsia"/>
          <w:b/>
          <w:bCs/>
          <w:kern w:val="44"/>
          <w:sz w:val="44"/>
          <w:szCs w:val="44"/>
        </w:rPr>
      </w:pPr>
      <w:bookmarkStart w:id="23" w:name="_Toc60236707"/>
      <w:r>
        <w:rPr>
          <w:rFonts w:hint="eastAsia"/>
        </w:rPr>
        <w:br w:type="page"/>
      </w:r>
      <w:bookmarkStart w:id="24" w:name="_Toc5254"/>
      <w:r>
        <w:rPr>
          <w:rFonts w:hint="eastAsia"/>
          <w:b/>
          <w:bCs/>
          <w:kern w:val="44"/>
          <w:sz w:val="44"/>
          <w:szCs w:val="44"/>
        </w:rPr>
        <w:t>第二部分</w:t>
      </w:r>
      <w:bookmarkEnd w:id="23"/>
      <w:r>
        <w:rPr>
          <w:rFonts w:hint="eastAsia"/>
          <w:b/>
          <w:bCs/>
          <w:kern w:val="44"/>
          <w:sz w:val="44"/>
          <w:szCs w:val="44"/>
        </w:rPr>
        <w:t xml:space="preserve">  采购需求书</w:t>
      </w:r>
      <w:bookmarkEnd w:id="24"/>
    </w:p>
    <w:p>
      <w:pPr>
        <w:pStyle w:val="3"/>
        <w:spacing w:line="560" w:lineRule="exact"/>
      </w:pPr>
      <w:bookmarkStart w:id="25" w:name="_Toc179"/>
      <w:r>
        <w:rPr>
          <w:rFonts w:hint="eastAsia"/>
        </w:rPr>
        <w:t>一、技术（服务）要求</w:t>
      </w:r>
      <w:bookmarkEnd w:id="25"/>
    </w:p>
    <w:p>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7"/>
        <w:tblW w:w="509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51"/>
        <w:gridCol w:w="4227"/>
        <w:gridCol w:w="2410"/>
        <w:gridCol w:w="176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10"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序号</w:t>
            </w:r>
          </w:p>
        </w:tc>
        <w:tc>
          <w:tcPr>
            <w:tcW w:w="230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物资名称</w:t>
            </w:r>
          </w:p>
        </w:tc>
        <w:tc>
          <w:tcPr>
            <w:tcW w:w="1316"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单位</w:t>
            </w:r>
          </w:p>
        </w:tc>
        <w:tc>
          <w:tcPr>
            <w:tcW w:w="967"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10"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4"/>
              </w:rPr>
            </w:pPr>
            <w:r>
              <w:rPr>
                <w:rFonts w:hint="eastAsia" w:ascii="宋体" w:hAnsi="宋体" w:cs="宋体"/>
                <w:color w:val="333333"/>
                <w:kern w:val="0"/>
                <w:sz w:val="24"/>
              </w:rPr>
              <w:t>1</w:t>
            </w:r>
          </w:p>
        </w:tc>
        <w:tc>
          <w:tcPr>
            <w:tcW w:w="230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left"/>
              <w:rPr>
                <w:rFonts w:ascii="宋体" w:hAnsi="宋体" w:cs="宋体"/>
                <w:sz w:val="24"/>
              </w:rPr>
            </w:pPr>
            <w:r>
              <w:rPr>
                <w:rFonts w:hint="default" w:ascii="宋体" w:hAnsi="宋体" w:cs="宋体"/>
                <w:sz w:val="24"/>
                <w:lang w:val="en-US" w:eastAsia="zh-CN"/>
              </w:rPr>
              <w:t>广东财经大学2024年</w:t>
            </w:r>
            <w:r>
              <w:rPr>
                <w:rFonts w:hint="eastAsia" w:ascii="宋体" w:hAnsi="宋体" w:cs="宋体"/>
                <w:sz w:val="24"/>
                <w:lang w:val="en-US" w:eastAsia="zh-CN"/>
              </w:rPr>
              <w:t>学位授予仪式</w:t>
            </w:r>
            <w:r>
              <w:rPr>
                <w:rFonts w:hint="default" w:ascii="宋体" w:hAnsi="宋体" w:cs="宋体"/>
                <w:sz w:val="24"/>
                <w:lang w:val="en-US" w:eastAsia="zh-CN"/>
              </w:rPr>
              <w:t>舞台设计搭建</w:t>
            </w:r>
          </w:p>
        </w:tc>
        <w:tc>
          <w:tcPr>
            <w:tcW w:w="1316"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Fonts w:hint="eastAsia" w:ascii="宋体" w:hAnsi="宋体" w:cs="宋体"/>
                <w:sz w:val="24"/>
                <w:lang w:val="en-US" w:eastAsia="zh-CN"/>
              </w:rPr>
              <w:t>批</w:t>
            </w:r>
          </w:p>
        </w:tc>
        <w:tc>
          <w:tcPr>
            <w:tcW w:w="967"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default" w:ascii="宋体" w:hAnsi="宋体" w:cs="宋体"/>
                <w:sz w:val="24"/>
                <w:lang w:val="en-US"/>
              </w:rPr>
            </w:pPr>
            <w:r>
              <w:rPr>
                <w:rFonts w:hint="eastAsia" w:ascii="宋体" w:hAnsi="宋体" w:cs="宋体"/>
                <w:sz w:val="24"/>
                <w:lang w:val="en-US" w:eastAsia="zh-CN"/>
              </w:rPr>
              <w:t>1</w:t>
            </w:r>
          </w:p>
        </w:tc>
      </w:tr>
    </w:tbl>
    <w:p>
      <w:pPr>
        <w:spacing w:line="560" w:lineRule="exact"/>
        <w:ind w:firstLine="562" w:firstLineChars="200"/>
        <w:rPr>
          <w:rFonts w:ascii="宋体" w:hAnsi="宋体"/>
          <w:b/>
          <w:bCs/>
          <w:sz w:val="32"/>
          <w:szCs w:val="32"/>
        </w:rPr>
      </w:pPr>
      <w:r>
        <w:rPr>
          <w:rFonts w:hint="eastAsia" w:ascii="宋体" w:hAnsi="宋体"/>
          <w:b/>
          <w:bCs/>
          <w:kern w:val="0"/>
          <w:sz w:val="28"/>
          <w:szCs w:val="28"/>
        </w:rPr>
        <w:t>（二）具体技术指标及性能要求：</w:t>
      </w:r>
    </w:p>
    <w:p>
      <w:pPr>
        <w:adjustRightInd w:val="0"/>
        <w:snapToGrid w:val="0"/>
        <w:spacing w:line="560" w:lineRule="exact"/>
        <w:ind w:firstLine="638" w:firstLineChars="228"/>
        <w:jc w:val="left"/>
        <w:rPr>
          <w:rFonts w:hint="eastAsia" w:ascii="宋体" w:hAnsi="宋体"/>
          <w:bCs/>
          <w:sz w:val="28"/>
          <w:szCs w:val="28"/>
          <w:lang w:val="en-US" w:eastAsia="zh-CN"/>
        </w:rPr>
      </w:pPr>
      <w:r>
        <w:rPr>
          <w:rFonts w:hint="eastAsia"/>
          <w:sz w:val="28"/>
        </w:rPr>
        <w:t>★</w:t>
      </w:r>
      <w:r>
        <w:rPr>
          <w:rFonts w:hint="eastAsia" w:ascii="宋体" w:hAnsi="宋体"/>
          <w:bCs/>
          <w:sz w:val="28"/>
          <w:szCs w:val="28"/>
        </w:rPr>
        <w:t>（1）</w:t>
      </w:r>
      <w:r>
        <w:rPr>
          <w:rFonts w:hint="eastAsia" w:ascii="宋体" w:hAnsi="宋体"/>
          <w:bCs/>
          <w:sz w:val="28"/>
          <w:szCs w:val="28"/>
          <w:lang w:val="en-US" w:eastAsia="zh-CN"/>
        </w:rPr>
        <w:t>本项目包含：主舞台设计搭建、侧楼梯（两侧）设计搭建、前楼梯设计搭建、铺设阶梯地毯、主背景板设计搭建、控台围挡搭建。</w:t>
      </w:r>
    </w:p>
    <w:p>
      <w:pPr>
        <w:numPr>
          <w:ilvl w:val="-1"/>
          <w:numId w:val="0"/>
        </w:numPr>
        <w:adjustRightInd w:val="0"/>
        <w:snapToGrid w:val="0"/>
        <w:spacing w:line="560" w:lineRule="exact"/>
        <w:ind w:firstLine="560" w:firstLineChars="200"/>
        <w:jc w:val="left"/>
        <w:rPr>
          <w:rFonts w:ascii="宋体" w:hAnsi="宋体"/>
          <w:bCs/>
          <w:sz w:val="28"/>
          <w:szCs w:val="28"/>
        </w:rPr>
      </w:pPr>
      <w:r>
        <w:rPr>
          <w:rFonts w:hint="eastAsia"/>
          <w:sz w:val="28"/>
        </w:rPr>
        <w:t>★</w:t>
      </w:r>
      <w:r>
        <w:rPr>
          <w:rFonts w:hint="eastAsia" w:ascii="宋体" w:hAnsi="宋体"/>
          <w:bCs/>
          <w:sz w:val="28"/>
          <w:szCs w:val="28"/>
          <w:lang w:val="en-US" w:eastAsia="zh-CN"/>
        </w:rPr>
        <w:t>（2）舞台：基础舞台板，四周木板封边，40m*7m，高0.6m。</w:t>
      </w:r>
    </w:p>
    <w:p>
      <w:pPr>
        <w:numPr>
          <w:ilvl w:val="-1"/>
          <w:numId w:val="0"/>
        </w:numPr>
        <w:adjustRightInd w:val="0"/>
        <w:snapToGrid w:val="0"/>
        <w:spacing w:line="560" w:lineRule="exact"/>
        <w:ind w:firstLine="560" w:firstLineChars="200"/>
        <w:jc w:val="left"/>
        <w:rPr>
          <w:rFonts w:ascii="宋体" w:hAnsi="宋体"/>
          <w:bCs/>
          <w:sz w:val="28"/>
          <w:szCs w:val="28"/>
        </w:rPr>
      </w:pPr>
      <w:r>
        <w:rPr>
          <w:rFonts w:hint="eastAsia"/>
          <w:sz w:val="28"/>
        </w:rPr>
        <w:t>★</w:t>
      </w:r>
      <w:r>
        <w:rPr>
          <w:rFonts w:hint="eastAsia" w:ascii="宋体" w:hAnsi="宋体"/>
          <w:bCs/>
          <w:sz w:val="28"/>
          <w:szCs w:val="28"/>
          <w:lang w:val="en-US" w:eastAsia="zh-CN"/>
        </w:rPr>
        <w:t>（3）舞台侧楼梯（两侧）：木结构楼梯，尺寸：2m宽*1.6m深，每阶高20cm（共2个）。</w:t>
      </w:r>
    </w:p>
    <w:p>
      <w:pPr>
        <w:adjustRightInd w:val="0"/>
        <w:snapToGrid w:val="0"/>
        <w:spacing w:line="560" w:lineRule="exact"/>
        <w:ind w:firstLine="638" w:firstLineChars="228"/>
        <w:jc w:val="left"/>
        <w:rPr>
          <w:rFonts w:hint="default" w:ascii="宋体" w:hAnsi="宋体"/>
          <w:bCs/>
          <w:sz w:val="28"/>
          <w:szCs w:val="28"/>
          <w:lang w:val="en-US" w:eastAsia="zh-CN"/>
        </w:rPr>
      </w:pPr>
      <w:r>
        <w:rPr>
          <w:rFonts w:hint="eastAsia"/>
          <w:sz w:val="28"/>
        </w:rPr>
        <w:t>★</w:t>
      </w:r>
      <w:r>
        <w:rPr>
          <w:rFonts w:hint="eastAsia" w:ascii="宋体" w:hAnsi="宋体"/>
          <w:bCs/>
          <w:sz w:val="28"/>
          <w:szCs w:val="28"/>
          <w:lang w:val="en-US" w:eastAsia="zh-CN"/>
        </w:rPr>
        <w:t>（4）舞台前楼梯：木结构楼梯，尺寸：40*1.2m，每阶高20cm</w:t>
      </w:r>
    </w:p>
    <w:p>
      <w:pPr>
        <w:adjustRightInd w:val="0"/>
        <w:snapToGrid w:val="0"/>
        <w:spacing w:line="560" w:lineRule="exact"/>
        <w:ind w:firstLine="638" w:firstLineChars="228"/>
        <w:jc w:val="left"/>
        <w:rPr>
          <w:rFonts w:hint="eastAsia" w:ascii="宋体" w:hAnsi="宋体" w:eastAsia="宋体"/>
          <w:kern w:val="0"/>
          <w:sz w:val="28"/>
          <w:szCs w:val="28"/>
          <w:lang w:eastAsia="zh-CN"/>
        </w:rPr>
      </w:pPr>
      <w:r>
        <w:rPr>
          <w:rFonts w:hint="eastAsia"/>
          <w:sz w:val="28"/>
        </w:rPr>
        <w:t>★</w:t>
      </w:r>
      <w:r>
        <w:rPr>
          <w:rFonts w:hint="eastAsia" w:ascii="宋体" w:hAnsi="宋体"/>
          <w:kern w:val="0"/>
          <w:sz w:val="28"/>
          <w:szCs w:val="28"/>
          <w:lang w:eastAsia="zh-CN"/>
        </w:rPr>
        <w:t>（</w:t>
      </w:r>
      <w:r>
        <w:rPr>
          <w:rFonts w:hint="eastAsia" w:ascii="宋体" w:hAnsi="宋体"/>
          <w:kern w:val="0"/>
          <w:sz w:val="28"/>
          <w:szCs w:val="28"/>
          <w:lang w:val="en-US" w:eastAsia="zh-CN"/>
        </w:rPr>
        <w:t>5</w:t>
      </w:r>
      <w:r>
        <w:rPr>
          <w:rFonts w:hint="eastAsia" w:ascii="宋体" w:hAnsi="宋体"/>
          <w:kern w:val="0"/>
          <w:sz w:val="28"/>
          <w:szCs w:val="28"/>
          <w:lang w:eastAsia="zh-CN"/>
        </w:rPr>
        <w:t>）舞台、阶梯地毯：红色一次性地毯</w:t>
      </w:r>
    </w:p>
    <w:p>
      <w:pPr>
        <w:adjustRightInd w:val="0"/>
        <w:snapToGrid w:val="0"/>
        <w:spacing w:line="560" w:lineRule="exact"/>
        <w:ind w:firstLine="638" w:firstLineChars="228"/>
        <w:jc w:val="left"/>
        <w:rPr>
          <w:rFonts w:hint="eastAsia" w:ascii="宋体" w:hAnsi="宋体"/>
          <w:kern w:val="0"/>
          <w:sz w:val="28"/>
          <w:szCs w:val="28"/>
        </w:rPr>
      </w:pPr>
      <w:r>
        <w:rPr>
          <w:rFonts w:hint="eastAsia"/>
          <w:sz w:val="28"/>
        </w:rPr>
        <w:t>★</w:t>
      </w:r>
      <w:r>
        <w:rPr>
          <w:rFonts w:hint="eastAsia" w:ascii="宋体" w:hAnsi="宋体"/>
          <w:kern w:val="0"/>
          <w:sz w:val="28"/>
          <w:szCs w:val="28"/>
          <w:lang w:eastAsia="zh-CN"/>
        </w:rPr>
        <w:t>（</w:t>
      </w:r>
      <w:r>
        <w:rPr>
          <w:rFonts w:hint="eastAsia" w:ascii="宋体" w:hAnsi="宋体"/>
          <w:kern w:val="0"/>
          <w:sz w:val="28"/>
          <w:szCs w:val="28"/>
          <w:lang w:val="en-US" w:eastAsia="zh-CN"/>
        </w:rPr>
        <w:t>6</w:t>
      </w:r>
      <w:r>
        <w:rPr>
          <w:rFonts w:hint="eastAsia" w:ascii="宋体" w:hAnsi="宋体"/>
          <w:kern w:val="0"/>
          <w:sz w:val="28"/>
          <w:szCs w:val="28"/>
          <w:lang w:eastAsia="zh-CN"/>
        </w:rPr>
        <w:t>）舞台背景板：桁架+高清黑底灯布 40m*8mh*U1m</w:t>
      </w:r>
    </w:p>
    <w:p>
      <w:pPr>
        <w:adjustRightInd w:val="0"/>
        <w:snapToGrid w:val="0"/>
        <w:spacing w:line="560" w:lineRule="exact"/>
        <w:ind w:firstLine="638" w:firstLineChars="228"/>
        <w:jc w:val="left"/>
        <w:rPr>
          <w:rFonts w:ascii="宋体" w:hAnsi="宋体"/>
          <w:sz w:val="32"/>
          <w:szCs w:val="32"/>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”的为“实质性响应指标”。“实质性响应指标”不允许“负偏离”，否则报价无效；“非实质性响应指标”允许“负偏离”，但不能超出偏离范围，否则报价无效</w:t>
      </w:r>
    </w:p>
    <w:p>
      <w:pPr>
        <w:pStyle w:val="3"/>
        <w:spacing w:line="560" w:lineRule="exact"/>
        <w:rPr>
          <w:rFonts w:ascii="宋体" w:hAnsi="宋体" w:cs="宋体"/>
          <w:sz w:val="24"/>
        </w:rPr>
      </w:pPr>
      <w:bookmarkStart w:id="26" w:name="_Toc60236709"/>
      <w:bookmarkStart w:id="27" w:name="_Toc17787"/>
      <w:r>
        <w:rPr>
          <w:rFonts w:hint="eastAsia"/>
        </w:rPr>
        <w:t>二、商务要求</w:t>
      </w:r>
      <w:bookmarkEnd w:id="26"/>
      <w:bookmarkEnd w:id="27"/>
    </w:p>
    <w:p>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（一）交货期及地点</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lang w:val="en-US" w:eastAsia="zh-CN"/>
        </w:rPr>
        <w:t>学位授予仪式前一天内</w:t>
      </w:r>
      <w:r>
        <w:rPr>
          <w:rFonts w:hint="eastAsia" w:ascii="宋体" w:hAnsi="宋体"/>
          <w:bCs/>
          <w:sz w:val="28"/>
          <w:szCs w:val="28"/>
        </w:rPr>
        <w:t>完成</w:t>
      </w:r>
      <w:r>
        <w:rPr>
          <w:rFonts w:hint="eastAsia" w:ascii="宋体" w:hAnsi="宋体"/>
          <w:bCs/>
          <w:sz w:val="28"/>
          <w:szCs w:val="28"/>
          <w:lang w:val="en-US" w:eastAsia="zh-CN"/>
        </w:rPr>
        <w:t>搭建</w:t>
      </w:r>
      <w:r>
        <w:rPr>
          <w:rFonts w:hint="eastAsia" w:ascii="宋体" w:hAnsi="宋体"/>
          <w:bCs/>
          <w:sz w:val="28"/>
          <w:szCs w:val="28"/>
        </w:rPr>
        <w:t>。</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交付地点：广东财经大学广州校区</w:t>
      </w:r>
      <w:r>
        <w:rPr>
          <w:rFonts w:hint="eastAsia" w:ascii="宋体" w:hAnsi="宋体"/>
          <w:bCs/>
          <w:sz w:val="28"/>
          <w:szCs w:val="28"/>
          <w:lang w:val="en-US" w:eastAsia="zh-CN"/>
        </w:rPr>
        <w:t>北田径场</w:t>
      </w:r>
      <w:r>
        <w:rPr>
          <w:rFonts w:hint="eastAsia" w:ascii="宋体" w:hAnsi="宋体"/>
          <w:bCs/>
          <w:sz w:val="28"/>
          <w:szCs w:val="28"/>
        </w:rPr>
        <w:t>。</w:t>
      </w:r>
    </w:p>
    <w:p>
      <w:pPr>
        <w:numPr>
          <w:ilvl w:val="-1"/>
          <w:numId w:val="0"/>
        </w:numPr>
        <w:adjustRightInd w:val="0"/>
        <w:snapToGrid w:val="0"/>
        <w:spacing w:line="560" w:lineRule="exact"/>
        <w:ind w:firstLine="562" w:firstLineChars="200"/>
        <w:jc w:val="left"/>
        <w:rPr>
          <w:rFonts w:ascii="宋体" w:hAnsi="宋体"/>
          <w:b/>
          <w:sz w:val="28"/>
          <w:szCs w:val="28"/>
        </w:rPr>
      </w:pPr>
      <w:r>
        <w:rPr>
          <w:rFonts w:hint="eastAsia" w:ascii="宋体" w:hAnsi="宋体"/>
          <w:b/>
          <w:sz w:val="28"/>
          <w:szCs w:val="28"/>
          <w:lang w:eastAsia="zh-CN"/>
        </w:rPr>
        <w:t>（</w:t>
      </w:r>
      <w:r>
        <w:rPr>
          <w:rFonts w:hint="eastAsia" w:ascii="宋体" w:hAnsi="宋体"/>
          <w:b/>
          <w:sz w:val="28"/>
          <w:szCs w:val="28"/>
          <w:lang w:val="en-US" w:eastAsia="zh-CN"/>
        </w:rPr>
        <w:t>二</w:t>
      </w:r>
      <w:r>
        <w:rPr>
          <w:rFonts w:hint="eastAsia" w:ascii="宋体" w:hAnsi="宋体"/>
          <w:b/>
          <w:sz w:val="28"/>
          <w:szCs w:val="28"/>
          <w:lang w:eastAsia="zh-CN"/>
        </w:rPr>
        <w:t>）</w:t>
      </w:r>
      <w:r>
        <w:rPr>
          <w:rFonts w:hint="eastAsia" w:ascii="宋体" w:hAnsi="宋体"/>
          <w:b/>
          <w:sz w:val="28"/>
          <w:szCs w:val="28"/>
        </w:rPr>
        <w:t>项目质量与验收标准</w:t>
      </w:r>
    </w:p>
    <w:p>
      <w:pPr>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1</w:t>
      </w:r>
      <w:r>
        <w:rPr>
          <w:rFonts w:ascii="宋体" w:hAnsi="宋体"/>
          <w:sz w:val="28"/>
          <w:szCs w:val="28"/>
        </w:rPr>
        <w:t>.</w:t>
      </w:r>
      <w:r>
        <w:rPr>
          <w:rFonts w:hint="eastAsia" w:ascii="宋体" w:hAnsi="宋体"/>
          <w:sz w:val="28"/>
          <w:szCs w:val="28"/>
        </w:rPr>
        <w:t>招标技术要求中的设计款式、颜色、规格、数量仅供参考，中标人要到采购人现场重新进行精准测量，在得到采购人对家具款式、颜色、尺寸及数量予以书面确认后，方可生产。</w:t>
      </w:r>
    </w:p>
    <w:p>
      <w:pPr>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w:t>
      </w:r>
      <w:r>
        <w:rPr>
          <w:rFonts w:ascii="宋体" w:hAnsi="宋体"/>
          <w:sz w:val="28"/>
          <w:szCs w:val="28"/>
        </w:rPr>
        <w:t>.</w:t>
      </w:r>
      <w:r>
        <w:rPr>
          <w:rFonts w:hint="eastAsia" w:ascii="宋体" w:hAnsi="宋体"/>
          <w:sz w:val="28"/>
          <w:szCs w:val="28"/>
        </w:rPr>
        <w:t xml:space="preserve"> 如采购人对货物的采购数量及款式作适当调整，中标人在该标的货物未着手制作前需予以配合并作相应变更。</w:t>
      </w:r>
    </w:p>
    <w:p>
      <w:pPr>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w:t>
      </w:r>
      <w:r>
        <w:rPr>
          <w:rFonts w:ascii="宋体" w:hAnsi="宋体"/>
          <w:sz w:val="28"/>
          <w:szCs w:val="28"/>
        </w:rPr>
        <w:t>.</w:t>
      </w:r>
      <w:r>
        <w:rPr>
          <w:rFonts w:hint="eastAsia" w:ascii="宋体" w:hAnsi="宋体"/>
          <w:sz w:val="28"/>
          <w:szCs w:val="28"/>
        </w:rPr>
        <w:t xml:space="preserve"> 产品生产前及生产期间，采购人有权就中标人对本项目的备料进行抽检，对进货材料（含板材、五金配件、皮革、海绵等）随机抽样送至第三方公正性检测机构检验，取得相应的检验合格报告，检验费由中标人支付。采购人有权拒绝检验不合格的材料投入生产。</w:t>
      </w:r>
    </w:p>
    <w:p>
      <w:pPr>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4</w:t>
      </w:r>
      <w:r>
        <w:rPr>
          <w:rFonts w:ascii="宋体" w:hAnsi="宋体"/>
          <w:sz w:val="28"/>
          <w:szCs w:val="28"/>
        </w:rPr>
        <w:t>.</w:t>
      </w:r>
      <w:r>
        <w:rPr>
          <w:rFonts w:hint="eastAsia" w:ascii="宋体" w:hAnsi="宋体"/>
          <w:bCs/>
          <w:sz w:val="24"/>
        </w:rPr>
        <w:t xml:space="preserve"> </w:t>
      </w:r>
      <w:r>
        <w:rPr>
          <w:rFonts w:hint="eastAsia" w:ascii="宋体" w:hAnsi="宋体"/>
          <w:sz w:val="28"/>
          <w:szCs w:val="28"/>
        </w:rPr>
        <w:t>采购人为保证产品质量，采购人有权对产品生产过程进行全程监造（签订合同至全部产品下线并验收合格）。如不合格的材料已经投入生产，则要用该材料的产品作废品处理，采购人将不予接受。</w:t>
      </w:r>
    </w:p>
    <w:p>
      <w:pPr>
        <w:adjustRightInd w:val="0"/>
        <w:snapToGrid w:val="0"/>
        <w:spacing w:line="560" w:lineRule="exact"/>
        <w:ind w:firstLine="638" w:firstLineChars="228"/>
        <w:jc w:val="left"/>
        <w:rPr>
          <w:rFonts w:ascii="宋体" w:hAnsi="宋体"/>
          <w:b/>
          <w:sz w:val="28"/>
          <w:szCs w:val="28"/>
        </w:rPr>
      </w:pPr>
      <w:r>
        <w:rPr>
          <w:rFonts w:hint="eastAsia" w:ascii="宋体" w:hAnsi="宋体"/>
          <w:sz w:val="28"/>
          <w:szCs w:val="28"/>
        </w:rPr>
        <w:t>5</w:t>
      </w:r>
      <w:r>
        <w:rPr>
          <w:rFonts w:ascii="宋体" w:hAnsi="宋体"/>
          <w:sz w:val="28"/>
          <w:szCs w:val="28"/>
        </w:rPr>
        <w:t>.</w:t>
      </w:r>
      <w:r>
        <w:rPr>
          <w:rFonts w:hint="eastAsia" w:ascii="宋体" w:hAnsi="宋体"/>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三</w:t>
      </w:r>
      <w:r>
        <w:rPr>
          <w:rFonts w:hint="eastAsia" w:ascii="宋体" w:hAnsi="宋体"/>
          <w:b/>
          <w:sz w:val="28"/>
          <w:szCs w:val="28"/>
        </w:rPr>
        <w:t>）质保期</w:t>
      </w:r>
    </w:p>
    <w:p>
      <w:pPr>
        <w:adjustRightInd w:val="0"/>
        <w:snapToGrid w:val="0"/>
        <w:spacing w:line="560" w:lineRule="exact"/>
        <w:ind w:firstLine="638" w:firstLineChars="228"/>
        <w:jc w:val="left"/>
        <w:rPr>
          <w:rFonts w:ascii="宋体" w:hAnsi="宋体"/>
          <w:sz w:val="28"/>
          <w:szCs w:val="28"/>
        </w:rPr>
      </w:pPr>
      <w:r>
        <w:rPr>
          <w:rFonts w:ascii="宋体" w:hAnsi="宋体"/>
          <w:sz w:val="28"/>
          <w:szCs w:val="28"/>
        </w:rPr>
        <w:t>10</w:t>
      </w:r>
      <w:r>
        <w:rPr>
          <w:rFonts w:hint="eastAsia" w:ascii="宋体" w:hAnsi="宋体"/>
          <w:sz w:val="28"/>
          <w:szCs w:val="28"/>
        </w:rPr>
        <w:t>日，质保期从验收合格之日起计算。质保期内中标人需负责免费维修、更换配件及质保内免费安排施工人调配设计产品的位置。质保期内，非采购人的人为原因而出现产品质量及安装问题，由中标人负责包修、包换或包退，并承担因此而产生的一切费用。</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四</w:t>
      </w:r>
      <w:r>
        <w:rPr>
          <w:rFonts w:hint="eastAsia" w:ascii="宋体" w:hAnsi="宋体"/>
          <w:b/>
          <w:sz w:val="28"/>
          <w:szCs w:val="28"/>
        </w:rPr>
        <w:t>）售后服务要求</w:t>
      </w:r>
    </w:p>
    <w:p>
      <w:pPr>
        <w:adjustRightInd w:val="0"/>
        <w:snapToGrid w:val="0"/>
        <w:spacing w:line="560" w:lineRule="exact"/>
        <w:ind w:firstLine="638" w:firstLineChars="228"/>
        <w:rPr>
          <w:rFonts w:ascii="宋体" w:hAnsi="宋体"/>
          <w:b/>
          <w:bCs/>
          <w:kern w:val="0"/>
          <w:sz w:val="28"/>
          <w:szCs w:val="28"/>
        </w:rPr>
      </w:pPr>
      <w:r>
        <w:rPr>
          <w:rFonts w:hint="eastAsia" w:ascii="宋体" w:hAnsi="宋体"/>
          <w:sz w:val="28"/>
          <w:szCs w:val="28"/>
        </w:rPr>
        <w:t>服务响应速度在</w:t>
      </w:r>
      <w:r>
        <w:rPr>
          <w:rFonts w:ascii="宋体" w:hAnsi="宋体"/>
          <w:sz w:val="28"/>
          <w:szCs w:val="28"/>
        </w:rPr>
        <w:t>1</w:t>
      </w:r>
      <w:r>
        <w:rPr>
          <w:rFonts w:hint="eastAsia" w:ascii="宋体" w:hAnsi="宋体"/>
          <w:sz w:val="28"/>
          <w:szCs w:val="28"/>
        </w:rPr>
        <w:t>小时之内,并在</w:t>
      </w:r>
      <w:r>
        <w:rPr>
          <w:rFonts w:hint="eastAsia" w:ascii="宋体" w:hAnsi="宋体"/>
          <w:sz w:val="28"/>
          <w:szCs w:val="28"/>
          <w:lang w:val="en-US" w:eastAsia="zh-CN"/>
        </w:rPr>
        <w:t>1小时</w:t>
      </w:r>
      <w:r>
        <w:rPr>
          <w:rFonts w:hint="eastAsia" w:ascii="宋体" w:hAnsi="宋体"/>
          <w:sz w:val="28"/>
          <w:szCs w:val="28"/>
        </w:rPr>
        <w:t>内解决故障。</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五</w:t>
      </w:r>
      <w:r>
        <w:rPr>
          <w:rFonts w:hint="eastAsia" w:ascii="宋体" w:hAnsi="宋体"/>
          <w:b/>
          <w:sz w:val="28"/>
          <w:szCs w:val="28"/>
        </w:rPr>
        <w:t>）结算与付款方式</w:t>
      </w:r>
    </w:p>
    <w:p>
      <w:pPr>
        <w:spacing w:line="560" w:lineRule="exact"/>
        <w:ind w:firstLine="638" w:firstLineChars="228"/>
        <w:rPr>
          <w:rFonts w:ascii="宋体" w:hAnsi="宋体"/>
          <w:sz w:val="28"/>
          <w:szCs w:val="28"/>
        </w:rPr>
      </w:pPr>
      <w:r>
        <w:rPr>
          <w:rFonts w:hint="eastAsia" w:ascii="宋体" w:hAnsi="宋体"/>
          <w:sz w:val="28"/>
          <w:szCs w:val="28"/>
        </w:rPr>
        <w:t>该项目验收合格后，将合同款100%转账支付给成交人。</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六</w:t>
      </w:r>
      <w:r>
        <w:rPr>
          <w:rFonts w:hint="eastAsia" w:ascii="宋体" w:hAnsi="宋体"/>
          <w:b/>
          <w:sz w:val="28"/>
          <w:szCs w:val="28"/>
        </w:rPr>
        <w:t>）违约处罚</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(1)采购单位逾期付款的，应按照每日合同总价的3‰的比例向成交人偿付逾期付款的违约金；</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(2)采购单位违反合同规定拒绝接受服务的，应当承担由此对成交人造成的损失。</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七</w:t>
      </w:r>
      <w:r>
        <w:rPr>
          <w:rFonts w:hint="eastAsia" w:ascii="宋体" w:hAnsi="宋体"/>
          <w:b/>
          <w:sz w:val="28"/>
          <w:szCs w:val="28"/>
        </w:rPr>
        <w:t>）其他要求</w:t>
      </w:r>
    </w:p>
    <w:p>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pPr>
        <w:numPr>
          <w:ilvl w:val="0"/>
          <w:numId w:val="4"/>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pPr>
        <w:numPr>
          <w:ilvl w:val="0"/>
          <w:numId w:val="4"/>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pPr>
        <w:numPr>
          <w:ilvl w:val="0"/>
          <w:numId w:val="4"/>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pPr>
        <w:spacing w:line="560" w:lineRule="exact"/>
        <w:ind w:firstLine="641" w:firstLineChars="228"/>
        <w:rPr>
          <w:rFonts w:ascii="宋体" w:hAnsi="宋体"/>
          <w:sz w:val="28"/>
          <w:szCs w:val="28"/>
        </w:rPr>
      </w:pPr>
      <w:r>
        <w:rPr>
          <w:rFonts w:hint="eastAsia" w:ascii="宋体" w:hAnsi="宋体"/>
          <w:b/>
          <w:bCs/>
          <w:sz w:val="28"/>
          <w:szCs w:val="28"/>
        </w:rPr>
        <w:t>（九）争议解决</w:t>
      </w:r>
      <w:r>
        <w:rPr>
          <w:rFonts w:hint="eastAsia" w:ascii="宋体" w:hAnsi="宋体"/>
          <w:sz w:val="28"/>
          <w:szCs w:val="28"/>
        </w:rPr>
        <w:t>：双方因合同发生争议，应在采购方的主持下进行调解，协商不成，可按合同约定向人民法院起诉。</w:t>
      </w:r>
    </w:p>
    <w:p>
      <w:pPr>
        <w:spacing w:line="400" w:lineRule="exact"/>
        <w:ind w:firstLine="640" w:firstLineChars="200"/>
        <w:rPr>
          <w:rFonts w:ascii="宋体" w:hAnsi="宋体"/>
          <w:sz w:val="32"/>
          <w:szCs w:val="32"/>
        </w:rPr>
      </w:pPr>
    </w:p>
    <w:p>
      <w:pPr>
        <w:spacing w:line="400" w:lineRule="exact"/>
        <w:ind w:firstLine="420" w:firstLineChars="200"/>
        <w:rPr>
          <w:rFonts w:ascii="宋体" w:hAnsi="宋体"/>
          <w:sz w:val="28"/>
          <w:szCs w:val="28"/>
        </w:rPr>
      </w:pPr>
      <w:bookmarkStart w:id="28" w:name="_Toc60236710"/>
      <w:bookmarkStart w:id="29" w:name="_Toc13543213"/>
      <w:r>
        <w:rPr>
          <w:rFonts w:hint="eastAsia"/>
        </w:rPr>
        <w:br w:type="page"/>
      </w:r>
      <w:bookmarkEnd w:id="28"/>
      <w:bookmarkEnd w:id="29"/>
    </w:p>
    <w:p>
      <w:pPr>
        <w:pStyle w:val="2"/>
      </w:pPr>
      <w:bookmarkStart w:id="30" w:name="_Toc14310"/>
      <w:r>
        <w:rPr>
          <w:rFonts w:hint="eastAsia"/>
        </w:rPr>
        <w:t>第三部分  报价文件格式</w:t>
      </w:r>
      <w:bookmarkEnd w:id="30"/>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3"/>
        <w:rPr>
          <w:rFonts w:ascii="Calibri" w:hAnsi="Calibri"/>
          <w:b/>
          <w:sz w:val="32"/>
          <w:szCs w:val="32"/>
        </w:rPr>
      </w:pPr>
    </w:p>
    <w:p>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rPr>
          <w:rFonts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5"/>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5"/>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3"/>
        <w:spacing w:line="480" w:lineRule="exact"/>
        <w:rPr>
          <w:rFonts w:hAnsi="宋体"/>
          <w:sz w:val="28"/>
          <w:szCs w:val="28"/>
        </w:rPr>
      </w:pPr>
      <w:r>
        <w:rPr>
          <w:rFonts w:hint="eastAsia" w:hAnsi="宋体"/>
          <w:sz w:val="28"/>
          <w:szCs w:val="28"/>
        </w:rPr>
        <w:t>注：</w:t>
      </w:r>
    </w:p>
    <w:p>
      <w:pPr>
        <w:pStyle w:val="13"/>
        <w:numPr>
          <w:ilvl w:val="0"/>
          <w:numId w:val="7"/>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3"/>
        <w:numPr>
          <w:ilvl w:val="0"/>
          <w:numId w:val="7"/>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3"/>
        <w:numPr>
          <w:ilvl w:val="0"/>
          <w:numId w:val="7"/>
        </w:numPr>
        <w:spacing w:line="0" w:lineRule="atLeast"/>
        <w:rPr>
          <w:rFonts w:hAnsi="宋体"/>
          <w:sz w:val="28"/>
          <w:szCs w:val="28"/>
        </w:rPr>
      </w:pPr>
      <w:r>
        <w:rPr>
          <w:rFonts w:hint="eastAsia"/>
          <w:sz w:val="28"/>
          <w:szCs w:val="28"/>
        </w:rPr>
        <w:t>填写此表时不得改变表格的形式。</w:t>
      </w:r>
    </w:p>
    <w:p>
      <w:pPr>
        <w:pStyle w:val="13"/>
        <w:numPr>
          <w:ilvl w:val="0"/>
          <w:numId w:val="7"/>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ind w:firstLine="241" w:firstLineChars="100"/>
              <w:rPr>
                <w:rFonts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 xml:space="preserve"> 人民币：</w:t>
            </w:r>
          </w:p>
        </w:tc>
      </w:tr>
    </w:tbl>
    <w:p>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pPr>
        <w:pStyle w:val="13"/>
        <w:spacing w:line="0" w:lineRule="atLeast"/>
        <w:ind w:left="336"/>
        <w:rPr>
          <w:rFonts w:hAnsi="宋体"/>
          <w:sz w:val="28"/>
          <w:szCs w:val="28"/>
        </w:rPr>
      </w:pPr>
      <w:r>
        <w:rPr>
          <w:rFonts w:hint="eastAsia" w:hAnsi="宋体"/>
          <w:sz w:val="28"/>
          <w:szCs w:val="28"/>
        </w:rPr>
        <w:t>3、对于报价免费的项目必须标明“免费”。</w:t>
      </w:r>
    </w:p>
    <w:p>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3"/>
        <w:jc w:val="left"/>
        <w:rPr>
          <w:rFonts w:ascii="Times New Roman" w:hAnsi="Times New Roman"/>
          <w:szCs w:val="21"/>
        </w:rPr>
      </w:pPr>
    </w:p>
    <w:p>
      <w:pPr>
        <w:pStyle w:val="13"/>
        <w:jc w:val="left"/>
        <w:rPr>
          <w:rFonts w:ascii="Times New Roman" w:hAnsi="Times New Roman"/>
          <w:szCs w:val="21"/>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cs="宋体"/>
          <w:bCs/>
          <w:color w:val="000000"/>
          <w:szCs w:val="21"/>
        </w:rPr>
      </w:pPr>
      <w:r>
        <w:rPr>
          <w:rFonts w:hint="eastAsia" w:ascii="宋体" w:hAnsi="宋体"/>
          <w:sz w:val="32"/>
          <w:szCs w:val="32"/>
        </w:rPr>
        <w:t>报价人单位（盖章）：</w:t>
      </w:r>
    </w:p>
    <w:p>
      <w:pPr>
        <w:rPr>
          <w:rFonts w:ascii="宋体" w:hAnsi="宋体" w:cs="宋体"/>
          <w:bCs/>
          <w:color w:val="000000"/>
          <w:szCs w:val="21"/>
        </w:rPr>
      </w:pPr>
      <w:r>
        <w:rPr>
          <w:rFonts w:hint="eastAsia" w:ascii="宋体" w:hAnsi="宋体" w:cs="宋体"/>
          <w:bCs/>
          <w:color w:val="000000"/>
          <w:szCs w:val="21"/>
        </w:rPr>
        <w:br w:type="page"/>
      </w:r>
    </w:p>
    <w:p>
      <w:pPr>
        <w:numPr>
          <w:ilvl w:val="0"/>
          <w:numId w:val="6"/>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8"/>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8"/>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8"/>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8"/>
        </w:numPr>
        <w:spacing w:line="400" w:lineRule="exact"/>
        <w:rPr>
          <w:rFonts w:ascii="宋体" w:hAnsi="宋体"/>
          <w:sz w:val="24"/>
        </w:rPr>
      </w:pPr>
      <w:r>
        <w:rPr>
          <w:rFonts w:hint="eastAsia" w:ascii="宋体" w:hAnsi="宋体"/>
          <w:sz w:val="24"/>
        </w:rPr>
        <w:t>我方理解贵方不一定接受最低报价。</w:t>
      </w:r>
    </w:p>
    <w:p>
      <w:pPr>
        <w:numPr>
          <w:ilvl w:val="0"/>
          <w:numId w:val="8"/>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8"/>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8"/>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9"/>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8"/>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8"/>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6"/>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9428966-0050-41B7-8BEA-C379B876E25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9C44D41-2E36-4C6F-A817-2E807CB92E88}"/>
  </w:font>
  <w:font w:name="Cambria">
    <w:panose1 w:val="02040503050406030204"/>
    <w:charset w:val="00"/>
    <w:family w:val="roman"/>
    <w:pitch w:val="default"/>
    <w:sig w:usb0="E00006FF" w:usb1="420024FF" w:usb2="02000000" w:usb3="00000000" w:csb0="2000019F" w:csb1="00000000"/>
  </w:font>
  <w:font w:name="昆仑楷体">
    <w:altName w:val="楷体_GB2312"/>
    <w:panose1 w:val="020B0604020202020204"/>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0"/>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FBB9BEE3-F891-4289-88F9-BCD037652A49}"/>
  </w:font>
  <w:font w:name="楷体_GB2312">
    <w:panose1 w:val="02010609030101010101"/>
    <w:charset w:val="86"/>
    <w:family w:val="modern"/>
    <w:pitch w:val="default"/>
    <w:sig w:usb0="00000001" w:usb1="080E0000" w:usb2="00000000" w:usb3="00000000" w:csb0="00040000" w:csb1="00000000"/>
    <w:embedRegular r:id="rId4" w:fontKey="{88AF97B6-DFF2-4D06-8FC1-F1E1CAA8AAB7}"/>
  </w:font>
  <w:font w:name="楷体">
    <w:panose1 w:val="02010609060101010101"/>
    <w:charset w:val="86"/>
    <w:family w:val="modern"/>
    <w:pitch w:val="default"/>
    <w:sig w:usb0="800002BF" w:usb1="38CF7CFA" w:usb2="00000016" w:usb3="00000000" w:csb0="00040001" w:csb1="00000000"/>
    <w:embedRegular r:id="rId5" w:fontKey="{9E400954-568D-4D2B-B588-15D101484D3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T2yWitIBAACiAwAADgAAAAAAAAABACAAAAAfAQAA&#10;ZHJzL2Uyb0RvYy54bWxQSwUGAAAAAAYABgBZAQAAYw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fV2T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K&#10;8vQBK6q6D1QXh3d+SKVTHCmYWA8t2PQlPozyJO75Kq4aIpPp0nq1XpeUkpSbHcIpHq8HwPheecuS&#10;UXOg18uiitNHjGPpXJK6OX+njaG4qIxjfc1vXr8p84VrhsCNox6JxDhssuKwHyYGe9+ciVhPG1Bz&#10;RwvPmfngSOC0LLMBs7GfjWMAfehoxmXuh+HtMdI0ecjUYYSdGtPTZZrTmqXd+NvPVY+/1v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L1fV2TQAQAAogMAAA4AAAAAAAAAAQAgAAAAHwEAAGRy&#10;cy9lMm9Eb2MueG1sUEsFBgAAAAAGAAYAWQEAAGEFA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Vt9jRAQAAogMAAA4AAABkcnMvZTJvRG9jLnhtbK1TzY7TMBC+I/EO&#10;lu80aYFVFd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V1R4rjFgV9+fL/8/H359Y28&#10;yvL0ARrMug+Yl4a3fsClme8BLzPrQUWbv8iHYBzFPV/FlUMiIj9ar9brGkMCY7OD+NXD8xAhvZPe&#10;kmwwGnF6RVR++gBpTJ1TcjXn77QxZYLGkZ7Rm5ev6/LgGkFw47BGJjE2m6007IeJ2d63ZyTW4wYw&#10;6nDhKTHvHQqcl2U24mzsZ+MYoj502OOy1IPw5piwm9JkrjDCToVxdIXmtGZ5N/72S9bDr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ClbfY0QEAAKIDAAAOAAAAAAAAAAEAIAAAAB8BAABk&#10;cnMvZTJvRG9jLnhtbFBLBQYAAAAABgAGAFkBAABiBQ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u w:val="single"/>
      </w:rPr>
    </w:pP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7"/>
                          </w:pPr>
                          <w:r>
                            <w:fldChar w:fldCharType="begin"/>
                          </w:r>
                          <w:r>
                            <w:instrText xml:space="preserve"> PAGE  \* MERGEFORMAT </w:instrText>
                          </w:r>
                          <w:r>
                            <w:fldChar w:fldCharType="separate"/>
                          </w:r>
                          <w:r>
                            <w:t>0</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USex7RAQAAogMAAA4AAABkcnMvZTJvRG9jLnhtbK1TzY7TMBC+I/EO&#10;lu80aYFVFd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X1FieMWB3758f3y8/fl1zey&#10;zPL0ARrMug+Yl4a3fsClme8BLzPrQUWbv8iHYBzFPV/FlUMiIj9ar9brGkMCY7OD+NXD8xAhvZPe&#10;kmwwGnF6RVR++gBpTJ1TcjXn77QxZYLGkZ7Rm5ev6/LgGkFw47BGJjE2m6007IeJ2d63ZyTW4wYw&#10;6nDhKTHvHQqcl2U24mzsZ+MYoj502OOy1IPw5piwm9JkrjDCToVxdIXmtGZ5N/72S9bDr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FEnse0QEAAKIDAAAOAAAAAAAAAAEAIAAAAB8BAABk&#10;cnMvZTJvRG9jLnhtbFBLBQYAAAAABgAGAFkBAABi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E91F1F3E"/>
    <w:multiLevelType w:val="singleLevel"/>
    <w:tmpl w:val="E91F1F3E"/>
    <w:lvl w:ilvl="0" w:tentative="0">
      <w:start w:val="7"/>
      <w:numFmt w:val="chineseCounting"/>
      <w:suff w:val="nothing"/>
      <w:lvlText w:val="%1、"/>
      <w:lvlJc w:val="left"/>
      <w:rPr>
        <w:rFonts w:hint="eastAsia"/>
      </w:rPr>
    </w:lvl>
  </w:abstractNum>
  <w:abstractNum w:abstractNumId="3">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4">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C3C74AC"/>
    <w:multiLevelType w:val="singleLevel"/>
    <w:tmpl w:val="5C3C74AC"/>
    <w:lvl w:ilvl="0" w:tentative="0">
      <w:start w:val="1"/>
      <w:numFmt w:val="chineseCounting"/>
      <w:suff w:val="nothing"/>
      <w:lvlText w:val="%1、"/>
      <w:lvlJc w:val="left"/>
      <w:rPr>
        <w:rFonts w:hint="eastAsia"/>
      </w:rPr>
    </w:lvl>
  </w:abstractNum>
  <w:abstractNum w:abstractNumId="7">
    <w:nsid w:val="5D1ACA94"/>
    <w:multiLevelType w:val="singleLevel"/>
    <w:tmpl w:val="5D1ACA94"/>
    <w:lvl w:ilvl="0" w:tentative="0">
      <w:start w:val="3"/>
      <w:numFmt w:val="decimal"/>
      <w:suff w:val="nothing"/>
      <w:lvlText w:val="%1、"/>
      <w:lvlJc w:val="left"/>
    </w:lvl>
  </w:abstractNum>
  <w:num w:numId="1">
    <w:abstractNumId w:val="4"/>
  </w:num>
  <w:num w:numId="2">
    <w:abstractNumId w:val="7"/>
  </w:num>
  <w:num w:numId="3">
    <w:abstractNumId w:val="2"/>
  </w:num>
  <w:num w:numId="4">
    <w:abstractNumId w:val="1"/>
  </w:num>
  <w:num w:numId="5">
    <w:abstractNumId w:val="6"/>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trackRevisions w:val="1"/>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3MjdjMzFmYzlhNzFhOWZiMTJkYWFkOWVhYWQ0MDU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673"/>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924"/>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6867"/>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5E8E"/>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2B4"/>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D5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283A"/>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0B3A"/>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0EB2"/>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8BF"/>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3C73"/>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57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5F7C5D"/>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390"/>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5F1"/>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8DE"/>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6A82"/>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1F5"/>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0E1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67DBE"/>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2D9E"/>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0E09"/>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54F"/>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3C77"/>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A2F4D76"/>
    <w:rsid w:val="0BEE41F8"/>
    <w:rsid w:val="0D0015C5"/>
    <w:rsid w:val="0D050937"/>
    <w:rsid w:val="0E6949B3"/>
    <w:rsid w:val="0F666038"/>
    <w:rsid w:val="0FEF4AD0"/>
    <w:rsid w:val="11FA2096"/>
    <w:rsid w:val="12254861"/>
    <w:rsid w:val="12B4052F"/>
    <w:rsid w:val="12EC524A"/>
    <w:rsid w:val="13071F04"/>
    <w:rsid w:val="13C52591"/>
    <w:rsid w:val="14A66120"/>
    <w:rsid w:val="14E23522"/>
    <w:rsid w:val="168532DC"/>
    <w:rsid w:val="16DF0425"/>
    <w:rsid w:val="173373DC"/>
    <w:rsid w:val="1753107A"/>
    <w:rsid w:val="18DC1D83"/>
    <w:rsid w:val="18DD33E1"/>
    <w:rsid w:val="18EE0C00"/>
    <w:rsid w:val="1AE42B15"/>
    <w:rsid w:val="1AEB64C2"/>
    <w:rsid w:val="20BC39CA"/>
    <w:rsid w:val="213E5304"/>
    <w:rsid w:val="21E00F42"/>
    <w:rsid w:val="245F6E0F"/>
    <w:rsid w:val="24905418"/>
    <w:rsid w:val="26203ADA"/>
    <w:rsid w:val="263B5217"/>
    <w:rsid w:val="27192484"/>
    <w:rsid w:val="27395290"/>
    <w:rsid w:val="27C423D8"/>
    <w:rsid w:val="28E13EA5"/>
    <w:rsid w:val="291150CE"/>
    <w:rsid w:val="2CBA2E79"/>
    <w:rsid w:val="2E2429AD"/>
    <w:rsid w:val="2E7F096C"/>
    <w:rsid w:val="2E950643"/>
    <w:rsid w:val="305B2BFC"/>
    <w:rsid w:val="311763F2"/>
    <w:rsid w:val="3237724D"/>
    <w:rsid w:val="32C61B83"/>
    <w:rsid w:val="344B05CF"/>
    <w:rsid w:val="34683033"/>
    <w:rsid w:val="35B77661"/>
    <w:rsid w:val="36583023"/>
    <w:rsid w:val="3713274F"/>
    <w:rsid w:val="375D7C45"/>
    <w:rsid w:val="37BFA1CB"/>
    <w:rsid w:val="39A6093D"/>
    <w:rsid w:val="3BF75747"/>
    <w:rsid w:val="3D832EB5"/>
    <w:rsid w:val="3EB43B95"/>
    <w:rsid w:val="3F0535D6"/>
    <w:rsid w:val="401A05CF"/>
    <w:rsid w:val="40652603"/>
    <w:rsid w:val="42532A81"/>
    <w:rsid w:val="442F0A64"/>
    <w:rsid w:val="44FE771E"/>
    <w:rsid w:val="453D2E2E"/>
    <w:rsid w:val="455B5F6E"/>
    <w:rsid w:val="4678338B"/>
    <w:rsid w:val="476B2D91"/>
    <w:rsid w:val="48833F13"/>
    <w:rsid w:val="4ADD6003"/>
    <w:rsid w:val="4BEB2A35"/>
    <w:rsid w:val="4C9204F0"/>
    <w:rsid w:val="4D1B218F"/>
    <w:rsid w:val="4DBA5FA6"/>
    <w:rsid w:val="4DD5065C"/>
    <w:rsid w:val="507A5425"/>
    <w:rsid w:val="50C30629"/>
    <w:rsid w:val="51577DD1"/>
    <w:rsid w:val="51AB09AF"/>
    <w:rsid w:val="520732F2"/>
    <w:rsid w:val="531269D1"/>
    <w:rsid w:val="54B4589B"/>
    <w:rsid w:val="55B90436"/>
    <w:rsid w:val="57434CFA"/>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8742FE5"/>
    <w:rsid w:val="6891115E"/>
    <w:rsid w:val="690E2DE0"/>
    <w:rsid w:val="697C1D6F"/>
    <w:rsid w:val="6A80153E"/>
    <w:rsid w:val="6C6B4422"/>
    <w:rsid w:val="6DE631A7"/>
    <w:rsid w:val="6F544E68"/>
    <w:rsid w:val="719242C5"/>
    <w:rsid w:val="72B62304"/>
    <w:rsid w:val="742D0AEA"/>
    <w:rsid w:val="750157C1"/>
    <w:rsid w:val="77F228DE"/>
    <w:rsid w:val="78083DF9"/>
    <w:rsid w:val="78851ED1"/>
    <w:rsid w:val="79C61CFF"/>
    <w:rsid w:val="7C183463"/>
    <w:rsid w:val="7D6D488E"/>
    <w:rsid w:val="7DBD7DE5"/>
    <w:rsid w:val="7E740121"/>
    <w:rsid w:val="AFDF5D9F"/>
    <w:rsid w:val="F7356FD0"/>
    <w:rsid w:val="FA76567F"/>
    <w:rsid w:val="FB8E951C"/>
    <w:rsid w:val="FBE38910"/>
    <w:rsid w:val="FF171A51"/>
    <w:rsid w:val="FF5F28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autoRedefine/>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autoRedefine/>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autoRedefine/>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autoRedefine/>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link w:val="46"/>
    <w:autoRedefine/>
    <w:qFormat/>
    <w:uiPriority w:val="0"/>
    <w:pPr>
      <w:ind w:firstLine="420"/>
    </w:pPr>
    <w:rPr>
      <w:rFonts w:ascii="Calibri" w:hAnsi="Calibri"/>
      <w:kern w:val="0"/>
      <w:sz w:val="20"/>
      <w:szCs w:val="20"/>
    </w:rPr>
  </w:style>
  <w:style w:type="paragraph" w:styleId="7">
    <w:name w:val="Document Map"/>
    <w:basedOn w:val="1"/>
    <w:link w:val="61"/>
    <w:autoRedefine/>
    <w:semiHidden/>
    <w:qFormat/>
    <w:uiPriority w:val="0"/>
    <w:pPr>
      <w:shd w:val="clear" w:color="auto" w:fill="000080"/>
    </w:pPr>
    <w:rPr>
      <w:kern w:val="0"/>
      <w:sz w:val="20"/>
    </w:rPr>
  </w:style>
  <w:style w:type="paragraph" w:styleId="8">
    <w:name w:val="annotation text"/>
    <w:basedOn w:val="1"/>
    <w:next w:val="9"/>
    <w:link w:val="64"/>
    <w:autoRedefine/>
    <w:qFormat/>
    <w:uiPriority w:val="0"/>
    <w:pPr>
      <w:spacing w:line="280" w:lineRule="exact"/>
      <w:jc w:val="left"/>
    </w:pPr>
    <w:rPr>
      <w:sz w:val="24"/>
    </w:rPr>
  </w:style>
  <w:style w:type="paragraph" w:styleId="9">
    <w:name w:val="Balloon Text"/>
    <w:basedOn w:val="1"/>
    <w:link w:val="40"/>
    <w:autoRedefine/>
    <w:semiHidden/>
    <w:qFormat/>
    <w:uiPriority w:val="0"/>
    <w:pPr>
      <w:adjustRightInd w:val="0"/>
      <w:snapToGrid w:val="0"/>
    </w:pPr>
    <w:rPr>
      <w:sz w:val="28"/>
      <w:szCs w:val="18"/>
    </w:rPr>
  </w:style>
  <w:style w:type="paragraph" w:styleId="10">
    <w:name w:val="Body Text Indent"/>
    <w:basedOn w:val="1"/>
    <w:link w:val="54"/>
    <w:autoRedefine/>
    <w:qFormat/>
    <w:uiPriority w:val="0"/>
    <w:pPr>
      <w:ind w:firstLine="570"/>
    </w:pPr>
    <w:rPr>
      <w:rFonts w:ascii="宋体" w:hAnsi="宋体"/>
      <w:kern w:val="0"/>
      <w:sz w:val="24"/>
    </w:rPr>
  </w:style>
  <w:style w:type="paragraph" w:styleId="11">
    <w:name w:val="List 2"/>
    <w:basedOn w:val="1"/>
    <w:autoRedefine/>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autoRedefine/>
    <w:qFormat/>
    <w:uiPriority w:val="39"/>
    <w:pPr>
      <w:ind w:left="840" w:leftChars="400"/>
    </w:pPr>
  </w:style>
  <w:style w:type="paragraph" w:styleId="13">
    <w:name w:val="Plain Text"/>
    <w:basedOn w:val="1"/>
    <w:link w:val="41"/>
    <w:autoRedefine/>
    <w:qFormat/>
    <w:uiPriority w:val="0"/>
    <w:rPr>
      <w:rFonts w:ascii="宋体" w:hAnsi="Courier New"/>
      <w:kern w:val="0"/>
      <w:sz w:val="20"/>
    </w:rPr>
  </w:style>
  <w:style w:type="paragraph" w:styleId="14">
    <w:name w:val="Date"/>
    <w:basedOn w:val="1"/>
    <w:next w:val="1"/>
    <w:link w:val="38"/>
    <w:autoRedefine/>
    <w:qFormat/>
    <w:uiPriority w:val="0"/>
    <w:pPr>
      <w:ind w:left="100" w:leftChars="2500"/>
    </w:pPr>
    <w:rPr>
      <w:kern w:val="0"/>
      <w:sz w:val="28"/>
    </w:rPr>
  </w:style>
  <w:style w:type="paragraph" w:styleId="15">
    <w:name w:val="Body Text Indent 2"/>
    <w:basedOn w:val="1"/>
    <w:link w:val="59"/>
    <w:autoRedefine/>
    <w:qFormat/>
    <w:uiPriority w:val="0"/>
    <w:pPr>
      <w:spacing w:line="300" w:lineRule="auto"/>
      <w:ind w:firstLine="540" w:firstLineChars="225"/>
    </w:pPr>
    <w:rPr>
      <w:rFonts w:ascii="宋体" w:hAnsi="宋体"/>
      <w:color w:val="000000"/>
      <w:kern w:val="0"/>
      <w:sz w:val="24"/>
    </w:rPr>
  </w:style>
  <w:style w:type="paragraph" w:styleId="16">
    <w:name w:val="footer"/>
    <w:basedOn w:val="1"/>
    <w:link w:val="55"/>
    <w:autoRedefine/>
    <w:qFormat/>
    <w:uiPriority w:val="0"/>
    <w:pPr>
      <w:tabs>
        <w:tab w:val="center" w:pos="4153"/>
        <w:tab w:val="right" w:pos="8306"/>
      </w:tabs>
      <w:snapToGrid w:val="0"/>
      <w:jc w:val="left"/>
    </w:pPr>
    <w:rPr>
      <w:kern w:val="0"/>
      <w:sz w:val="18"/>
      <w:szCs w:val="18"/>
    </w:rPr>
  </w:style>
  <w:style w:type="paragraph" w:styleId="17">
    <w:name w:val="header"/>
    <w:basedOn w:val="1"/>
    <w:link w:val="50"/>
    <w:autoRedefine/>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autoRedefine/>
    <w:qFormat/>
    <w:uiPriority w:val="39"/>
  </w:style>
  <w:style w:type="paragraph" w:styleId="19">
    <w:name w:val="index heading"/>
    <w:basedOn w:val="1"/>
    <w:next w:val="20"/>
    <w:autoRedefine/>
    <w:semiHidden/>
    <w:qFormat/>
    <w:uiPriority w:val="0"/>
    <w:rPr>
      <w:szCs w:val="20"/>
    </w:rPr>
  </w:style>
  <w:style w:type="paragraph" w:styleId="20">
    <w:name w:val="index 1"/>
    <w:basedOn w:val="1"/>
    <w:next w:val="1"/>
    <w:autoRedefine/>
    <w:semiHidden/>
    <w:qFormat/>
    <w:uiPriority w:val="0"/>
  </w:style>
  <w:style w:type="paragraph" w:styleId="21">
    <w:name w:val="Subtitle"/>
    <w:basedOn w:val="1"/>
    <w:next w:val="1"/>
    <w:link w:val="37"/>
    <w:autoRedefine/>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autoRedefine/>
    <w:qFormat/>
    <w:uiPriority w:val="0"/>
    <w:pPr>
      <w:snapToGrid w:val="0"/>
      <w:jc w:val="left"/>
    </w:pPr>
    <w:rPr>
      <w:kern w:val="0"/>
      <w:sz w:val="18"/>
      <w:szCs w:val="18"/>
    </w:rPr>
  </w:style>
  <w:style w:type="paragraph" w:styleId="23">
    <w:name w:val="Body Text Indent 3"/>
    <w:basedOn w:val="1"/>
    <w:link w:val="45"/>
    <w:autoRedefine/>
    <w:qFormat/>
    <w:uiPriority w:val="0"/>
    <w:pPr>
      <w:snapToGrid w:val="0"/>
      <w:spacing w:after="120" w:line="360" w:lineRule="auto"/>
      <w:ind w:firstLine="1365"/>
    </w:pPr>
    <w:rPr>
      <w:rFonts w:ascii="宋体"/>
      <w:kern w:val="0"/>
      <w:sz w:val="28"/>
      <w:szCs w:val="20"/>
    </w:rPr>
  </w:style>
  <w:style w:type="paragraph" w:styleId="24">
    <w:name w:val="toc 2"/>
    <w:basedOn w:val="1"/>
    <w:next w:val="1"/>
    <w:autoRedefine/>
    <w:qFormat/>
    <w:uiPriority w:val="39"/>
    <w:pPr>
      <w:ind w:left="420" w:leftChars="200"/>
    </w:pPr>
  </w:style>
  <w:style w:type="paragraph" w:styleId="25">
    <w:name w:val="Normal (Web)"/>
    <w:basedOn w:val="1"/>
    <w:autoRedefine/>
    <w:qFormat/>
    <w:uiPriority w:val="0"/>
    <w:rPr>
      <w:rFonts w:ascii="Calibri" w:hAnsi="Calibri"/>
      <w:sz w:val="24"/>
      <w:szCs w:val="22"/>
    </w:rPr>
  </w:style>
  <w:style w:type="paragraph" w:styleId="26">
    <w:name w:val="annotation subject"/>
    <w:basedOn w:val="8"/>
    <w:next w:val="8"/>
    <w:link w:val="62"/>
    <w:autoRedefine/>
    <w:semiHidden/>
    <w:qFormat/>
    <w:uiPriority w:val="0"/>
    <w:rPr>
      <w:b/>
      <w:bCs/>
      <w:kern w:val="0"/>
      <w:sz w:val="20"/>
    </w:rPr>
  </w:style>
  <w:style w:type="table" w:styleId="28">
    <w:name w:val="Table Grid"/>
    <w:basedOn w:val="2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22"/>
    <w:rPr>
      <w:b/>
      <w:bCs/>
    </w:rPr>
  </w:style>
  <w:style w:type="character" w:styleId="31">
    <w:name w:val="page number"/>
    <w:basedOn w:val="29"/>
    <w:autoRedefine/>
    <w:qFormat/>
    <w:uiPriority w:val="0"/>
  </w:style>
  <w:style w:type="character" w:styleId="32">
    <w:name w:val="FollowedHyperlink"/>
    <w:autoRedefine/>
    <w:qFormat/>
    <w:uiPriority w:val="0"/>
    <w:rPr>
      <w:color w:val="800080"/>
      <w:u w:val="single"/>
    </w:rPr>
  </w:style>
  <w:style w:type="character" w:styleId="33">
    <w:name w:val="Emphasis"/>
    <w:basedOn w:val="29"/>
    <w:autoRedefine/>
    <w:qFormat/>
    <w:uiPriority w:val="20"/>
    <w:rPr>
      <w:color w:val="CC0000"/>
    </w:rPr>
  </w:style>
  <w:style w:type="character" w:styleId="34">
    <w:name w:val="Hyperlink"/>
    <w:autoRedefine/>
    <w:qFormat/>
    <w:uiPriority w:val="99"/>
    <w:rPr>
      <w:color w:val="0000FF"/>
      <w:u w:val="single"/>
    </w:rPr>
  </w:style>
  <w:style w:type="character" w:styleId="35">
    <w:name w:val="annotation reference"/>
    <w:autoRedefine/>
    <w:semiHidden/>
    <w:qFormat/>
    <w:uiPriority w:val="0"/>
    <w:rPr>
      <w:sz w:val="21"/>
      <w:szCs w:val="21"/>
    </w:rPr>
  </w:style>
  <w:style w:type="character" w:styleId="36">
    <w:name w:val="footnote reference"/>
    <w:autoRedefine/>
    <w:qFormat/>
    <w:uiPriority w:val="0"/>
    <w:rPr>
      <w:vertAlign w:val="superscript"/>
    </w:rPr>
  </w:style>
  <w:style w:type="character" w:customStyle="1" w:styleId="37">
    <w:name w:val="副标题 字符"/>
    <w:link w:val="21"/>
    <w:autoRedefine/>
    <w:qFormat/>
    <w:uiPriority w:val="0"/>
    <w:rPr>
      <w:rFonts w:ascii="Cambria" w:hAnsi="Cambria" w:eastAsia="宋体" w:cs="Times New Roman"/>
      <w:b/>
      <w:bCs/>
      <w:kern w:val="28"/>
      <w:sz w:val="32"/>
      <w:szCs w:val="32"/>
    </w:rPr>
  </w:style>
  <w:style w:type="character" w:customStyle="1" w:styleId="38">
    <w:name w:val="日期 字符"/>
    <w:link w:val="14"/>
    <w:autoRedefine/>
    <w:qFormat/>
    <w:uiPriority w:val="0"/>
    <w:rPr>
      <w:rFonts w:ascii="Times New Roman" w:hAnsi="Times New Roman" w:eastAsia="宋体" w:cs="Times New Roman"/>
      <w:sz w:val="28"/>
      <w:szCs w:val="24"/>
    </w:rPr>
  </w:style>
  <w:style w:type="character" w:customStyle="1" w:styleId="39">
    <w:name w:val="脚注文本 字符"/>
    <w:link w:val="22"/>
    <w:autoRedefine/>
    <w:qFormat/>
    <w:uiPriority w:val="0"/>
    <w:rPr>
      <w:rFonts w:ascii="Times New Roman" w:hAnsi="Times New Roman" w:eastAsia="宋体" w:cs="Times New Roman"/>
      <w:sz w:val="18"/>
      <w:szCs w:val="18"/>
    </w:rPr>
  </w:style>
  <w:style w:type="character" w:customStyle="1" w:styleId="40">
    <w:name w:val="批注框文本 字符"/>
    <w:link w:val="9"/>
    <w:autoRedefine/>
    <w:semiHidden/>
    <w:qFormat/>
    <w:uiPriority w:val="0"/>
    <w:rPr>
      <w:rFonts w:ascii="Times New Roman" w:hAnsi="Times New Roman"/>
      <w:kern w:val="2"/>
      <w:sz w:val="28"/>
      <w:szCs w:val="18"/>
    </w:rPr>
  </w:style>
  <w:style w:type="character" w:customStyle="1" w:styleId="41">
    <w:name w:val="纯文本 字符"/>
    <w:link w:val="13"/>
    <w:autoRedefine/>
    <w:qFormat/>
    <w:uiPriority w:val="0"/>
    <w:rPr>
      <w:rFonts w:ascii="宋体" w:hAnsi="Courier New" w:eastAsia="宋体"/>
      <w:szCs w:val="24"/>
    </w:rPr>
  </w:style>
  <w:style w:type="character" w:customStyle="1" w:styleId="42">
    <w:name w:val="列出段落 Char"/>
    <w:link w:val="43"/>
    <w:autoRedefine/>
    <w:qFormat/>
    <w:locked/>
    <w:uiPriority w:val="99"/>
    <w:rPr>
      <w:rFonts w:ascii="Times New Roman" w:hAnsi="Times New Roman"/>
      <w:kern w:val="2"/>
      <w:sz w:val="21"/>
      <w:szCs w:val="24"/>
    </w:rPr>
  </w:style>
  <w:style w:type="paragraph" w:customStyle="1" w:styleId="43">
    <w:name w:val="列出段落2"/>
    <w:basedOn w:val="1"/>
    <w:link w:val="42"/>
    <w:autoRedefine/>
    <w:qFormat/>
    <w:uiPriority w:val="99"/>
    <w:pPr>
      <w:ind w:firstLine="420" w:firstLineChars="200"/>
    </w:pPr>
  </w:style>
  <w:style w:type="character" w:customStyle="1" w:styleId="44">
    <w:name w:val="纯文本 Char1"/>
    <w:autoRedefine/>
    <w:semiHidden/>
    <w:qFormat/>
    <w:uiPriority w:val="99"/>
    <w:rPr>
      <w:rFonts w:ascii="宋体" w:hAnsi="Courier New" w:eastAsia="宋体" w:cs="Courier New"/>
      <w:szCs w:val="21"/>
    </w:rPr>
  </w:style>
  <w:style w:type="character" w:customStyle="1" w:styleId="45">
    <w:name w:val="正文文本缩进 3 字符"/>
    <w:link w:val="23"/>
    <w:autoRedefine/>
    <w:qFormat/>
    <w:uiPriority w:val="0"/>
    <w:rPr>
      <w:rFonts w:ascii="宋体" w:hAnsi="Times New Roman" w:eastAsia="宋体" w:cs="Times New Roman"/>
      <w:sz w:val="28"/>
      <w:szCs w:val="20"/>
    </w:rPr>
  </w:style>
  <w:style w:type="character" w:customStyle="1" w:styleId="46">
    <w:name w:val="正文缩进 字符"/>
    <w:link w:val="6"/>
    <w:autoRedefine/>
    <w:qFormat/>
    <w:uiPriority w:val="0"/>
    <w:rPr>
      <w:rFonts w:eastAsia="宋体"/>
    </w:rPr>
  </w:style>
  <w:style w:type="character" w:customStyle="1" w:styleId="47">
    <w:name w:val="标题 2 字符"/>
    <w:link w:val="3"/>
    <w:autoRedefine/>
    <w:qFormat/>
    <w:uiPriority w:val="0"/>
    <w:rPr>
      <w:rFonts w:ascii="Arial" w:hAnsi="Arial" w:eastAsia="宋体" w:cs="Times New Roman"/>
      <w:b/>
      <w:bCs/>
      <w:sz w:val="28"/>
      <w:szCs w:val="32"/>
    </w:rPr>
  </w:style>
  <w:style w:type="character" w:customStyle="1" w:styleId="48">
    <w:name w:val="页眉1 Char"/>
    <w:link w:val="49"/>
    <w:autoRedefine/>
    <w:qFormat/>
    <w:uiPriority w:val="0"/>
    <w:rPr>
      <w:sz w:val="18"/>
      <w:szCs w:val="18"/>
    </w:rPr>
  </w:style>
  <w:style w:type="paragraph" w:customStyle="1" w:styleId="49">
    <w:name w:val="页眉1"/>
    <w:basedOn w:val="17"/>
    <w:link w:val="48"/>
    <w:autoRedefine/>
    <w:qFormat/>
    <w:uiPriority w:val="0"/>
    <w:pPr>
      <w:pBdr>
        <w:bottom w:val="none" w:color="auto" w:sz="0" w:space="0"/>
      </w:pBdr>
      <w:jc w:val="both"/>
    </w:pPr>
  </w:style>
  <w:style w:type="character" w:customStyle="1" w:styleId="50">
    <w:name w:val="页眉 字符"/>
    <w:link w:val="17"/>
    <w:autoRedefine/>
    <w:qFormat/>
    <w:uiPriority w:val="0"/>
    <w:rPr>
      <w:sz w:val="18"/>
      <w:szCs w:val="18"/>
    </w:rPr>
  </w:style>
  <w:style w:type="character" w:customStyle="1" w:styleId="51">
    <w:name w:val="标题 3 字符"/>
    <w:link w:val="4"/>
    <w:autoRedefine/>
    <w:qFormat/>
    <w:uiPriority w:val="0"/>
    <w:rPr>
      <w:rFonts w:ascii="Times New Roman" w:hAnsi="Times New Roman" w:eastAsia="宋体" w:cs="Times New Roman"/>
      <w:b/>
      <w:bCs/>
      <w:sz w:val="24"/>
      <w:szCs w:val="32"/>
    </w:rPr>
  </w:style>
  <w:style w:type="character" w:customStyle="1" w:styleId="52">
    <w:name w:val="h2"/>
    <w:autoRedefine/>
    <w:qFormat/>
    <w:uiPriority w:val="0"/>
    <w:rPr>
      <w:color w:val="000000"/>
      <w:sz w:val="24"/>
      <w:szCs w:val="24"/>
    </w:rPr>
  </w:style>
  <w:style w:type="character" w:customStyle="1" w:styleId="53">
    <w:name w:val="unnamed1"/>
    <w:basedOn w:val="29"/>
    <w:autoRedefine/>
    <w:qFormat/>
    <w:uiPriority w:val="0"/>
  </w:style>
  <w:style w:type="character" w:customStyle="1" w:styleId="54">
    <w:name w:val="正文文本缩进 字符"/>
    <w:link w:val="10"/>
    <w:autoRedefine/>
    <w:qFormat/>
    <w:uiPriority w:val="0"/>
    <w:rPr>
      <w:rFonts w:ascii="宋体" w:hAnsi="宋体" w:eastAsia="宋体" w:cs="Times New Roman"/>
      <w:sz w:val="24"/>
      <w:szCs w:val="24"/>
    </w:rPr>
  </w:style>
  <w:style w:type="character" w:customStyle="1" w:styleId="55">
    <w:name w:val="页脚 字符"/>
    <w:link w:val="16"/>
    <w:autoRedefine/>
    <w:qFormat/>
    <w:uiPriority w:val="0"/>
    <w:rPr>
      <w:rFonts w:ascii="Times New Roman" w:hAnsi="Times New Roman" w:eastAsia="宋体" w:cs="Times New Roman"/>
      <w:sz w:val="18"/>
      <w:szCs w:val="18"/>
    </w:rPr>
  </w:style>
  <w:style w:type="character" w:customStyle="1" w:styleId="56">
    <w:name w:val="标题 4 字符"/>
    <w:link w:val="5"/>
    <w:autoRedefine/>
    <w:semiHidden/>
    <w:qFormat/>
    <w:uiPriority w:val="9"/>
    <w:rPr>
      <w:rFonts w:ascii="Cambria" w:hAnsi="Cambria" w:eastAsia="宋体" w:cs="Times New Roman"/>
      <w:b/>
      <w:bCs/>
      <w:sz w:val="28"/>
      <w:szCs w:val="28"/>
    </w:rPr>
  </w:style>
  <w:style w:type="character" w:customStyle="1" w:styleId="57">
    <w:name w:val="font101"/>
    <w:autoRedefine/>
    <w:qFormat/>
    <w:uiPriority w:val="0"/>
    <w:rPr>
      <w:rFonts w:hint="eastAsia" w:ascii="黑体" w:hAnsi="宋体" w:eastAsia="黑体" w:cs="黑体"/>
      <w:color w:val="000000"/>
      <w:sz w:val="20"/>
      <w:szCs w:val="20"/>
      <w:u w:val="none"/>
    </w:rPr>
  </w:style>
  <w:style w:type="character" w:customStyle="1" w:styleId="58">
    <w:name w:val="标题 1 字符"/>
    <w:link w:val="2"/>
    <w:autoRedefine/>
    <w:qFormat/>
    <w:uiPriority w:val="0"/>
    <w:rPr>
      <w:rFonts w:ascii="Times New Roman" w:hAnsi="Times New Roman" w:eastAsia="宋体" w:cs="Times New Roman"/>
      <w:b/>
      <w:bCs/>
      <w:kern w:val="44"/>
      <w:sz w:val="44"/>
      <w:szCs w:val="44"/>
    </w:rPr>
  </w:style>
  <w:style w:type="character" w:customStyle="1" w:styleId="59">
    <w:name w:val="正文文本缩进 2 字符"/>
    <w:link w:val="15"/>
    <w:autoRedefine/>
    <w:qFormat/>
    <w:uiPriority w:val="0"/>
    <w:rPr>
      <w:rFonts w:ascii="宋体" w:hAnsi="宋体" w:eastAsia="宋体" w:cs="Times New Roman"/>
      <w:color w:val="000000"/>
      <w:sz w:val="24"/>
      <w:szCs w:val="24"/>
    </w:rPr>
  </w:style>
  <w:style w:type="character" w:customStyle="1" w:styleId="60">
    <w:name w:val="font61"/>
    <w:autoRedefine/>
    <w:qFormat/>
    <w:uiPriority w:val="0"/>
    <w:rPr>
      <w:rFonts w:hint="eastAsia" w:ascii="宋体" w:hAnsi="宋体" w:eastAsia="宋体" w:cs="宋体"/>
      <w:color w:val="000000"/>
      <w:sz w:val="20"/>
      <w:szCs w:val="20"/>
      <w:u w:val="none"/>
    </w:rPr>
  </w:style>
  <w:style w:type="character" w:customStyle="1" w:styleId="61">
    <w:name w:val="文档结构图 字符"/>
    <w:link w:val="7"/>
    <w:autoRedefine/>
    <w:semiHidden/>
    <w:qFormat/>
    <w:uiPriority w:val="0"/>
    <w:rPr>
      <w:rFonts w:ascii="Times New Roman" w:hAnsi="Times New Roman" w:eastAsia="宋体" w:cs="Times New Roman"/>
      <w:szCs w:val="24"/>
      <w:shd w:val="clear" w:color="auto" w:fill="000080"/>
    </w:rPr>
  </w:style>
  <w:style w:type="character" w:customStyle="1" w:styleId="62">
    <w:name w:val="批注主题 字符"/>
    <w:link w:val="26"/>
    <w:autoRedefine/>
    <w:semiHidden/>
    <w:qFormat/>
    <w:uiPriority w:val="0"/>
    <w:rPr>
      <w:rFonts w:ascii="Times New Roman" w:hAnsi="Times New Roman" w:eastAsia="宋体" w:cs="Times New Roman"/>
      <w:b/>
      <w:bCs/>
      <w:szCs w:val="24"/>
    </w:rPr>
  </w:style>
  <w:style w:type="character" w:customStyle="1" w:styleId="63">
    <w:name w:val="页眉 Char1"/>
    <w:autoRedefine/>
    <w:semiHidden/>
    <w:qFormat/>
    <w:uiPriority w:val="99"/>
    <w:rPr>
      <w:rFonts w:ascii="Times New Roman" w:hAnsi="Times New Roman" w:eastAsia="宋体" w:cs="Times New Roman"/>
      <w:sz w:val="18"/>
      <w:szCs w:val="18"/>
    </w:rPr>
  </w:style>
  <w:style w:type="character" w:customStyle="1" w:styleId="64">
    <w:name w:val="批注文字 字符"/>
    <w:link w:val="8"/>
    <w:autoRedefine/>
    <w:qFormat/>
    <w:uiPriority w:val="0"/>
    <w:rPr>
      <w:rFonts w:ascii="Times New Roman" w:hAnsi="Times New Roman"/>
      <w:kern w:val="2"/>
      <w:sz w:val="24"/>
      <w:szCs w:val="24"/>
    </w:rPr>
  </w:style>
  <w:style w:type="character" w:customStyle="1" w:styleId="65">
    <w:name w:val="apple-converted-space"/>
    <w:autoRedefine/>
    <w:qFormat/>
    <w:uiPriority w:val="99"/>
    <w:rPr>
      <w:rFonts w:cs="Times New Roman"/>
    </w:rPr>
  </w:style>
  <w:style w:type="paragraph" w:customStyle="1" w:styleId="66">
    <w:name w:val="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autoRedefine/>
    <w:qFormat/>
    <w:uiPriority w:val="0"/>
    <w:rPr>
      <w:rFonts w:ascii="宋体" w:hAnsi="宋体"/>
      <w:b/>
      <w:sz w:val="28"/>
      <w:szCs w:val="28"/>
    </w:rPr>
  </w:style>
  <w:style w:type="paragraph" w:customStyle="1" w:styleId="68">
    <w:name w:val="Char Char Char Char"/>
    <w:basedOn w:val="1"/>
    <w:autoRedefine/>
    <w:qFormat/>
    <w:uiPriority w:val="0"/>
    <w:rPr>
      <w:szCs w:val="20"/>
    </w:rPr>
  </w:style>
  <w:style w:type="paragraph" w:customStyle="1" w:styleId="69">
    <w:name w:val="1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autoRedefine/>
    <w:qFormat/>
    <w:uiPriority w:val="0"/>
    <w:pPr>
      <w:ind w:firstLine="420" w:firstLineChars="200"/>
    </w:pPr>
    <w:rPr>
      <w:rFonts w:ascii="Calibri" w:hAnsi="Calibri"/>
      <w:szCs w:val="21"/>
    </w:rPr>
  </w:style>
  <w:style w:type="paragraph" w:customStyle="1" w:styleId="75">
    <w:name w:val="样式3"/>
    <w:basedOn w:val="1"/>
    <w:autoRedefine/>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autoRedefine/>
    <w:qFormat/>
    <w:uiPriority w:val="0"/>
    <w:pPr>
      <w:ind w:left="420" w:hanging="420"/>
    </w:pPr>
    <w:rPr>
      <w:sz w:val="24"/>
    </w:rPr>
  </w:style>
  <w:style w:type="paragraph" w:customStyle="1" w:styleId="77">
    <w:name w:val="_Style 1"/>
    <w:basedOn w:val="1"/>
    <w:autoRedefine/>
    <w:qFormat/>
    <w:uiPriority w:val="99"/>
    <w:pPr>
      <w:ind w:firstLine="420" w:firstLineChars="200"/>
    </w:pPr>
  </w:style>
  <w:style w:type="paragraph" w:customStyle="1" w:styleId="78">
    <w:name w:val="样式2"/>
    <w:basedOn w:val="1"/>
    <w:autoRedefine/>
    <w:qFormat/>
    <w:uiPriority w:val="0"/>
    <w:rPr>
      <w:b/>
      <w:sz w:val="24"/>
    </w:rPr>
  </w:style>
  <w:style w:type="paragraph" w:customStyle="1" w:styleId="79">
    <w:name w:val="_Style 78"/>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autoRedefine/>
    <w:qFormat/>
    <w:uiPriority w:val="0"/>
    <w:pPr>
      <w:tabs>
        <w:tab w:val="left" w:pos="0"/>
      </w:tabs>
      <w:ind w:left="964" w:hanging="964"/>
    </w:pPr>
    <w:rPr>
      <w:sz w:val="24"/>
    </w:rPr>
  </w:style>
  <w:style w:type="paragraph" w:styleId="83">
    <w:name w:val="List Paragraph"/>
    <w:basedOn w:val="1"/>
    <w:autoRedefine/>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autoRedefine/>
    <w:qFormat/>
    <w:uiPriority w:val="0"/>
    <w:pPr>
      <w:widowControl/>
      <w:spacing w:line="360" w:lineRule="auto"/>
      <w:ind w:firstLine="480" w:firstLineChars="200"/>
      <w:jc w:val="left"/>
    </w:pPr>
    <w:rPr>
      <w:kern w:val="0"/>
      <w:sz w:val="24"/>
      <w:szCs w:val="20"/>
    </w:rPr>
  </w:style>
  <w:style w:type="paragraph" w:customStyle="1" w:styleId="88">
    <w:name w:val="列表段落1"/>
    <w:basedOn w:val="1"/>
    <w:autoRedefine/>
    <w:qFormat/>
    <w:uiPriority w:val="0"/>
    <w:pPr>
      <w:ind w:firstLine="420" w:firstLineChars="200"/>
    </w:pPr>
    <w:rPr>
      <w:rFonts w:ascii="Calibri" w:hAnsi="Calibri"/>
      <w:szCs w:val="21"/>
    </w:rPr>
  </w:style>
  <w:style w:type="paragraph" w:customStyle="1" w:styleId="89">
    <w:name w:val="正文_0_1"/>
    <w:basedOn w:val="1"/>
    <w:autoRedefine/>
    <w:qFormat/>
    <w:uiPriority w:val="0"/>
    <w:pPr>
      <w:spacing w:line="360" w:lineRule="auto"/>
    </w:pPr>
    <w:rPr>
      <w:rFonts w:ascii="Calibri" w:hAnsi="Calibri" w:eastAsia="仿宋" w:cs="宋体"/>
      <w:sz w:val="28"/>
      <w:szCs w:val="28"/>
    </w:rPr>
  </w:style>
  <w:style w:type="paragraph" w:customStyle="1" w:styleId="90">
    <w:name w:val="￥正文"/>
    <w:basedOn w:val="1"/>
    <w:autoRedefine/>
    <w:qFormat/>
    <w:uiPriority w:val="0"/>
    <w:pPr>
      <w:spacing w:line="360" w:lineRule="auto"/>
    </w:pPr>
    <w:rPr>
      <w:rFonts w:ascii="Calibri" w:hAnsi="Calibri"/>
      <w:kern w:val="0"/>
      <w:sz w:val="24"/>
      <w:szCs w:val="20"/>
    </w:rPr>
  </w:style>
  <w:style w:type="paragraph" w:customStyle="1" w:styleId="9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autoRedefine/>
    <w:qFormat/>
    <w:locked/>
    <w:uiPriority w:val="0"/>
    <w:rPr>
      <w:rFonts w:ascii="Times New Roman" w:hAnsi="Times New Roman"/>
      <w:snapToGrid w:val="0"/>
      <w:spacing w:val="20"/>
      <w:sz w:val="24"/>
    </w:rPr>
  </w:style>
  <w:style w:type="paragraph" w:customStyle="1" w:styleId="93">
    <w:name w:val="目次、索引正文"/>
    <w:autoRedefine/>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autoRedefine/>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autoRedefine/>
    <w:qFormat/>
    <w:locked/>
    <w:uiPriority w:val="99"/>
    <w:rPr>
      <w:kern w:val="0"/>
      <w:sz w:val="20"/>
      <w:szCs w:val="20"/>
    </w:rPr>
  </w:style>
  <w:style w:type="paragraph" w:customStyle="1" w:styleId="98">
    <w:name w:val="_正文段落"/>
    <w:basedOn w:val="1"/>
    <w:link w:val="99"/>
    <w:autoRedefine/>
    <w:qFormat/>
    <w:uiPriority w:val="0"/>
    <w:pPr>
      <w:spacing w:beforeLines="15" w:afterLines="15" w:line="360" w:lineRule="auto"/>
      <w:ind w:firstLine="200" w:firstLineChars="200"/>
    </w:pPr>
    <w:rPr>
      <w:sz w:val="24"/>
    </w:rPr>
  </w:style>
  <w:style w:type="character" w:customStyle="1" w:styleId="99">
    <w:name w:val="_正文段落 Char"/>
    <w:link w:val="98"/>
    <w:autoRedefine/>
    <w:qFormat/>
    <w:uiPriority w:val="0"/>
    <w:rPr>
      <w:rFonts w:ascii="Times New Roman" w:hAnsi="Times New Roman"/>
      <w:kern w:val="2"/>
      <w:sz w:val="24"/>
      <w:szCs w:val="24"/>
    </w:rPr>
  </w:style>
  <w:style w:type="paragraph" w:customStyle="1" w:styleId="100">
    <w:name w:val="[CMM]正文"/>
    <w:basedOn w:val="1"/>
    <w:autoRedefine/>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29</Pages>
  <Words>8402</Words>
  <Characters>8708</Characters>
  <Lines>73</Lines>
  <Paragraphs>20</Paragraphs>
  <TotalTime>10</TotalTime>
  <ScaleCrop>false</ScaleCrop>
  <LinksUpToDate>false</LinksUpToDate>
  <CharactersWithSpaces>9273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2019-10-13T02:43:00Z</dcterms:created>
  <dc:creator>招投标中心</dc:creator>
  <cp:lastModifiedBy>吴薇</cp:lastModifiedBy>
  <cp:lastPrinted>2022-01-24T10:35:00Z</cp:lastPrinted>
  <dcterms:modified xsi:type="dcterms:W3CDTF">2024-06-14T00:46:50Z</dcterms:modified>
  <cp:revision>947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8D111428580D435FACD163854EA40711_13</vt:lpwstr>
  </property>
</Properties>
</file>