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440001-2026-03440</w:t>
      </w:r>
    </w:p>
    <w:p>
      <w:pPr>
        <w:pStyle w:val="null3"/>
        <w:jc w:val="center"/>
        <w:outlineLvl w:val="3"/>
      </w:pPr>
      <w:r>
        <w:rPr>
          <w:sz w:val="24"/>
          <w:b/>
        </w:rPr>
        <w:t>采购项目编号：</w:t>
      </w:r>
      <w:r>
        <w:rPr>
          <w:sz w:val="24"/>
          <w:b/>
        </w:rPr>
        <w:t>GPCGD251156HG438F</w:t>
      </w:r>
    </w:p>
    <w:p>
      <w:pPr>
        <w:pStyle w:val="null3"/>
        <w:jc w:val="center"/>
        <w:outlineLvl w:val="3"/>
      </w:pPr>
      <w:r>
        <w:rPr>
          <w:sz w:val="24"/>
          <w:b/>
        </w:rPr>
        <w:t>项目名称：</w:t>
      </w:r>
      <w:r>
        <w:rPr>
          <w:sz w:val="24"/>
          <w:b/>
        </w:rPr>
        <w:t>广东财经大学教学科研重大设备更新项目</w:t>
      </w:r>
    </w:p>
    <w:p>
      <w:pPr>
        <w:pStyle w:val="null3"/>
        <w:jc w:val="center"/>
        <w:outlineLvl w:val="3"/>
      </w:pPr>
      <w:r>
        <w:rPr>
          <w:sz w:val="24"/>
          <w:b/>
        </w:rPr>
        <w:t>采购人：</w:t>
      </w:r>
      <w:r>
        <w:rPr>
          <w:sz w:val="24"/>
          <w:b/>
        </w:rPr>
        <w:t>广东财经大学</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广东财经大学</w:t>
      </w:r>
      <w:r>
        <w:rPr/>
        <w:t>的委托，采用</w:t>
      </w:r>
      <w:r>
        <w:rPr/>
        <w:t>公开招标</w:t>
      </w:r>
      <w:r>
        <w:rPr/>
        <w:t>方式组织采购</w:t>
      </w:r>
      <w:r>
        <w:rPr/>
        <w:t>广东财经大学教学科研重大设备更新项目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广东财经大学教学科研重大设备更新项目</w:t>
      </w:r>
    </w:p>
    <w:p>
      <w:pPr>
        <w:pStyle w:val="null3"/>
        <w:ind w:firstLine="480"/>
      </w:pPr>
      <w:r>
        <w:rPr/>
        <w:t>采购计划编号：</w:t>
      </w:r>
      <w:r>
        <w:rPr/>
        <w:t>440001-2026-03440</w:t>
      </w:r>
    </w:p>
    <w:p>
      <w:pPr>
        <w:pStyle w:val="null3"/>
        <w:ind w:firstLine="480"/>
      </w:pPr>
      <w:r>
        <w:rPr/>
        <w:t>采购项目编号：</w:t>
      </w:r>
      <w:r>
        <w:rPr/>
        <w:t>GPCGD251156HG438F</w:t>
      </w:r>
    </w:p>
    <w:p>
      <w:pPr>
        <w:pStyle w:val="null3"/>
        <w:ind w:firstLine="480"/>
      </w:pPr>
      <w:r>
        <w:rPr/>
        <w:t>采购方式：</w:t>
      </w:r>
      <w:r>
        <w:rPr/>
        <w:t>公开招标</w:t>
      </w:r>
    </w:p>
    <w:p>
      <w:pPr>
        <w:pStyle w:val="null3"/>
        <w:ind w:firstLine="480"/>
      </w:pPr>
      <w:r>
        <w:rPr/>
        <w:t>预算金额：</w:t>
      </w:r>
      <w:r>
        <w:rPr/>
        <w:t>13,440,000.00</w:t>
      </w:r>
      <w:r>
        <w:rPr/>
        <w:t>元</w:t>
      </w:r>
    </w:p>
    <w:p>
      <w:pPr>
        <w:pStyle w:val="null3"/>
        <w:outlineLvl w:val="3"/>
      </w:pPr>
      <w:r>
        <w:rPr>
          <w:sz w:val="24"/>
          <w:b/>
        </w:rPr>
        <w:t>2.项目内容及需求情况（采购项目技术规格、参数及要求）</w:t>
      </w:r>
    </w:p>
    <w:p>
      <w:pPr>
        <w:pStyle w:val="null3"/>
      </w:pPr>
      <w:r>
        <w:rPr/>
        <w:t>采购包1(广东财经大学教学科研重大设备更新项目):</w:t>
      </w:r>
    </w:p>
    <w:p>
      <w:pPr>
        <w:pStyle w:val="null3"/>
      </w:pPr>
      <w:r>
        <w:rPr/>
        <w:t>采购包预算金额：13,440,000.00元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服务器</w:t>
            </w:r>
          </w:p>
        </w:tc>
        <w:tc>
          <w:tcPr>
            <w:tcW w:type="dxa" w:w="2136"/>
          </w:tcPr>
          <w:p>
            <w:pPr>
              <w:pStyle w:val="null3"/>
            </w:pPr>
            <w:r>
              <w:rPr/>
              <w:t>GPU服务器</w:t>
            </w:r>
          </w:p>
        </w:tc>
        <w:tc>
          <w:tcPr>
            <w:tcW w:type="dxa" w:w="1187"/>
          </w:tcPr>
          <w:p>
            <w:pPr>
              <w:pStyle w:val="null3"/>
            </w:pPr>
            <w:r>
              <w:rPr/>
              <w:t>2.00(台)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网络存储设备</w:t>
            </w:r>
          </w:p>
        </w:tc>
        <w:tc>
          <w:tcPr>
            <w:tcW w:type="dxa" w:w="2136"/>
          </w:tcPr>
          <w:p>
            <w:pPr>
              <w:pStyle w:val="null3"/>
            </w:pPr>
            <w:r>
              <w:rPr/>
              <w:t>存储系统</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服务器</w:t>
            </w:r>
          </w:p>
        </w:tc>
        <w:tc>
          <w:tcPr>
            <w:tcW w:type="dxa" w:w="2136"/>
          </w:tcPr>
          <w:p>
            <w:pPr>
              <w:pStyle w:val="null3"/>
            </w:pPr>
            <w:r>
              <w:rPr/>
              <w:t>调度软件管理机</w:t>
            </w:r>
          </w:p>
        </w:tc>
        <w:tc>
          <w:tcPr>
            <w:tcW w:type="dxa" w:w="1187"/>
          </w:tcPr>
          <w:p>
            <w:pPr>
              <w:pStyle w:val="null3"/>
            </w:pPr>
            <w:r>
              <w:rPr/>
              <w:t>3.00(台)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支撑软件</w:t>
            </w:r>
          </w:p>
        </w:tc>
        <w:tc>
          <w:tcPr>
            <w:tcW w:type="dxa" w:w="2136"/>
          </w:tcPr>
          <w:p>
            <w:pPr>
              <w:pStyle w:val="null3"/>
            </w:pPr>
            <w:r>
              <w:rPr/>
              <w:t>AI调度平台</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服务器</w:t>
            </w:r>
          </w:p>
        </w:tc>
        <w:tc>
          <w:tcPr>
            <w:tcW w:type="dxa" w:w="2136"/>
          </w:tcPr>
          <w:p>
            <w:pPr>
              <w:pStyle w:val="null3"/>
            </w:pPr>
            <w:r>
              <w:rPr/>
              <w:t>调度软件登录机</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交换设备</w:t>
            </w:r>
          </w:p>
        </w:tc>
        <w:tc>
          <w:tcPr>
            <w:tcW w:type="dxa" w:w="2136"/>
          </w:tcPr>
          <w:p>
            <w:pPr>
              <w:pStyle w:val="null3"/>
            </w:pPr>
            <w:r>
              <w:rPr/>
              <w:t>200G ROCE高速网络</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交换设备</w:t>
            </w:r>
          </w:p>
        </w:tc>
        <w:tc>
          <w:tcPr>
            <w:tcW w:type="dxa" w:w="2136"/>
          </w:tcPr>
          <w:p>
            <w:pPr>
              <w:pStyle w:val="null3"/>
            </w:pPr>
            <w:r>
              <w:rPr/>
              <w:t>25G交换机</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服务器</w:t>
            </w:r>
          </w:p>
        </w:tc>
        <w:tc>
          <w:tcPr>
            <w:tcW w:type="dxa" w:w="2136"/>
          </w:tcPr>
          <w:p>
            <w:pPr>
              <w:pStyle w:val="null3"/>
            </w:pPr>
            <w:r>
              <w:rPr/>
              <w:t>登录管理服务器</w:t>
            </w:r>
          </w:p>
        </w:tc>
        <w:tc>
          <w:tcPr>
            <w:tcW w:type="dxa" w:w="1187"/>
          </w:tcPr>
          <w:p>
            <w:pPr>
              <w:pStyle w:val="null3"/>
            </w:pPr>
            <w:r>
              <w:rPr/>
              <w:t>10.00(台)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服务器</w:t>
            </w:r>
          </w:p>
        </w:tc>
        <w:tc>
          <w:tcPr>
            <w:tcW w:type="dxa" w:w="2136"/>
          </w:tcPr>
          <w:p>
            <w:pPr>
              <w:pStyle w:val="null3"/>
            </w:pPr>
            <w:r>
              <w:rPr/>
              <w:t>机箱</w:t>
            </w:r>
          </w:p>
        </w:tc>
        <w:tc>
          <w:tcPr>
            <w:tcW w:type="dxa" w:w="1187"/>
          </w:tcPr>
          <w:p>
            <w:pPr>
              <w:pStyle w:val="null3"/>
            </w:pPr>
            <w:r>
              <w:rPr/>
              <w:t>10.00(个)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服务器</w:t>
            </w:r>
          </w:p>
        </w:tc>
        <w:tc>
          <w:tcPr>
            <w:tcW w:type="dxa" w:w="2136"/>
          </w:tcPr>
          <w:p>
            <w:pPr>
              <w:pStyle w:val="null3"/>
            </w:pPr>
            <w:r>
              <w:rPr/>
              <w:t>高密度服务器</w:t>
            </w:r>
          </w:p>
        </w:tc>
        <w:tc>
          <w:tcPr>
            <w:tcW w:type="dxa" w:w="1187"/>
          </w:tcPr>
          <w:p>
            <w:pPr>
              <w:pStyle w:val="null3"/>
            </w:pPr>
            <w:r>
              <w:rPr/>
              <w:t>10.00(台)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支撑软件</w:t>
            </w:r>
          </w:p>
        </w:tc>
        <w:tc>
          <w:tcPr>
            <w:tcW w:type="dxa" w:w="2136"/>
          </w:tcPr>
          <w:p>
            <w:pPr>
              <w:pStyle w:val="null3"/>
            </w:pPr>
            <w:r>
              <w:rPr/>
              <w:t>超融合平台授权</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服务器</w:t>
            </w:r>
          </w:p>
        </w:tc>
        <w:tc>
          <w:tcPr>
            <w:tcW w:type="dxa" w:w="2136"/>
          </w:tcPr>
          <w:p>
            <w:pPr>
              <w:pStyle w:val="null3"/>
            </w:pPr>
            <w:r>
              <w:rPr/>
              <w:t>图形处理服务器1</w:t>
            </w:r>
          </w:p>
        </w:tc>
        <w:tc>
          <w:tcPr>
            <w:tcW w:type="dxa" w:w="1187"/>
          </w:tcPr>
          <w:p>
            <w:pPr>
              <w:pStyle w:val="null3"/>
            </w:pPr>
            <w:r>
              <w:rPr/>
              <w:t>2.00(台)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服务器</w:t>
            </w:r>
          </w:p>
        </w:tc>
        <w:tc>
          <w:tcPr>
            <w:tcW w:type="dxa" w:w="2136"/>
          </w:tcPr>
          <w:p>
            <w:pPr>
              <w:pStyle w:val="null3"/>
            </w:pPr>
            <w:r>
              <w:rPr/>
              <w:t>图形处理服务器2</w:t>
            </w:r>
          </w:p>
        </w:tc>
        <w:tc>
          <w:tcPr>
            <w:tcW w:type="dxa" w:w="1187"/>
          </w:tcPr>
          <w:p>
            <w:pPr>
              <w:pStyle w:val="null3"/>
            </w:pPr>
            <w:r>
              <w:rPr/>
              <w:t>8.00(台)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服务器</w:t>
            </w:r>
          </w:p>
        </w:tc>
        <w:tc>
          <w:tcPr>
            <w:tcW w:type="dxa" w:w="2136"/>
          </w:tcPr>
          <w:p>
            <w:pPr>
              <w:pStyle w:val="null3"/>
            </w:pPr>
            <w:r>
              <w:rPr/>
              <w:t>四路服务器</w:t>
            </w:r>
          </w:p>
        </w:tc>
        <w:tc>
          <w:tcPr>
            <w:tcW w:type="dxa" w:w="1187"/>
          </w:tcPr>
          <w:p>
            <w:pPr>
              <w:pStyle w:val="null3"/>
            </w:pPr>
            <w:r>
              <w:rPr/>
              <w:t>10.00(台)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网络存储设备</w:t>
            </w:r>
          </w:p>
        </w:tc>
        <w:tc>
          <w:tcPr>
            <w:tcW w:type="dxa" w:w="2136"/>
          </w:tcPr>
          <w:p>
            <w:pPr>
              <w:pStyle w:val="null3"/>
            </w:pPr>
            <w:r>
              <w:rPr/>
              <w:t>备份一体机</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支撑软件</w:t>
            </w:r>
          </w:p>
        </w:tc>
        <w:tc>
          <w:tcPr>
            <w:tcW w:type="dxa" w:w="2136"/>
          </w:tcPr>
          <w:p>
            <w:pPr>
              <w:pStyle w:val="null3"/>
            </w:pPr>
            <w:r>
              <w:rPr/>
              <w:t>存储监控软件</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交换设备</w:t>
            </w:r>
          </w:p>
        </w:tc>
        <w:tc>
          <w:tcPr>
            <w:tcW w:type="dxa" w:w="2136"/>
          </w:tcPr>
          <w:p>
            <w:pPr>
              <w:pStyle w:val="null3"/>
            </w:pPr>
            <w:r>
              <w:rPr/>
              <w:t>IB交换机</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信息化设备零部件</w:t>
            </w:r>
          </w:p>
        </w:tc>
        <w:tc>
          <w:tcPr>
            <w:tcW w:type="dxa" w:w="2136"/>
          </w:tcPr>
          <w:p>
            <w:pPr>
              <w:pStyle w:val="null3"/>
            </w:pPr>
            <w:r>
              <w:rPr/>
              <w:t>IB线缆</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交换设备</w:t>
            </w:r>
          </w:p>
        </w:tc>
        <w:tc>
          <w:tcPr>
            <w:tcW w:type="dxa" w:w="2136"/>
          </w:tcPr>
          <w:p>
            <w:pPr>
              <w:pStyle w:val="null3"/>
            </w:pPr>
            <w:r>
              <w:rPr/>
              <w:t>万兆交换机</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信息化设备零部件</w:t>
            </w:r>
          </w:p>
        </w:tc>
        <w:tc>
          <w:tcPr>
            <w:tcW w:type="dxa" w:w="2136"/>
          </w:tcPr>
          <w:p>
            <w:pPr>
              <w:pStyle w:val="null3"/>
            </w:pPr>
            <w:r>
              <w:rPr/>
              <w:t>万兆光模块</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交换设备</w:t>
            </w:r>
          </w:p>
        </w:tc>
        <w:tc>
          <w:tcPr>
            <w:tcW w:type="dxa" w:w="2136"/>
          </w:tcPr>
          <w:p>
            <w:pPr>
              <w:pStyle w:val="null3"/>
            </w:pPr>
            <w:r>
              <w:rPr/>
              <w:t>千兆交换机</w:t>
            </w:r>
          </w:p>
        </w:tc>
        <w:tc>
          <w:tcPr>
            <w:tcW w:type="dxa" w:w="1187"/>
          </w:tcPr>
          <w:p>
            <w:pPr>
              <w:pStyle w:val="null3"/>
            </w:pPr>
            <w:r>
              <w:rPr/>
              <w:t>1.00(台)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支撑软件</w:t>
            </w:r>
          </w:p>
        </w:tc>
        <w:tc>
          <w:tcPr>
            <w:tcW w:type="dxa" w:w="2136"/>
          </w:tcPr>
          <w:p>
            <w:pPr>
              <w:pStyle w:val="null3"/>
            </w:pPr>
            <w:r>
              <w:rPr/>
              <w:t>高性能集群管理软件</w:t>
            </w:r>
          </w:p>
        </w:tc>
        <w:tc>
          <w:tcPr>
            <w:tcW w:type="dxa" w:w="1187"/>
          </w:tcPr>
          <w:p>
            <w:pPr>
              <w:pStyle w:val="null3"/>
            </w:pPr>
            <w:r>
              <w:rPr/>
              <w:t>1.00(套)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专用制冷空调设备</w:t>
            </w:r>
          </w:p>
        </w:tc>
        <w:tc>
          <w:tcPr>
            <w:tcW w:type="dxa" w:w="2136"/>
          </w:tcPr>
          <w:p>
            <w:pPr>
              <w:pStyle w:val="null3"/>
            </w:pPr>
            <w:r>
              <w:rPr/>
              <w:t>精密空调</w:t>
            </w:r>
          </w:p>
        </w:tc>
        <w:tc>
          <w:tcPr>
            <w:tcW w:type="dxa" w:w="1187"/>
          </w:tcPr>
          <w:p>
            <w:pPr>
              <w:pStyle w:val="null3"/>
            </w:pPr>
            <w:r>
              <w:rPr/>
              <w:t>2.00(台)</w:t>
            </w:r>
          </w:p>
        </w:tc>
        <w:tc>
          <w:tcPr>
            <w:tcW w:type="dxa" w:w="1187"/>
          </w:tcPr>
          <w:p>
            <w:pPr>
              <w:pStyle w:val="null3"/>
            </w:pPr>
            <w:r>
              <w:rPr/>
              <w:t>详见第二章</w:t>
            </w:r>
          </w:p>
        </w:tc>
        <w:tc>
          <w:tcPr>
            <w:tcW w:type="dxa" w:w="1187"/>
          </w:tcPr>
          <w:p>
            <w:pPr>
              <w:pStyle w:val="null3"/>
            </w:pPr>
            <w:r>
              <w:rPr/>
              <w:t>否</w:t>
            </w:r>
          </w:p>
        </w:tc>
      </w:tr>
    </w:tbl>
    <w:p>
      <w:pPr>
        <w:pStyle w:val="null3"/>
      </w:pPr>
      <w:r>
        <w:rPr>
          <w:b/>
        </w:rPr>
        <w:t>本采购包涉及本国产品清单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序号</w:t>
            </w:r>
          </w:p>
        </w:tc>
        <w:tc>
          <w:tcPr>
            <w:tcW w:type="dxa" w:w="2076"/>
          </w:tcPr>
          <w:p>
            <w:pPr>
              <w:pStyle w:val="null3"/>
              <w:jc w:val="center"/>
            </w:pPr>
            <w:r>
              <w:rPr/>
              <w:t>品目名称</w:t>
            </w:r>
          </w:p>
        </w:tc>
        <w:tc>
          <w:tcPr>
            <w:tcW w:type="dxa" w:w="2076"/>
          </w:tcPr>
          <w:p>
            <w:pPr>
              <w:pStyle w:val="null3"/>
              <w:jc w:val="center"/>
            </w:pPr>
            <w:r>
              <w:rPr/>
              <w:t>采购标的</w:t>
            </w:r>
          </w:p>
        </w:tc>
        <w:tc>
          <w:tcPr>
            <w:tcW w:type="dxa" w:w="2076"/>
          </w:tcPr>
          <w:p>
            <w:pPr>
              <w:pStyle w:val="null3"/>
              <w:jc w:val="center"/>
            </w:pPr>
            <w:r>
              <w:rPr/>
              <w:t>产品名称</w:t>
            </w:r>
          </w:p>
        </w:tc>
      </w:tr>
      <w:tr>
        <w:tc>
          <w:tcPr>
            <w:tcW w:type="dxa" w:w="2076"/>
          </w:tcPr>
          <w:p>
            <w:pPr>
              <w:pStyle w:val="null3"/>
              <w:jc w:val="center"/>
            </w:pPr>
            <w:r>
              <w:rPr/>
              <w:t>1</w:t>
            </w:r>
          </w:p>
        </w:tc>
        <w:tc>
          <w:tcPr>
            <w:tcW w:type="dxa" w:w="2076"/>
          </w:tcPr>
          <w:p>
            <w:pPr>
              <w:pStyle w:val="null3"/>
              <w:jc w:val="left"/>
            </w:pPr>
            <w:r>
              <w:rPr/>
              <w:t>服务器</w:t>
            </w:r>
          </w:p>
        </w:tc>
        <w:tc>
          <w:tcPr>
            <w:tcW w:type="dxa" w:w="2076"/>
          </w:tcPr>
          <w:p>
            <w:pPr>
              <w:pStyle w:val="null3"/>
              <w:jc w:val="left"/>
            </w:pPr>
            <w:r>
              <w:rPr/>
              <w:t>GPU服务器</w:t>
            </w:r>
          </w:p>
        </w:tc>
        <w:tc>
          <w:tcPr>
            <w:tcW w:type="dxa" w:w="2076"/>
          </w:tcPr>
          <w:p>
            <w:pPr>
              <w:pStyle w:val="null3"/>
              <w:jc w:val="left"/>
            </w:pPr>
            <w:r>
              <w:rPr/>
              <w:t>GPU服务器</w:t>
            </w:r>
          </w:p>
        </w:tc>
      </w:tr>
      <w:tr>
        <w:tc>
          <w:tcPr>
            <w:tcW w:type="dxa" w:w="2076"/>
          </w:tcPr>
          <w:p>
            <w:pPr>
              <w:pStyle w:val="null3"/>
              <w:jc w:val="center"/>
            </w:pPr>
            <w:r>
              <w:rPr/>
              <w:t>2</w:t>
            </w:r>
          </w:p>
        </w:tc>
        <w:tc>
          <w:tcPr>
            <w:tcW w:type="dxa" w:w="2076"/>
          </w:tcPr>
          <w:p>
            <w:pPr>
              <w:pStyle w:val="null3"/>
              <w:jc w:val="left"/>
            </w:pPr>
            <w:r>
              <w:rPr/>
              <w:t>网络存储设备</w:t>
            </w:r>
          </w:p>
        </w:tc>
        <w:tc>
          <w:tcPr>
            <w:tcW w:type="dxa" w:w="2076"/>
          </w:tcPr>
          <w:p>
            <w:pPr>
              <w:pStyle w:val="null3"/>
              <w:jc w:val="left"/>
            </w:pPr>
            <w:r>
              <w:rPr/>
              <w:t>存储系统</w:t>
            </w:r>
          </w:p>
        </w:tc>
        <w:tc>
          <w:tcPr>
            <w:tcW w:type="dxa" w:w="2076"/>
          </w:tcPr>
          <w:p>
            <w:pPr>
              <w:pStyle w:val="null3"/>
              <w:jc w:val="left"/>
            </w:pPr>
            <w:r>
              <w:rPr/>
              <w:t>存储系统</w:t>
            </w:r>
          </w:p>
        </w:tc>
      </w:tr>
      <w:tr>
        <w:tc>
          <w:tcPr>
            <w:tcW w:type="dxa" w:w="2076"/>
          </w:tcPr>
          <w:p>
            <w:pPr>
              <w:pStyle w:val="null3"/>
              <w:jc w:val="center"/>
            </w:pPr>
            <w:r>
              <w:rPr/>
              <w:t>3</w:t>
            </w:r>
          </w:p>
        </w:tc>
        <w:tc>
          <w:tcPr>
            <w:tcW w:type="dxa" w:w="2076"/>
          </w:tcPr>
          <w:p>
            <w:pPr>
              <w:pStyle w:val="null3"/>
              <w:jc w:val="left"/>
            </w:pPr>
            <w:r>
              <w:rPr/>
              <w:t>服务器</w:t>
            </w:r>
          </w:p>
        </w:tc>
        <w:tc>
          <w:tcPr>
            <w:tcW w:type="dxa" w:w="2076"/>
          </w:tcPr>
          <w:p>
            <w:pPr>
              <w:pStyle w:val="null3"/>
              <w:jc w:val="left"/>
            </w:pPr>
            <w:r>
              <w:rPr/>
              <w:t>调度软件管理机</w:t>
            </w:r>
          </w:p>
        </w:tc>
        <w:tc>
          <w:tcPr>
            <w:tcW w:type="dxa" w:w="2076"/>
          </w:tcPr>
          <w:p>
            <w:pPr>
              <w:pStyle w:val="null3"/>
              <w:jc w:val="left"/>
            </w:pPr>
            <w:r>
              <w:rPr/>
              <w:t>调度软件管理机</w:t>
            </w:r>
          </w:p>
        </w:tc>
      </w:tr>
      <w:tr>
        <w:tc>
          <w:tcPr>
            <w:tcW w:type="dxa" w:w="2076"/>
          </w:tcPr>
          <w:p>
            <w:pPr>
              <w:pStyle w:val="null3"/>
              <w:jc w:val="center"/>
            </w:pPr>
            <w:r>
              <w:rPr/>
              <w:t>4</w:t>
            </w:r>
          </w:p>
        </w:tc>
        <w:tc>
          <w:tcPr>
            <w:tcW w:type="dxa" w:w="2076"/>
          </w:tcPr>
          <w:p>
            <w:pPr>
              <w:pStyle w:val="null3"/>
              <w:jc w:val="left"/>
            </w:pPr>
            <w:r>
              <w:rPr/>
              <w:t>支撑软件</w:t>
            </w:r>
          </w:p>
        </w:tc>
        <w:tc>
          <w:tcPr>
            <w:tcW w:type="dxa" w:w="2076"/>
          </w:tcPr>
          <w:p>
            <w:pPr>
              <w:pStyle w:val="null3"/>
              <w:jc w:val="left"/>
            </w:pPr>
            <w:r>
              <w:rPr/>
              <w:t>AI调度平台</w:t>
            </w:r>
          </w:p>
        </w:tc>
        <w:tc>
          <w:tcPr>
            <w:tcW w:type="dxa" w:w="2076"/>
          </w:tcPr>
          <w:p>
            <w:pPr>
              <w:pStyle w:val="null3"/>
              <w:jc w:val="left"/>
            </w:pPr>
            <w:r>
              <w:rPr/>
              <w:t>AI调度平台</w:t>
            </w:r>
          </w:p>
        </w:tc>
      </w:tr>
      <w:tr>
        <w:tc>
          <w:tcPr>
            <w:tcW w:type="dxa" w:w="2076"/>
          </w:tcPr>
          <w:p>
            <w:pPr>
              <w:pStyle w:val="null3"/>
              <w:jc w:val="center"/>
            </w:pPr>
            <w:r>
              <w:rPr/>
              <w:t>5</w:t>
            </w:r>
          </w:p>
        </w:tc>
        <w:tc>
          <w:tcPr>
            <w:tcW w:type="dxa" w:w="2076"/>
          </w:tcPr>
          <w:p>
            <w:pPr>
              <w:pStyle w:val="null3"/>
              <w:jc w:val="left"/>
            </w:pPr>
            <w:r>
              <w:rPr/>
              <w:t>服务器</w:t>
            </w:r>
          </w:p>
        </w:tc>
        <w:tc>
          <w:tcPr>
            <w:tcW w:type="dxa" w:w="2076"/>
          </w:tcPr>
          <w:p>
            <w:pPr>
              <w:pStyle w:val="null3"/>
              <w:jc w:val="left"/>
            </w:pPr>
            <w:r>
              <w:rPr/>
              <w:t>调度软件登录机</w:t>
            </w:r>
          </w:p>
        </w:tc>
        <w:tc>
          <w:tcPr>
            <w:tcW w:type="dxa" w:w="2076"/>
          </w:tcPr>
          <w:p>
            <w:pPr>
              <w:pStyle w:val="null3"/>
              <w:jc w:val="left"/>
            </w:pPr>
            <w:r>
              <w:rPr/>
              <w:t>调度软件登录机</w:t>
            </w:r>
          </w:p>
        </w:tc>
      </w:tr>
      <w:tr>
        <w:tc>
          <w:tcPr>
            <w:tcW w:type="dxa" w:w="2076"/>
          </w:tcPr>
          <w:p>
            <w:pPr>
              <w:pStyle w:val="null3"/>
              <w:jc w:val="center"/>
            </w:pPr>
            <w:r>
              <w:rPr/>
              <w:t>6</w:t>
            </w:r>
          </w:p>
        </w:tc>
        <w:tc>
          <w:tcPr>
            <w:tcW w:type="dxa" w:w="2076"/>
          </w:tcPr>
          <w:p>
            <w:pPr>
              <w:pStyle w:val="null3"/>
              <w:jc w:val="left"/>
            </w:pPr>
            <w:r>
              <w:rPr/>
              <w:t>交换设备</w:t>
            </w:r>
          </w:p>
        </w:tc>
        <w:tc>
          <w:tcPr>
            <w:tcW w:type="dxa" w:w="2076"/>
          </w:tcPr>
          <w:p>
            <w:pPr>
              <w:pStyle w:val="null3"/>
              <w:jc w:val="left"/>
            </w:pPr>
            <w:r>
              <w:rPr/>
              <w:t>200G ROCE高速网络</w:t>
            </w:r>
          </w:p>
        </w:tc>
        <w:tc>
          <w:tcPr>
            <w:tcW w:type="dxa" w:w="2076"/>
          </w:tcPr>
          <w:p>
            <w:pPr>
              <w:pStyle w:val="null3"/>
              <w:jc w:val="left"/>
            </w:pPr>
            <w:r>
              <w:rPr/>
              <w:t>200G ROCE高速网络</w:t>
            </w:r>
          </w:p>
        </w:tc>
      </w:tr>
      <w:tr>
        <w:tc>
          <w:tcPr>
            <w:tcW w:type="dxa" w:w="2076"/>
          </w:tcPr>
          <w:p>
            <w:pPr>
              <w:pStyle w:val="null3"/>
              <w:jc w:val="center"/>
            </w:pPr>
            <w:r>
              <w:rPr/>
              <w:t>7</w:t>
            </w:r>
          </w:p>
        </w:tc>
        <w:tc>
          <w:tcPr>
            <w:tcW w:type="dxa" w:w="2076"/>
          </w:tcPr>
          <w:p>
            <w:pPr>
              <w:pStyle w:val="null3"/>
              <w:jc w:val="left"/>
            </w:pPr>
            <w:r>
              <w:rPr/>
              <w:t>交换设备</w:t>
            </w:r>
          </w:p>
        </w:tc>
        <w:tc>
          <w:tcPr>
            <w:tcW w:type="dxa" w:w="2076"/>
          </w:tcPr>
          <w:p>
            <w:pPr>
              <w:pStyle w:val="null3"/>
              <w:jc w:val="left"/>
            </w:pPr>
            <w:r>
              <w:rPr/>
              <w:t>25G交换机</w:t>
            </w:r>
          </w:p>
        </w:tc>
        <w:tc>
          <w:tcPr>
            <w:tcW w:type="dxa" w:w="2076"/>
          </w:tcPr>
          <w:p>
            <w:pPr>
              <w:pStyle w:val="null3"/>
              <w:jc w:val="left"/>
            </w:pPr>
            <w:r>
              <w:rPr/>
              <w:t>25G交换机</w:t>
            </w:r>
          </w:p>
        </w:tc>
      </w:tr>
      <w:tr>
        <w:tc>
          <w:tcPr>
            <w:tcW w:type="dxa" w:w="2076"/>
          </w:tcPr>
          <w:p>
            <w:pPr>
              <w:pStyle w:val="null3"/>
              <w:jc w:val="center"/>
            </w:pPr>
            <w:r>
              <w:rPr/>
              <w:t>8</w:t>
            </w:r>
          </w:p>
        </w:tc>
        <w:tc>
          <w:tcPr>
            <w:tcW w:type="dxa" w:w="2076"/>
          </w:tcPr>
          <w:p>
            <w:pPr>
              <w:pStyle w:val="null3"/>
              <w:jc w:val="left"/>
            </w:pPr>
            <w:r>
              <w:rPr/>
              <w:t>服务器</w:t>
            </w:r>
          </w:p>
        </w:tc>
        <w:tc>
          <w:tcPr>
            <w:tcW w:type="dxa" w:w="2076"/>
          </w:tcPr>
          <w:p>
            <w:pPr>
              <w:pStyle w:val="null3"/>
              <w:jc w:val="left"/>
            </w:pPr>
            <w:r>
              <w:rPr/>
              <w:t>登录管理服务器</w:t>
            </w:r>
          </w:p>
        </w:tc>
        <w:tc>
          <w:tcPr>
            <w:tcW w:type="dxa" w:w="2076"/>
          </w:tcPr>
          <w:p>
            <w:pPr>
              <w:pStyle w:val="null3"/>
              <w:jc w:val="left"/>
            </w:pPr>
            <w:r>
              <w:rPr/>
              <w:t>登录管理服务器</w:t>
            </w:r>
          </w:p>
        </w:tc>
      </w:tr>
      <w:tr>
        <w:tc>
          <w:tcPr>
            <w:tcW w:type="dxa" w:w="2076"/>
          </w:tcPr>
          <w:p>
            <w:pPr>
              <w:pStyle w:val="null3"/>
              <w:jc w:val="center"/>
            </w:pPr>
            <w:r>
              <w:rPr/>
              <w:t>9</w:t>
            </w:r>
          </w:p>
        </w:tc>
        <w:tc>
          <w:tcPr>
            <w:tcW w:type="dxa" w:w="2076"/>
          </w:tcPr>
          <w:p>
            <w:pPr>
              <w:pStyle w:val="null3"/>
              <w:jc w:val="left"/>
            </w:pPr>
            <w:r>
              <w:rPr/>
              <w:t>服务器</w:t>
            </w:r>
          </w:p>
        </w:tc>
        <w:tc>
          <w:tcPr>
            <w:tcW w:type="dxa" w:w="2076"/>
          </w:tcPr>
          <w:p>
            <w:pPr>
              <w:pStyle w:val="null3"/>
              <w:jc w:val="left"/>
            </w:pPr>
            <w:r>
              <w:rPr/>
              <w:t>机箱</w:t>
            </w:r>
          </w:p>
        </w:tc>
        <w:tc>
          <w:tcPr>
            <w:tcW w:type="dxa" w:w="2076"/>
          </w:tcPr>
          <w:p>
            <w:pPr>
              <w:pStyle w:val="null3"/>
              <w:jc w:val="left"/>
            </w:pPr>
            <w:r>
              <w:rPr/>
              <w:t>机箱</w:t>
            </w:r>
          </w:p>
        </w:tc>
      </w:tr>
      <w:tr>
        <w:tc>
          <w:tcPr>
            <w:tcW w:type="dxa" w:w="2076"/>
          </w:tcPr>
          <w:p>
            <w:pPr>
              <w:pStyle w:val="null3"/>
              <w:jc w:val="center"/>
            </w:pPr>
            <w:r>
              <w:rPr/>
              <w:t>10</w:t>
            </w:r>
          </w:p>
        </w:tc>
        <w:tc>
          <w:tcPr>
            <w:tcW w:type="dxa" w:w="2076"/>
          </w:tcPr>
          <w:p>
            <w:pPr>
              <w:pStyle w:val="null3"/>
              <w:jc w:val="left"/>
            </w:pPr>
            <w:r>
              <w:rPr/>
              <w:t>服务器</w:t>
            </w:r>
          </w:p>
        </w:tc>
        <w:tc>
          <w:tcPr>
            <w:tcW w:type="dxa" w:w="2076"/>
          </w:tcPr>
          <w:p>
            <w:pPr>
              <w:pStyle w:val="null3"/>
              <w:jc w:val="left"/>
            </w:pPr>
            <w:r>
              <w:rPr/>
              <w:t>高密度服务器</w:t>
            </w:r>
          </w:p>
        </w:tc>
        <w:tc>
          <w:tcPr>
            <w:tcW w:type="dxa" w:w="2076"/>
          </w:tcPr>
          <w:p>
            <w:pPr>
              <w:pStyle w:val="null3"/>
              <w:jc w:val="left"/>
            </w:pPr>
            <w:r>
              <w:rPr/>
              <w:t>高密度服务器</w:t>
            </w:r>
          </w:p>
        </w:tc>
      </w:tr>
      <w:tr>
        <w:tc>
          <w:tcPr>
            <w:tcW w:type="dxa" w:w="2076"/>
          </w:tcPr>
          <w:p>
            <w:pPr>
              <w:pStyle w:val="null3"/>
              <w:jc w:val="center"/>
            </w:pPr>
            <w:r>
              <w:rPr/>
              <w:t>11</w:t>
            </w:r>
          </w:p>
        </w:tc>
        <w:tc>
          <w:tcPr>
            <w:tcW w:type="dxa" w:w="2076"/>
          </w:tcPr>
          <w:p>
            <w:pPr>
              <w:pStyle w:val="null3"/>
              <w:jc w:val="left"/>
            </w:pPr>
            <w:r>
              <w:rPr/>
              <w:t>支撑软件</w:t>
            </w:r>
          </w:p>
        </w:tc>
        <w:tc>
          <w:tcPr>
            <w:tcW w:type="dxa" w:w="2076"/>
          </w:tcPr>
          <w:p>
            <w:pPr>
              <w:pStyle w:val="null3"/>
              <w:jc w:val="left"/>
            </w:pPr>
            <w:r>
              <w:rPr/>
              <w:t>超融合平台授权</w:t>
            </w:r>
          </w:p>
        </w:tc>
        <w:tc>
          <w:tcPr>
            <w:tcW w:type="dxa" w:w="2076"/>
          </w:tcPr>
          <w:p>
            <w:pPr>
              <w:pStyle w:val="null3"/>
              <w:jc w:val="left"/>
            </w:pPr>
            <w:r>
              <w:rPr/>
              <w:t>超融合平台授权</w:t>
            </w:r>
          </w:p>
        </w:tc>
      </w:tr>
      <w:tr>
        <w:tc>
          <w:tcPr>
            <w:tcW w:type="dxa" w:w="2076"/>
          </w:tcPr>
          <w:p>
            <w:pPr>
              <w:pStyle w:val="null3"/>
              <w:jc w:val="center"/>
            </w:pPr>
            <w:r>
              <w:rPr/>
              <w:t>12</w:t>
            </w:r>
          </w:p>
        </w:tc>
        <w:tc>
          <w:tcPr>
            <w:tcW w:type="dxa" w:w="2076"/>
          </w:tcPr>
          <w:p>
            <w:pPr>
              <w:pStyle w:val="null3"/>
              <w:jc w:val="left"/>
            </w:pPr>
            <w:r>
              <w:rPr/>
              <w:t>服务器</w:t>
            </w:r>
          </w:p>
        </w:tc>
        <w:tc>
          <w:tcPr>
            <w:tcW w:type="dxa" w:w="2076"/>
          </w:tcPr>
          <w:p>
            <w:pPr>
              <w:pStyle w:val="null3"/>
              <w:jc w:val="left"/>
            </w:pPr>
            <w:r>
              <w:rPr/>
              <w:t>图形处理服务器1</w:t>
            </w:r>
          </w:p>
        </w:tc>
        <w:tc>
          <w:tcPr>
            <w:tcW w:type="dxa" w:w="2076"/>
          </w:tcPr>
          <w:p>
            <w:pPr>
              <w:pStyle w:val="null3"/>
              <w:jc w:val="left"/>
            </w:pPr>
            <w:r>
              <w:rPr/>
              <w:t>图形处理服务器1</w:t>
            </w:r>
          </w:p>
        </w:tc>
      </w:tr>
      <w:tr>
        <w:tc>
          <w:tcPr>
            <w:tcW w:type="dxa" w:w="2076"/>
          </w:tcPr>
          <w:p>
            <w:pPr>
              <w:pStyle w:val="null3"/>
              <w:jc w:val="center"/>
            </w:pPr>
            <w:r>
              <w:rPr/>
              <w:t>13</w:t>
            </w:r>
          </w:p>
        </w:tc>
        <w:tc>
          <w:tcPr>
            <w:tcW w:type="dxa" w:w="2076"/>
          </w:tcPr>
          <w:p>
            <w:pPr>
              <w:pStyle w:val="null3"/>
              <w:jc w:val="left"/>
            </w:pPr>
            <w:r>
              <w:rPr/>
              <w:t>服务器</w:t>
            </w:r>
          </w:p>
        </w:tc>
        <w:tc>
          <w:tcPr>
            <w:tcW w:type="dxa" w:w="2076"/>
          </w:tcPr>
          <w:p>
            <w:pPr>
              <w:pStyle w:val="null3"/>
              <w:jc w:val="left"/>
            </w:pPr>
            <w:r>
              <w:rPr/>
              <w:t>图形处理服务器2</w:t>
            </w:r>
          </w:p>
        </w:tc>
        <w:tc>
          <w:tcPr>
            <w:tcW w:type="dxa" w:w="2076"/>
          </w:tcPr>
          <w:p>
            <w:pPr>
              <w:pStyle w:val="null3"/>
              <w:jc w:val="left"/>
            </w:pPr>
            <w:r>
              <w:rPr/>
              <w:t>图形处理服务器2</w:t>
            </w:r>
          </w:p>
        </w:tc>
      </w:tr>
      <w:tr>
        <w:tc>
          <w:tcPr>
            <w:tcW w:type="dxa" w:w="2076"/>
          </w:tcPr>
          <w:p>
            <w:pPr>
              <w:pStyle w:val="null3"/>
              <w:jc w:val="center"/>
            </w:pPr>
            <w:r>
              <w:rPr/>
              <w:t>14</w:t>
            </w:r>
          </w:p>
        </w:tc>
        <w:tc>
          <w:tcPr>
            <w:tcW w:type="dxa" w:w="2076"/>
          </w:tcPr>
          <w:p>
            <w:pPr>
              <w:pStyle w:val="null3"/>
              <w:jc w:val="left"/>
            </w:pPr>
            <w:r>
              <w:rPr/>
              <w:t>服务器</w:t>
            </w:r>
          </w:p>
        </w:tc>
        <w:tc>
          <w:tcPr>
            <w:tcW w:type="dxa" w:w="2076"/>
          </w:tcPr>
          <w:p>
            <w:pPr>
              <w:pStyle w:val="null3"/>
              <w:jc w:val="left"/>
            </w:pPr>
            <w:r>
              <w:rPr/>
              <w:t>四路服务器</w:t>
            </w:r>
          </w:p>
        </w:tc>
        <w:tc>
          <w:tcPr>
            <w:tcW w:type="dxa" w:w="2076"/>
          </w:tcPr>
          <w:p>
            <w:pPr>
              <w:pStyle w:val="null3"/>
              <w:jc w:val="left"/>
            </w:pPr>
            <w:r>
              <w:rPr/>
              <w:t>四路服务器</w:t>
            </w:r>
          </w:p>
        </w:tc>
      </w:tr>
      <w:tr>
        <w:tc>
          <w:tcPr>
            <w:tcW w:type="dxa" w:w="2076"/>
          </w:tcPr>
          <w:p>
            <w:pPr>
              <w:pStyle w:val="null3"/>
              <w:jc w:val="center"/>
            </w:pPr>
            <w:r>
              <w:rPr/>
              <w:t>15</w:t>
            </w:r>
          </w:p>
        </w:tc>
        <w:tc>
          <w:tcPr>
            <w:tcW w:type="dxa" w:w="2076"/>
          </w:tcPr>
          <w:p>
            <w:pPr>
              <w:pStyle w:val="null3"/>
              <w:jc w:val="left"/>
            </w:pPr>
            <w:r>
              <w:rPr/>
              <w:t>网络存储设备</w:t>
            </w:r>
          </w:p>
        </w:tc>
        <w:tc>
          <w:tcPr>
            <w:tcW w:type="dxa" w:w="2076"/>
          </w:tcPr>
          <w:p>
            <w:pPr>
              <w:pStyle w:val="null3"/>
              <w:jc w:val="left"/>
            </w:pPr>
            <w:r>
              <w:rPr/>
              <w:t>备份一体机</w:t>
            </w:r>
          </w:p>
        </w:tc>
        <w:tc>
          <w:tcPr>
            <w:tcW w:type="dxa" w:w="2076"/>
          </w:tcPr>
          <w:p>
            <w:pPr>
              <w:pStyle w:val="null3"/>
              <w:jc w:val="left"/>
            </w:pPr>
            <w:r>
              <w:rPr/>
              <w:t>备份一体机</w:t>
            </w:r>
          </w:p>
        </w:tc>
      </w:tr>
      <w:tr>
        <w:tc>
          <w:tcPr>
            <w:tcW w:type="dxa" w:w="2076"/>
          </w:tcPr>
          <w:p>
            <w:pPr>
              <w:pStyle w:val="null3"/>
              <w:jc w:val="center"/>
            </w:pPr>
            <w:r>
              <w:rPr/>
              <w:t>16</w:t>
            </w:r>
          </w:p>
        </w:tc>
        <w:tc>
          <w:tcPr>
            <w:tcW w:type="dxa" w:w="2076"/>
          </w:tcPr>
          <w:p>
            <w:pPr>
              <w:pStyle w:val="null3"/>
              <w:jc w:val="left"/>
            </w:pPr>
            <w:r>
              <w:rPr/>
              <w:t>支撑软件</w:t>
            </w:r>
          </w:p>
        </w:tc>
        <w:tc>
          <w:tcPr>
            <w:tcW w:type="dxa" w:w="2076"/>
          </w:tcPr>
          <w:p>
            <w:pPr>
              <w:pStyle w:val="null3"/>
              <w:jc w:val="left"/>
            </w:pPr>
            <w:r>
              <w:rPr/>
              <w:t>存储监控软件</w:t>
            </w:r>
          </w:p>
        </w:tc>
        <w:tc>
          <w:tcPr>
            <w:tcW w:type="dxa" w:w="2076"/>
          </w:tcPr>
          <w:p>
            <w:pPr>
              <w:pStyle w:val="null3"/>
              <w:jc w:val="left"/>
            </w:pPr>
            <w:r>
              <w:rPr/>
              <w:t>存储监控软件</w:t>
            </w:r>
          </w:p>
        </w:tc>
      </w:tr>
      <w:tr>
        <w:tc>
          <w:tcPr>
            <w:tcW w:type="dxa" w:w="2076"/>
          </w:tcPr>
          <w:p>
            <w:pPr>
              <w:pStyle w:val="null3"/>
              <w:jc w:val="center"/>
            </w:pPr>
            <w:r>
              <w:rPr/>
              <w:t>17</w:t>
            </w:r>
          </w:p>
        </w:tc>
        <w:tc>
          <w:tcPr>
            <w:tcW w:type="dxa" w:w="2076"/>
          </w:tcPr>
          <w:p>
            <w:pPr>
              <w:pStyle w:val="null3"/>
              <w:jc w:val="left"/>
            </w:pPr>
            <w:r>
              <w:rPr/>
              <w:t>交换设备</w:t>
            </w:r>
          </w:p>
        </w:tc>
        <w:tc>
          <w:tcPr>
            <w:tcW w:type="dxa" w:w="2076"/>
          </w:tcPr>
          <w:p>
            <w:pPr>
              <w:pStyle w:val="null3"/>
              <w:jc w:val="left"/>
            </w:pPr>
            <w:r>
              <w:rPr/>
              <w:t>IB交换机</w:t>
            </w:r>
          </w:p>
        </w:tc>
        <w:tc>
          <w:tcPr>
            <w:tcW w:type="dxa" w:w="2076"/>
          </w:tcPr>
          <w:p>
            <w:pPr>
              <w:pStyle w:val="null3"/>
              <w:jc w:val="left"/>
            </w:pPr>
            <w:r>
              <w:rPr/>
              <w:t>IB交换机</w:t>
            </w:r>
          </w:p>
        </w:tc>
      </w:tr>
      <w:tr>
        <w:tc>
          <w:tcPr>
            <w:tcW w:type="dxa" w:w="2076"/>
          </w:tcPr>
          <w:p>
            <w:pPr>
              <w:pStyle w:val="null3"/>
              <w:jc w:val="center"/>
            </w:pPr>
            <w:r>
              <w:rPr/>
              <w:t>18</w:t>
            </w:r>
          </w:p>
        </w:tc>
        <w:tc>
          <w:tcPr>
            <w:tcW w:type="dxa" w:w="2076"/>
          </w:tcPr>
          <w:p>
            <w:pPr>
              <w:pStyle w:val="null3"/>
              <w:jc w:val="left"/>
            </w:pPr>
            <w:r>
              <w:rPr/>
              <w:t>信息化设备零部件</w:t>
            </w:r>
          </w:p>
        </w:tc>
        <w:tc>
          <w:tcPr>
            <w:tcW w:type="dxa" w:w="2076"/>
          </w:tcPr>
          <w:p>
            <w:pPr>
              <w:pStyle w:val="null3"/>
              <w:jc w:val="left"/>
            </w:pPr>
            <w:r>
              <w:rPr/>
              <w:t>IB线缆</w:t>
            </w:r>
          </w:p>
        </w:tc>
        <w:tc>
          <w:tcPr>
            <w:tcW w:type="dxa" w:w="2076"/>
          </w:tcPr>
          <w:p>
            <w:pPr>
              <w:pStyle w:val="null3"/>
              <w:jc w:val="left"/>
            </w:pPr>
            <w:r>
              <w:rPr/>
              <w:t>IB线缆</w:t>
            </w:r>
          </w:p>
        </w:tc>
      </w:tr>
      <w:tr>
        <w:tc>
          <w:tcPr>
            <w:tcW w:type="dxa" w:w="2076"/>
          </w:tcPr>
          <w:p>
            <w:pPr>
              <w:pStyle w:val="null3"/>
              <w:jc w:val="center"/>
            </w:pPr>
            <w:r>
              <w:rPr/>
              <w:t>19</w:t>
            </w:r>
          </w:p>
        </w:tc>
        <w:tc>
          <w:tcPr>
            <w:tcW w:type="dxa" w:w="2076"/>
          </w:tcPr>
          <w:p>
            <w:pPr>
              <w:pStyle w:val="null3"/>
              <w:jc w:val="left"/>
            </w:pPr>
            <w:r>
              <w:rPr/>
              <w:t>交换设备</w:t>
            </w:r>
          </w:p>
        </w:tc>
        <w:tc>
          <w:tcPr>
            <w:tcW w:type="dxa" w:w="2076"/>
          </w:tcPr>
          <w:p>
            <w:pPr>
              <w:pStyle w:val="null3"/>
              <w:jc w:val="left"/>
            </w:pPr>
            <w:r>
              <w:rPr/>
              <w:t>万兆交换机</w:t>
            </w:r>
          </w:p>
        </w:tc>
        <w:tc>
          <w:tcPr>
            <w:tcW w:type="dxa" w:w="2076"/>
          </w:tcPr>
          <w:p>
            <w:pPr>
              <w:pStyle w:val="null3"/>
              <w:jc w:val="left"/>
            </w:pPr>
            <w:r>
              <w:rPr/>
              <w:t>万兆交换机</w:t>
            </w:r>
          </w:p>
        </w:tc>
      </w:tr>
      <w:tr>
        <w:tc>
          <w:tcPr>
            <w:tcW w:type="dxa" w:w="2076"/>
          </w:tcPr>
          <w:p>
            <w:pPr>
              <w:pStyle w:val="null3"/>
              <w:jc w:val="center"/>
            </w:pPr>
            <w:r>
              <w:rPr/>
              <w:t>20</w:t>
            </w:r>
          </w:p>
        </w:tc>
        <w:tc>
          <w:tcPr>
            <w:tcW w:type="dxa" w:w="2076"/>
          </w:tcPr>
          <w:p>
            <w:pPr>
              <w:pStyle w:val="null3"/>
              <w:jc w:val="left"/>
            </w:pPr>
            <w:r>
              <w:rPr/>
              <w:t>信息化设备零部件</w:t>
            </w:r>
          </w:p>
        </w:tc>
        <w:tc>
          <w:tcPr>
            <w:tcW w:type="dxa" w:w="2076"/>
          </w:tcPr>
          <w:p>
            <w:pPr>
              <w:pStyle w:val="null3"/>
              <w:jc w:val="left"/>
            </w:pPr>
            <w:r>
              <w:rPr/>
              <w:t>万兆光模块</w:t>
            </w:r>
          </w:p>
        </w:tc>
        <w:tc>
          <w:tcPr>
            <w:tcW w:type="dxa" w:w="2076"/>
          </w:tcPr>
          <w:p>
            <w:pPr>
              <w:pStyle w:val="null3"/>
              <w:jc w:val="left"/>
            </w:pPr>
            <w:r>
              <w:rPr/>
              <w:t>万兆光模块</w:t>
            </w:r>
          </w:p>
        </w:tc>
      </w:tr>
      <w:tr>
        <w:tc>
          <w:tcPr>
            <w:tcW w:type="dxa" w:w="2076"/>
          </w:tcPr>
          <w:p>
            <w:pPr>
              <w:pStyle w:val="null3"/>
              <w:jc w:val="center"/>
            </w:pPr>
            <w:r>
              <w:rPr/>
              <w:t>21</w:t>
            </w:r>
          </w:p>
        </w:tc>
        <w:tc>
          <w:tcPr>
            <w:tcW w:type="dxa" w:w="2076"/>
          </w:tcPr>
          <w:p>
            <w:pPr>
              <w:pStyle w:val="null3"/>
              <w:jc w:val="left"/>
            </w:pPr>
            <w:r>
              <w:rPr/>
              <w:t>交换设备</w:t>
            </w:r>
          </w:p>
        </w:tc>
        <w:tc>
          <w:tcPr>
            <w:tcW w:type="dxa" w:w="2076"/>
          </w:tcPr>
          <w:p>
            <w:pPr>
              <w:pStyle w:val="null3"/>
              <w:jc w:val="left"/>
            </w:pPr>
            <w:r>
              <w:rPr/>
              <w:t>千兆交换机</w:t>
            </w:r>
          </w:p>
        </w:tc>
        <w:tc>
          <w:tcPr>
            <w:tcW w:type="dxa" w:w="2076"/>
          </w:tcPr>
          <w:p>
            <w:pPr>
              <w:pStyle w:val="null3"/>
              <w:jc w:val="left"/>
            </w:pPr>
            <w:r>
              <w:rPr/>
              <w:t>千兆交换机</w:t>
            </w:r>
          </w:p>
        </w:tc>
      </w:tr>
      <w:tr>
        <w:tc>
          <w:tcPr>
            <w:tcW w:type="dxa" w:w="2076"/>
          </w:tcPr>
          <w:p>
            <w:pPr>
              <w:pStyle w:val="null3"/>
              <w:jc w:val="center"/>
            </w:pPr>
            <w:r>
              <w:rPr/>
              <w:t>22</w:t>
            </w:r>
          </w:p>
        </w:tc>
        <w:tc>
          <w:tcPr>
            <w:tcW w:type="dxa" w:w="2076"/>
          </w:tcPr>
          <w:p>
            <w:pPr>
              <w:pStyle w:val="null3"/>
              <w:jc w:val="left"/>
            </w:pPr>
            <w:r>
              <w:rPr/>
              <w:t>支撑软件</w:t>
            </w:r>
          </w:p>
        </w:tc>
        <w:tc>
          <w:tcPr>
            <w:tcW w:type="dxa" w:w="2076"/>
          </w:tcPr>
          <w:p>
            <w:pPr>
              <w:pStyle w:val="null3"/>
              <w:jc w:val="left"/>
            </w:pPr>
            <w:r>
              <w:rPr/>
              <w:t>高性能集群管理软件</w:t>
            </w:r>
          </w:p>
        </w:tc>
        <w:tc>
          <w:tcPr>
            <w:tcW w:type="dxa" w:w="2076"/>
          </w:tcPr>
          <w:p>
            <w:pPr>
              <w:pStyle w:val="null3"/>
              <w:jc w:val="left"/>
            </w:pPr>
            <w:r>
              <w:rPr/>
              <w:t>高性能集群管理软件</w:t>
            </w:r>
          </w:p>
        </w:tc>
      </w:tr>
      <w:tr>
        <w:tc>
          <w:tcPr>
            <w:tcW w:type="dxa" w:w="2076"/>
          </w:tcPr>
          <w:p>
            <w:pPr>
              <w:pStyle w:val="null3"/>
              <w:jc w:val="center"/>
            </w:pPr>
            <w:r>
              <w:rPr/>
              <w:t>23</w:t>
            </w:r>
          </w:p>
        </w:tc>
        <w:tc>
          <w:tcPr>
            <w:tcW w:type="dxa" w:w="2076"/>
          </w:tcPr>
          <w:p>
            <w:pPr>
              <w:pStyle w:val="null3"/>
              <w:jc w:val="left"/>
            </w:pPr>
            <w:r>
              <w:rPr/>
              <w:t>专用制冷空调设备</w:t>
            </w:r>
          </w:p>
        </w:tc>
        <w:tc>
          <w:tcPr>
            <w:tcW w:type="dxa" w:w="2076"/>
          </w:tcPr>
          <w:p>
            <w:pPr>
              <w:pStyle w:val="null3"/>
              <w:jc w:val="left"/>
            </w:pPr>
            <w:r>
              <w:rPr/>
              <w:t>精密空调</w:t>
            </w:r>
          </w:p>
        </w:tc>
        <w:tc>
          <w:tcPr>
            <w:tcW w:type="dxa" w:w="2076"/>
          </w:tcPr>
          <w:p>
            <w:pPr>
              <w:pStyle w:val="null3"/>
              <w:jc w:val="left"/>
            </w:pPr>
            <w:r>
              <w:rPr/>
              <w:t>精密空调</w:t>
            </w:r>
          </w:p>
        </w:tc>
      </w:tr>
    </w:tbl>
    <w:p>
      <w:pPr>
        <w:pStyle w:val="null3"/>
      </w:pPr>
      <w:r>
        <w:rPr/>
        <w:t>本采购包不接受联合体投标</w:t>
      </w:r>
    </w:p>
    <w:p>
      <w:pPr>
        <w:pStyle w:val="null3"/>
      </w:pPr>
      <w:r>
        <w:rPr/>
        <w:t>合同分包：不允许合同分包</w:t>
      </w:r>
    </w:p>
    <w:p>
      <w:pPr>
        <w:pStyle w:val="null3"/>
      </w:pPr>
      <w:r>
        <w:rPr/>
        <w:t>合同履行期限：详见第二章采购需求。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3）具有良好的商业信誉和健全的财务会计制度：供应商必须具有良好的商业信誉和健全的财务会计制度（提供以下2种证明材料之一：1. 2024年度或2025年度经会计师事务所审计的财务状况报告；2.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采购包1（广东财经大学教学科研重大设备更新项目）：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广东财经大学</w:t>
      </w:r>
    </w:p>
    <w:p>
      <w:pPr>
        <w:pStyle w:val="null3"/>
        <w:ind w:firstLine="480"/>
      </w:pPr>
      <w:r>
        <w:rPr/>
        <w:t xml:space="preserve"> 地址：</w:t>
      </w:r>
      <w:r>
        <w:rPr/>
        <w:t>广州市海珠区仑头路21号</w:t>
      </w:r>
    </w:p>
    <w:p>
      <w:pPr>
        <w:pStyle w:val="null3"/>
        <w:ind w:firstLine="480"/>
      </w:pPr>
      <w:r>
        <w:rPr/>
        <w:t xml:space="preserve"> 联系方式：</w:t>
      </w:r>
      <w:r>
        <w:rPr/>
        <w:t xml:space="preserve"> 020-84097331</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020-83186865，huangxiuying2020@gd.gov.cn</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020-83186865，huangxiuying2020@gd.gov.cn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文件中带“★”的条款为本次采购的重要要求，供应商必须全部满足或响应，只要不满足任一带“★”的条款，将被认定为无效投标（响应）。采购文件中带“▲”(如有)的条款为本次采购较为重要的要求，供应商无法满足或响应时，将影响其评审分值。</w:t>
      </w:r>
    </w:p>
    <w:p>
      <w:pPr>
        <w:pStyle w:val="null3"/>
        <w:ind w:firstLine="420"/>
        <w:jc w:val="left"/>
      </w:pPr>
      <w:r>
        <w:rPr>
          <w:sz w:val="21"/>
        </w:rPr>
        <w:t>2</w:t>
      </w:r>
      <w:r>
        <w:rPr>
          <w:sz w:val="21"/>
        </w:rPr>
        <w:t>、本需求涉及的各项规范、标准，如国家和行业有最新的修改版或停用的，则按最新规定执行。</w:t>
      </w:r>
    </w:p>
    <w:p>
      <w:pPr>
        <w:pStyle w:val="null3"/>
        <w:ind w:firstLine="420"/>
        <w:jc w:val="left"/>
      </w:pPr>
      <w:r>
        <w:rPr>
          <w:sz w:val="21"/>
        </w:rPr>
        <w:t>3</w:t>
      </w:r>
      <w:r>
        <w:rPr>
          <w:sz w:val="21"/>
        </w:rPr>
        <w:t>、采购文件所要求的证书、资质等材料，如有有效期限制的，供应商所提供的资质、证书等材料均应处于有效期内，否则按无效材料处理。</w:t>
      </w:r>
    </w:p>
    <w:p>
      <w:pPr>
        <w:pStyle w:val="null3"/>
        <w:ind w:firstLine="420"/>
        <w:jc w:val="left"/>
      </w:pPr>
      <w:r>
        <w:rPr>
          <w:sz w:val="21"/>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pPr>
        <w:pStyle w:val="null3"/>
        <w:ind w:firstLine="420"/>
        <w:jc w:val="left"/>
      </w:pPr>
      <w:r>
        <w:rPr>
          <w:sz w:val="21"/>
        </w:rPr>
        <w:t>5</w:t>
      </w:r>
      <w:r>
        <w:rPr>
          <w:sz w:val="21"/>
        </w:rPr>
        <w:t>、本项目为交钥匙承包项目，中标（成交）价为包干价，中标（成交）人承包及负责采购文件要求的一切事宜及责任。包括产品供货、运输、保管、安装、调试、验收、培训等等以及供应商认为完成本项目而产生的其他相关费用。如采购清单可能存在缺项，由中标人自行补充并承担所有费用。采购人按合同价支付费用，不再另外增加支付。</w:t>
      </w:r>
    </w:p>
    <w:p>
      <w:pPr>
        <w:pStyle w:val="null3"/>
        <w:ind w:firstLine="420"/>
        <w:jc w:val="left"/>
      </w:pPr>
      <w:r>
        <w:rPr>
          <w:sz w:val="21"/>
        </w:rPr>
        <w:t>★6、供应商须承诺所投设备在投标（响应）时均已符合国家强制性要求。（提供承诺，可参照“投标（响应）文件格式”中《承诺函》格式）。</w:t>
      </w:r>
    </w:p>
    <w:p>
      <w:pPr>
        <w:pStyle w:val="null3"/>
        <w:ind w:firstLine="420"/>
        <w:jc w:val="left"/>
      </w:pPr>
      <w:r>
        <w:rPr>
          <w:sz w:val="21"/>
        </w:rPr>
        <w:t>★7、本项目采购的产品如列入国家互联网信息办公室会同工业和信息化部、公安部、国家认证认可监督管理委员会颁布的《网络关键设备和网络安全专用产品目录》，验收时须出具以下任一材料：</w:t>
      </w:r>
    </w:p>
    <w:p>
      <w:pPr>
        <w:pStyle w:val="null3"/>
        <w:ind w:firstLine="420"/>
        <w:jc w:val="left"/>
      </w:pPr>
      <w:r>
        <w:rPr>
          <w:sz w:val="21"/>
        </w:rPr>
        <w:t>①有效期内的公安部监制的《计算机信息系统安全专用产品销售许可证》；</w:t>
      </w:r>
    </w:p>
    <w:p>
      <w:pPr>
        <w:pStyle w:val="null3"/>
        <w:ind w:firstLine="420"/>
        <w:jc w:val="left"/>
      </w:pPr>
      <w:r>
        <w:rPr>
          <w:sz w:val="21"/>
        </w:rPr>
        <w:t>②提供在“网络关键设备和网络安全专用产品安全认证和安全检测结果检索（https://www.cac.gov.cn/wa/netWorkCriticalEquipment.htm）”检索的截图。</w:t>
      </w:r>
    </w:p>
    <w:p>
      <w:pPr>
        <w:pStyle w:val="null3"/>
        <w:ind w:firstLine="420"/>
        <w:jc w:val="left"/>
      </w:pPr>
      <w:r>
        <w:rPr>
          <w:sz w:val="21"/>
        </w:rPr>
        <w:t>（供应商提供承诺 ）</w:t>
      </w:r>
    </w:p>
    <w:p>
      <w:pPr>
        <w:pStyle w:val="null3"/>
        <w:ind w:firstLine="420"/>
        <w:jc w:val="left"/>
      </w:pPr>
      <w:r>
        <w:rPr>
          <w:sz w:val="21"/>
        </w:rPr>
        <w:t>★8、本项目采购产品如涉及《中华人民共和国实施强制性产品认证的产品目录》的产品，在验收时须出具CCC认证证书复印件（如实施自我声明程序的，则提供自我声明相关材料（提供在http://cx.cnca.cn/查询的产品的证书编号及查询结果截图）），并在产品外部施加认证标志作为验收依据之一。（提供承诺，可参照“投标（响应）文件格式”中《承诺函》格式）。</w:t>
      </w:r>
    </w:p>
    <w:p>
      <w:pPr>
        <w:pStyle w:val="null3"/>
        <w:ind w:firstLine="420"/>
        <w:jc w:val="left"/>
      </w:pPr>
      <w:r>
        <w:rPr>
          <w:sz w:val="21"/>
        </w:rPr>
        <w:t>9</w:t>
      </w:r>
      <w:r>
        <w:rPr>
          <w:sz w:val="21"/>
        </w:rPr>
        <w:t>、因投标（响应）格式中《政策适用性说明》无法满足项目（包组）填写需要，如涉及符合政策要求的节能产品、环境标志产品，请供应商按需求附件《节能环保政策适用性说明》的格式进行填写。</w:t>
      </w:r>
    </w:p>
    <w:p>
      <w:pPr>
        <w:pStyle w:val="null3"/>
        <w:jc w:val="both"/>
      </w:pPr>
      <w:r>
        <w:rPr>
          <w:sz w:val="21"/>
        </w:rPr>
        <w:t>★10、本项目不允许合同分包。如供应商在投标/响应文件中未出现《分包协议意向书》，则视为未采取合同分包。</w:t>
      </w:r>
    </w:p>
    <w:p>
      <w:pPr>
        <w:pStyle w:val="null3"/>
        <w:jc w:val="both"/>
      </w:pPr>
      <w:r>
        <w:rPr>
          <w:sz w:val="21"/>
        </w:rPr>
        <w:t>（一）采购项目需实现的功能和目标</w:t>
      </w:r>
    </w:p>
    <w:p>
      <w:pPr>
        <w:pStyle w:val="null3"/>
        <w:ind w:firstLine="441"/>
        <w:jc w:val="both"/>
      </w:pPr>
      <w:r>
        <w:rPr>
          <w:sz w:val="21"/>
        </w:rPr>
        <w:t>目前广东财经大学数字化业务主要依赖传统CPU算力，高性能GPU服务器数量稀少且多为入门级配置，难以满足大模型应用的算力需求。本项目通过采购人工智能大模型部署所需算力资源，为学校人工智能应用提供基础支撑，助力打造教学、科研新范式、新创新、新生态，助力学校高质量发展。本次项目主要围绕以下方面展开：</w:t>
      </w:r>
    </w:p>
    <w:p>
      <w:pPr>
        <w:pStyle w:val="null3"/>
        <w:ind w:firstLine="441"/>
        <w:jc w:val="both"/>
      </w:pPr>
      <w:r>
        <w:rPr>
          <w:sz w:val="21"/>
        </w:rPr>
        <w:t>（1）GPU服务器：搭建人工智能算力底座，实现deepseek等大模型稳定部署，保障充足token储备量，可满足学校1500-2000名师生同时开展教学实训、案例分析、科研建模等场景使用，精准匹配日常教学实践、课题研究、课程设计等实际需求，最大化发挥硬件算力效能。</w:t>
      </w:r>
    </w:p>
    <w:p>
      <w:pPr>
        <w:pStyle w:val="null3"/>
        <w:ind w:firstLine="441"/>
        <w:jc w:val="both"/>
      </w:pPr>
      <w:r>
        <w:rPr>
          <w:sz w:val="21"/>
        </w:rPr>
        <w:t>（2）存储系统：构建分布式存储支撑体系，依托固态硬盘高速读写特性，落地不低400T裸容量存储资源，为人工智能算力平台提供高效、稳定的底层数据存储保障。</w:t>
      </w:r>
    </w:p>
    <w:p>
      <w:pPr>
        <w:pStyle w:val="null3"/>
        <w:ind w:firstLine="441"/>
        <w:jc w:val="both"/>
      </w:pPr>
      <w:r>
        <w:rPr>
          <w:sz w:val="21"/>
        </w:rPr>
        <w:t>（3）调度软件管理机与登录机:以集中化管理为核心，满足统一资源调度、全维度硬件监控、任务分发与运维管控功能。</w:t>
      </w:r>
    </w:p>
    <w:p>
      <w:pPr>
        <w:pStyle w:val="null3"/>
        <w:ind w:firstLine="441"/>
        <w:jc w:val="both"/>
      </w:pPr>
      <w:r>
        <w:rPr>
          <w:sz w:val="21"/>
        </w:rPr>
        <w:t>（4）AI调度平台：构建具备资源调度、作业管理、性能监控、用户权限控制等核心功能的 AI计算资源管理平台，实现对 GPU、CPU等多类算力资源的统一纳管和智能分配。</w:t>
      </w:r>
    </w:p>
    <w:p>
      <w:pPr>
        <w:pStyle w:val="null3"/>
        <w:ind w:firstLine="441"/>
        <w:jc w:val="both"/>
      </w:pPr>
      <w:r>
        <w:rPr>
          <w:sz w:val="21"/>
        </w:rPr>
        <w:t>（5）ROCE高速组网</w:t>
      </w:r>
      <w:r>
        <w:rPr>
          <w:sz w:val="21"/>
        </w:rPr>
        <w:t>：针对人工智能算力平台实现ROCE组网，完成集群机器互联通信，实现高性能分布式计算。</w:t>
      </w:r>
    </w:p>
    <w:p>
      <w:pPr>
        <w:pStyle w:val="null3"/>
        <w:ind w:firstLine="441"/>
        <w:jc w:val="both"/>
      </w:pPr>
      <w:r>
        <w:rPr>
          <w:sz w:val="21"/>
        </w:rPr>
        <w:t>（6）登录管理服务器：作为集群的统一访问入口和管理枢纽，负责用户身份验证、作业提交、资源调度与监控、系统维护及安全管理。</w:t>
      </w:r>
    </w:p>
    <w:p>
      <w:pPr>
        <w:pStyle w:val="null3"/>
        <w:ind w:firstLine="441"/>
        <w:jc w:val="both"/>
      </w:pPr>
      <w:r>
        <w:rPr>
          <w:sz w:val="21"/>
        </w:rPr>
        <w:t>（7）高密度服务器：构建统一资源池，支持虚拟化、容器化及异构资源调度，满足经管实验教学、多学科交叉教学与科研需求。</w:t>
      </w:r>
    </w:p>
    <w:p>
      <w:pPr>
        <w:pStyle w:val="null3"/>
        <w:ind w:firstLine="441"/>
        <w:jc w:val="both"/>
      </w:pPr>
      <w:r>
        <w:rPr>
          <w:sz w:val="21"/>
        </w:rPr>
        <w:t>（8）超融合平台授权：用于资源调度，服务于经管类实验课程教学软件、管理软件运行，教学资源、教学数据存储。</w:t>
      </w:r>
    </w:p>
    <w:p>
      <w:pPr>
        <w:pStyle w:val="null3"/>
        <w:ind w:firstLine="441"/>
        <w:jc w:val="both"/>
      </w:pPr>
      <w:r>
        <w:rPr>
          <w:sz w:val="21"/>
        </w:rPr>
        <w:t>（9）图形处理服务器1：用于运行虚拟仿真综合实习系统，满足课程1500-2000人高并发量需求。</w:t>
      </w:r>
    </w:p>
    <w:p>
      <w:pPr>
        <w:pStyle w:val="null3"/>
        <w:ind w:firstLine="441"/>
        <w:jc w:val="both"/>
      </w:pPr>
      <w:r>
        <w:rPr>
          <w:sz w:val="21"/>
        </w:rPr>
        <w:t>（10）图形处理服务器2：配消费型显卡，用于部署若干经管实验教学智能体，满足虚拟仿真综合实习等相关课程数智化改造需求。</w:t>
      </w:r>
    </w:p>
    <w:p>
      <w:pPr>
        <w:pStyle w:val="null3"/>
        <w:ind w:firstLine="441"/>
        <w:jc w:val="both"/>
      </w:pPr>
      <w:r>
        <w:rPr>
          <w:sz w:val="21"/>
        </w:rPr>
        <w:t>（11）四路服务器：主要用于运行虚拟仿真综合实习系统，满足课程1500-2000人高并发量需求。</w:t>
      </w:r>
    </w:p>
    <w:p>
      <w:pPr>
        <w:pStyle w:val="null3"/>
        <w:ind w:firstLine="441"/>
        <w:jc w:val="both"/>
      </w:pPr>
      <w:r>
        <w:rPr>
          <w:sz w:val="21"/>
        </w:rPr>
        <w:t>（12）备份一体机：对超融合平台、各服务器节点（包括登录管理服务器、高密度服务器、图形处理服务器、四路服务器）以及管理节点上的关键数据进行统一、高效的自动化备份与恢复。</w:t>
      </w:r>
    </w:p>
    <w:p>
      <w:pPr>
        <w:pStyle w:val="null3"/>
        <w:ind w:firstLine="441"/>
        <w:jc w:val="both"/>
      </w:pPr>
      <w:r>
        <w:rPr>
          <w:sz w:val="21"/>
        </w:rPr>
        <w:t>（13）存储监控软件：针对整个超融合平台存储资源（包括本地高速存储、备份存储等）进行全栈式性能监控、容量分析与智能告警的专业系统。</w:t>
      </w:r>
    </w:p>
    <w:p>
      <w:pPr>
        <w:pStyle w:val="null3"/>
        <w:ind w:firstLine="441"/>
        <w:jc w:val="both"/>
      </w:pPr>
      <w:r>
        <w:rPr>
          <w:sz w:val="21"/>
        </w:rPr>
        <w:t>（14）高性能交换机：显著改善虚拟仿真实验教学中大量学生访问系统平台时的卡顿、延迟、无响应等现象，满足实验教学中多用户并发与大量业务数据吞吐的需求。</w:t>
      </w:r>
    </w:p>
    <w:p>
      <w:pPr>
        <w:pStyle w:val="null3"/>
        <w:ind w:firstLine="441"/>
        <w:jc w:val="both"/>
      </w:pPr>
      <w:r>
        <w:rPr>
          <w:sz w:val="21"/>
        </w:rPr>
        <w:t>（15）高性能集群管理软件：用于管理和调度图形处理工作站和胖节点服务器等的高性能集群管理平台。通过深度集成与优化的集群控制平面，实现对异构物理硬件的统一纳管、高效调度与智能运维。</w:t>
      </w:r>
    </w:p>
    <w:p>
      <w:pPr>
        <w:pStyle w:val="null3"/>
        <w:ind w:firstLine="441"/>
        <w:jc w:val="both"/>
      </w:pPr>
      <w:r>
        <w:rPr>
          <w:sz w:val="21"/>
        </w:rPr>
        <w:t>（16）精密空调：用于中心机房精密空调更新，保障设备稳定运行，提供可靠温控支持。</w:t>
      </w:r>
    </w:p>
    <w:p>
      <w:pPr>
        <w:pStyle w:val="null3"/>
        <w:ind w:firstLine="420"/>
        <w:jc w:val="both"/>
      </w:pPr>
      <w:r>
        <w:rPr>
          <w:sz w:val="21"/>
        </w:rPr>
        <w:t>★本</w:t>
      </w:r>
      <w:r>
        <w:rPr>
          <w:sz w:val="21"/>
        </w:rPr>
        <w:t>项目为交钥匙工程，投标人须提供项目完整建设方案，并承诺对本项目的货物、运输、安装、服务、配套工程实行一体化交付，补齐其他必要设备、配件、辅材及相关配套设施等，确保所投方案系统完整、适配性强，运行稳定可靠，能够直接正常使用。</w:t>
      </w:r>
    </w:p>
    <w:p>
      <w:pPr>
        <w:pStyle w:val="null3"/>
        <w:jc w:val="both"/>
      </w:pPr>
      <w:r>
        <w:rPr>
          <w:sz w:val="21"/>
        </w:rPr>
        <w:t>（二）项目属性：</w:t>
      </w:r>
    </w:p>
    <w:p>
      <w:pPr>
        <w:pStyle w:val="null3"/>
        <w:ind w:firstLine="420"/>
        <w:jc w:val="both"/>
      </w:pPr>
      <w:r>
        <w:rPr>
          <w:sz w:val="21"/>
        </w:rPr>
        <w:t>是否适宜由中小企业提供，并专门面向中小企业采购</w:t>
      </w:r>
    </w:p>
    <w:p>
      <w:pPr>
        <w:pStyle w:val="null3"/>
        <w:ind w:firstLine="420"/>
        <w:jc w:val="both"/>
      </w:pPr>
      <w:r>
        <w:rPr>
          <w:sz w:val="21"/>
        </w:rPr>
        <w:t>☑</w:t>
      </w:r>
      <w:r>
        <w:rPr>
          <w:sz w:val="21"/>
        </w:rPr>
        <w:t>否</w:t>
      </w:r>
    </w:p>
    <w:p>
      <w:pPr>
        <w:pStyle w:val="null3"/>
        <w:jc w:val="both"/>
      </w:pPr>
      <w:r>
        <w:rPr>
          <w:sz w:val="21"/>
        </w:rPr>
        <w:t>（三）</w:t>
      </w:r>
      <w:r>
        <w:rPr>
          <w:sz w:val="21"/>
        </w:rPr>
        <w:t>采购包划分与合同分包</w:t>
      </w:r>
    </w:p>
    <w:tbl>
      <w:tblPr>
        <w:tblW w:w="0" w:type="auto"/>
        <w:tblBorders>
          <w:top w:val="none" w:color="000000" w:sz="4"/>
          <w:left w:val="none" w:color="000000" w:sz="4"/>
          <w:bottom w:val="none" w:color="000000" w:sz="4"/>
          <w:right w:val="none" w:color="000000" w:sz="4"/>
          <w:insideH w:val="none"/>
          <w:insideV w:val="none"/>
        </w:tblBorders>
      </w:tblPr>
      <w:tblGrid>
        <w:gridCol w:w="814"/>
        <w:gridCol w:w="1958"/>
        <w:gridCol w:w="2830"/>
        <w:gridCol w:w="1358"/>
        <w:gridCol w:w="1343"/>
      </w:tblGrid>
      <w:tr>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9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项目名称</w:t>
            </w:r>
          </w:p>
        </w:tc>
        <w:tc>
          <w:tcPr>
            <w:tcW w:type="dxa" w:w="28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主要建设内容</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是否进口</w:t>
            </w:r>
          </w:p>
        </w:tc>
        <w:tc>
          <w:tcPr>
            <w:tcW w:type="dxa" w:w="13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分包要求</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广东财经大学教学科研重大设备更新项目</w:t>
            </w:r>
          </w:p>
        </w:tc>
        <w:tc>
          <w:tcPr>
            <w:tcW w:type="dxa" w:w="28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GPU</w:t>
            </w:r>
            <w:r>
              <w:rPr>
                <w:sz w:val="21"/>
              </w:rPr>
              <w:t>服务器建设；高性能存储系统建设；AI调度平台建设；ROCE高速网络建设；调度软件管理机和登录机建设；高密度服务器建设;图形处理服务器建设;四路服务器建设;备份一体机、存储监控软件、配套网络、制冷和电力改造等</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sz w:val="21"/>
              </w:rPr>
              <w:t>否</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sz w:val="21"/>
              </w:rPr>
              <w:t>无</w:t>
            </w:r>
          </w:p>
        </w:tc>
      </w:tr>
    </w:tbl>
    <w:p>
      <w:pPr>
        <w:pStyle w:val="null3"/>
        <w:jc w:val="both"/>
      </w:pPr>
      <w:r>
        <w:rPr>
          <w:sz w:val="21"/>
        </w:rPr>
        <w:t>（四）采购项目预（概）算</w:t>
      </w:r>
    </w:p>
    <w:p>
      <w:pPr>
        <w:pStyle w:val="null3"/>
        <w:ind w:firstLine="420"/>
        <w:jc w:val="both"/>
      </w:pPr>
      <w:r>
        <w:rPr>
          <w:sz w:val="21"/>
        </w:rPr>
        <w:t>1.</w:t>
      </w:r>
      <w:r>
        <w:rPr>
          <w:sz w:val="21"/>
        </w:rPr>
        <w:t>预算：</w:t>
      </w:r>
      <w:r>
        <w:rPr>
          <w:sz w:val="21"/>
          <w:u w:val="single"/>
        </w:rPr>
        <w:t xml:space="preserve"> 1344万元</w:t>
      </w:r>
    </w:p>
    <w:p>
      <w:pPr>
        <w:pStyle w:val="null3"/>
        <w:ind w:firstLine="420"/>
        <w:jc w:val="both"/>
      </w:pPr>
      <w:r>
        <w:rPr>
          <w:sz w:val="21"/>
        </w:rPr>
        <w:t>2.</w:t>
      </w:r>
      <w:r>
        <w:rPr>
          <w:sz w:val="21"/>
        </w:rPr>
        <w:t>异常低价审核：</w:t>
      </w:r>
    </w:p>
    <w:p>
      <w:pPr>
        <w:pStyle w:val="null3"/>
        <w:ind w:firstLine="420"/>
        <w:jc w:val="both"/>
      </w:pPr>
      <w:r>
        <w:rPr>
          <w:sz w:val="21"/>
        </w:rPr>
        <w:t>评审中出现下列情形之一的，评标委员会（评审小组）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评审委员会基于专业判断，认为供应商报价过低，有可能影响产品质量或者不能诚信履约的其他情形。</w:t>
      </w:r>
    </w:p>
    <w:p>
      <w:pPr>
        <w:pStyle w:val="null3"/>
        <w:ind w:firstLine="420"/>
        <w:jc w:val="both"/>
      </w:pPr>
      <w:r>
        <w:rPr>
          <w:sz w:val="21"/>
        </w:rPr>
        <w:t>评标委员会（评审小组）启动异常低价投标（响应）审查后，应当要求相关供应商在评审现场合理的时间内提供书面说明及必要的证明材料，对投标（响应）价格作出解释。供应商应在评标（审）现场合理的时间内提供书面说明。如供应商为厂家，则对主要材料选材方式及价格分析、生产人工费用、损耗、厂房费用、设备折旧、包装、运输、售后服务、税金、利润、代理服务费等各项费用组成进行分析说明；如供应商非生产厂家的，则按上述各项费用组成提供厂家及供应商的成本分析说明。分析说明应逐一提供佐证材料，包括但不限于：①主要材料的采购合同或报价清单；②人员工资明细表及银行工资转帐凭证；③自有厂房的提供房产证明，租赁厂房的提供租赁合同及发票，委托生产的提供委托生产合同。④生产设备购置合同或租赁合同，如委托生产的，提供委托生产合同。⑤以往同类产品的合同及中标（成交）通知书（或交易发票）。</w:t>
      </w:r>
    </w:p>
    <w:p>
      <w:pPr>
        <w:pStyle w:val="null3"/>
        <w:ind w:firstLine="420"/>
        <w:jc w:val="both"/>
      </w:pPr>
      <w:r>
        <w:rPr>
          <w:sz w:val="21"/>
        </w:rPr>
        <w:t>注：上述罗列的费用，如实际并未发生，则无须提供对应的成本分析及证明材料，但供应商应提供说明。</w:t>
      </w:r>
    </w:p>
    <w:p>
      <w:pPr>
        <w:pStyle w:val="null3"/>
        <w:ind w:firstLine="420"/>
        <w:jc w:val="both"/>
      </w:pPr>
      <w:r>
        <w:rPr>
          <w:sz w:val="21"/>
        </w:rPr>
        <w:t>被启动异常低价审查的供应商，如果不提供书面说明、证明材料，或者提供的书面说明、证明材料不能证明其报价合理性的，应当将其作为无效投标（响应）处理。通过异常低价审查的不足3家，不得进入详细评审。</w:t>
      </w:r>
    </w:p>
    <w:p>
      <w:pPr>
        <w:pStyle w:val="null3"/>
        <w:jc w:val="both"/>
      </w:pPr>
      <w:r>
        <w:rPr>
          <w:sz w:val="21"/>
        </w:rPr>
        <w:t>（五）采购标的汇总表（本项目核心产品为序号1：GPU服务器）</w:t>
      </w:r>
    </w:p>
    <w:tbl>
      <w:tblPr>
        <w:tblW w:w="0" w:type="auto"/>
        <w:tblBorders>
          <w:top w:val="single"/>
          <w:left w:val="single"/>
          <w:bottom w:val="single"/>
          <w:right w:val="single"/>
          <w:insideH w:val="single"/>
          <w:insideV w:val="single"/>
        </w:tblBorders>
      </w:tblPr>
      <w:tblGrid>
        <w:gridCol w:w="705"/>
        <w:gridCol w:w="1740"/>
        <w:gridCol w:w="1470"/>
        <w:gridCol w:w="1185"/>
        <w:gridCol w:w="705"/>
        <w:gridCol w:w="1185"/>
        <w:gridCol w:w="1185"/>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品目</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计量单位</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是否进口</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分包要求</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GPU</w:t>
            </w:r>
            <w:r>
              <w:rPr>
                <w:sz w:val="21"/>
              </w:rPr>
              <w:t>服务器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A02010104</w:t>
            </w:r>
          </w:p>
          <w:p>
            <w:pPr>
              <w:pStyle w:val="null3"/>
              <w:jc w:val="left"/>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存储系统</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A02010507</w:t>
            </w:r>
          </w:p>
          <w:p>
            <w:pPr>
              <w:pStyle w:val="null3"/>
            </w:pPr>
            <w:r>
              <w:rPr>
                <w:sz w:val="21"/>
              </w:rPr>
              <w:t>网络存储设备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调度软件管理机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A02010104</w:t>
            </w:r>
          </w:p>
          <w:p>
            <w:pPr>
              <w:pStyle w:val="null3"/>
              <w:jc w:val="left"/>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AI</w:t>
            </w:r>
            <w:r>
              <w:rPr>
                <w:sz w:val="21"/>
              </w:rPr>
              <w:t>调度平台</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A08060302</w:t>
            </w:r>
          </w:p>
          <w:p>
            <w:pPr>
              <w:pStyle w:val="null3"/>
              <w:jc w:val="left"/>
            </w:pPr>
            <w:r>
              <w:rPr>
                <w:sz w:val="21"/>
              </w:rPr>
              <w:t>支撑软件</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调度软件登录机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A02010104</w:t>
            </w:r>
          </w:p>
          <w:p>
            <w:pPr>
              <w:pStyle w:val="null3"/>
              <w:jc w:val="left"/>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200G ROCE</w:t>
            </w:r>
            <w:r>
              <w:rPr>
                <w:sz w:val="21"/>
              </w:rPr>
              <w:t>高速网络</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A02010202</w:t>
            </w:r>
          </w:p>
          <w:p>
            <w:pPr>
              <w:pStyle w:val="null3"/>
              <w:jc w:val="left"/>
            </w:pPr>
            <w:r>
              <w:rPr>
                <w:sz w:val="21"/>
              </w:rPr>
              <w:t>交换设备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25G</w:t>
            </w:r>
            <w:r>
              <w:rPr>
                <w:sz w:val="21"/>
              </w:rPr>
              <w:t>交换机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A02010202</w:t>
            </w:r>
          </w:p>
          <w:p>
            <w:pPr>
              <w:pStyle w:val="null3"/>
              <w:jc w:val="left"/>
            </w:pPr>
            <w:r>
              <w:rPr>
                <w:sz w:val="21"/>
              </w:rPr>
              <w:t>交换设备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登录管理服务器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A02010104</w:t>
            </w:r>
          </w:p>
          <w:p>
            <w:pPr>
              <w:pStyle w:val="null3"/>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A02010104</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高密度服务器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A02010104</w:t>
            </w:r>
          </w:p>
          <w:p>
            <w:pPr>
              <w:pStyle w:val="null3"/>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超融合平台授权</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A08060302</w:t>
            </w:r>
          </w:p>
          <w:p>
            <w:pPr>
              <w:pStyle w:val="null3"/>
            </w:pPr>
            <w:r>
              <w:rPr>
                <w:sz w:val="21"/>
              </w:rPr>
              <w:t>支撑软件</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图形处理服务器1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A02010104</w:t>
            </w:r>
          </w:p>
          <w:p>
            <w:pPr>
              <w:pStyle w:val="null3"/>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图形处理服务器2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A02010104</w:t>
            </w:r>
          </w:p>
          <w:p>
            <w:pPr>
              <w:pStyle w:val="null3"/>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四路服务器</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A02010104</w:t>
            </w:r>
          </w:p>
          <w:p>
            <w:pPr>
              <w:pStyle w:val="null3"/>
            </w:pPr>
            <w:r>
              <w:rPr>
                <w:sz w:val="21"/>
              </w:rPr>
              <w:t>服务器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备份一体机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A02010507</w:t>
            </w:r>
          </w:p>
          <w:p>
            <w:pPr>
              <w:pStyle w:val="null3"/>
            </w:pPr>
            <w:r>
              <w:rPr>
                <w:sz w:val="21"/>
              </w:rPr>
              <w:t>网络存储设备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存储监控软件</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A08060302</w:t>
            </w:r>
          </w:p>
          <w:p>
            <w:pPr>
              <w:pStyle w:val="null3"/>
            </w:pPr>
            <w:r>
              <w:rPr>
                <w:sz w:val="21"/>
              </w:rPr>
              <w:t>支撑软件</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IB</w:t>
            </w:r>
            <w:r>
              <w:rPr>
                <w:sz w:val="21"/>
              </w:rPr>
              <w:t>交换机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A02010202</w:t>
            </w:r>
          </w:p>
          <w:p>
            <w:pPr>
              <w:pStyle w:val="null3"/>
            </w:pPr>
            <w:r>
              <w:rPr>
                <w:sz w:val="21"/>
              </w:rPr>
              <w:t>交换设备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IB</w:t>
            </w:r>
            <w:r>
              <w:rPr>
                <w:sz w:val="21"/>
              </w:rPr>
              <w:t>线缆</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A02010700</w:t>
            </w:r>
          </w:p>
          <w:p>
            <w:pPr>
              <w:pStyle w:val="null3"/>
              <w:jc w:val="left"/>
            </w:pPr>
            <w:r>
              <w:rPr>
                <w:sz w:val="21"/>
              </w:rPr>
              <w:t>信息化设备零部件</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万兆交换机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A02010202</w:t>
            </w:r>
          </w:p>
          <w:p>
            <w:pPr>
              <w:pStyle w:val="null3"/>
            </w:pPr>
            <w:r>
              <w:rPr>
                <w:sz w:val="21"/>
              </w:rPr>
              <w:t>交换设备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万兆光模块</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A02010700</w:t>
            </w:r>
          </w:p>
          <w:p>
            <w:pPr>
              <w:pStyle w:val="null3"/>
              <w:jc w:val="left"/>
            </w:pPr>
            <w:r>
              <w:rPr>
                <w:sz w:val="21"/>
              </w:rPr>
              <w:t>信息化设备零部件</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千兆交换机</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A02010202</w:t>
            </w:r>
          </w:p>
          <w:p>
            <w:pPr>
              <w:pStyle w:val="null3"/>
            </w:pPr>
            <w:r>
              <w:rPr>
                <w:sz w:val="21"/>
              </w:rPr>
              <w:t>交换设备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高性能集群管理软件</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A08060302</w:t>
            </w:r>
          </w:p>
          <w:p>
            <w:pPr>
              <w:pStyle w:val="null3"/>
              <w:jc w:val="left"/>
            </w:pPr>
            <w:r>
              <w:rPr>
                <w:sz w:val="21"/>
              </w:rPr>
              <w:t>支撑软件</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精密空调</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A02052309</w:t>
            </w:r>
            <w:r>
              <w:rPr>
                <w:sz w:val="21"/>
              </w:rPr>
              <w:t>专用制冷空调设备</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w:t>
            </w:r>
          </w:p>
        </w:tc>
      </w:tr>
    </w:tbl>
    <w:p>
      <w:pPr>
        <w:pStyle w:val="null3"/>
      </w:pPr>
      <w:r>
        <w:rPr>
          <w:sz w:val="21"/>
        </w:rPr>
        <w:t>（六）技术要求与商务要求</w:t>
      </w:r>
    </w:p>
    <w:p>
      <w:pPr>
        <w:pStyle w:val="null3"/>
        <w:jc w:val="both"/>
      </w:pPr>
      <w:r>
        <w:rPr>
          <w:sz w:val="21"/>
          <w:b/>
        </w:rPr>
        <w:t>1.</w:t>
      </w:r>
      <w:r>
        <w:rPr>
          <w:sz w:val="21"/>
          <w:b/>
        </w:rPr>
        <w:t>技术要求（包括性能、材料、结构、外观、安全或服务内容和服务标准）：</w:t>
      </w:r>
    </w:p>
    <w:p>
      <w:pPr>
        <w:pStyle w:val="null3"/>
        <w:ind w:firstLine="420"/>
        <w:jc w:val="both"/>
      </w:pPr>
      <w:r>
        <w:rPr>
          <w:sz w:val="21"/>
        </w:rPr>
        <w:t>1</w:t>
      </w:r>
      <w:r>
        <w:rPr>
          <w:sz w:val="21"/>
        </w:rPr>
        <w:t>）总体要求：</w:t>
      </w:r>
    </w:p>
    <w:p>
      <w:pPr>
        <w:pStyle w:val="null3"/>
        <w:ind w:firstLine="420"/>
        <w:jc w:val="both"/>
      </w:pPr>
      <w:r>
        <w:rPr>
          <w:sz w:val="21"/>
        </w:rPr>
        <w:t>A.</w:t>
      </w:r>
      <w:r>
        <w:rPr>
          <w:sz w:val="21"/>
        </w:rPr>
        <w:t>投标人所提供的所有设备需是未使用过的全新产品,投标时需提供主要产品（GPU服务器）的厂家、具体型号和加盖投标人公章的技术及性能指标说明</w:t>
      </w:r>
      <w:r>
        <w:rPr>
          <w:sz w:val="21"/>
        </w:rPr>
        <w:t>;</w:t>
      </w:r>
      <w:r>
        <w:rPr>
          <w:sz w:val="21"/>
        </w:rPr>
        <w:t>投标人需确保设备及所有配套件的完整性和可靠性。</w:t>
      </w:r>
    </w:p>
    <w:p>
      <w:pPr>
        <w:pStyle w:val="null3"/>
        <w:ind w:firstLine="420"/>
        <w:jc w:val="both"/>
      </w:pPr>
      <w:r>
        <w:rPr>
          <w:sz w:val="21"/>
        </w:rPr>
        <w:t>B.</w:t>
      </w:r>
      <w:r>
        <w:rPr>
          <w:sz w:val="21"/>
        </w:rPr>
        <w:t>为保障供货渠道正规合法，投标人需承诺设备供货时提供存储系统、高密度服务器的原厂供货确认函原件，未提供原厂供货确认函原件的，采购人有权不予验收。若发现提供的产品与所投产品参数不符合的，按相关政府采购法规定处理。</w:t>
      </w:r>
    </w:p>
    <w:p>
      <w:pPr>
        <w:pStyle w:val="null3"/>
        <w:ind w:firstLine="420"/>
        <w:jc w:val="both"/>
      </w:pPr>
      <w:r>
        <w:rPr>
          <w:sz w:val="21"/>
        </w:rPr>
        <w:t>C.</w:t>
      </w:r>
      <w:r>
        <w:rPr>
          <w:sz w:val="21"/>
        </w:rPr>
        <w:t>为保障产品服务质量，签订合同时投标人需提供GPU服务器、存储系统、高密度服务器的原厂售后服务承诺函。</w:t>
      </w:r>
    </w:p>
    <w:p>
      <w:pPr>
        <w:pStyle w:val="null3"/>
        <w:ind w:firstLine="420"/>
        <w:jc w:val="both"/>
      </w:pPr>
      <w:r>
        <w:rPr>
          <w:sz w:val="21"/>
        </w:rPr>
        <w:t>D.</w:t>
      </w:r>
      <w:r>
        <w:rPr>
          <w:sz w:val="21"/>
        </w:rPr>
        <w:t>本次采购的GPU服务器安装在北校区图书馆数据中心机房，为保障制冷效果，需在图书馆数据中心增加精密空调1台，制冷量≥72kW,恒温恒湿型，双系统，下送风，风机不下沉 ，≥7寸触摸屏，谷轮压缩机，EC风机，电子膨胀阀，含风管制作安装及相关风管附件、支架制作</w:t>
      </w:r>
      <w:r>
        <w:rPr>
          <w:sz w:val="21"/>
        </w:rPr>
        <w:t>安装等。同时对机房电气改造升级：含不少于4个列头柜（开关），线路（线缆），PDU（每个柜按不少于15KW计算）等。（数据中心机房UPS距离机柜约40米）</w:t>
      </w:r>
    </w:p>
    <w:p>
      <w:pPr>
        <w:pStyle w:val="null3"/>
        <w:ind w:firstLine="420"/>
        <w:jc w:val="both"/>
      </w:pPr>
      <w:r>
        <w:rPr>
          <w:sz w:val="21"/>
        </w:rPr>
        <w:t>E</w:t>
      </w:r>
      <w:r>
        <w:rPr>
          <w:sz w:val="21"/>
        </w:rPr>
        <w:t>．GPU服务器需预装主流国产大模型如DeepSeek,通义千问等，质保期内一年至少两次主动更新，模型重要更新同步跟进更新部署。质保期内若采购人有教学科研等高突发智算需求，投标人需提供不少于10P的远程智能算力支持, 投标时提供投标人承诺函并加盖公章。</w:t>
      </w:r>
    </w:p>
    <w:p>
      <w:pPr>
        <w:pStyle w:val="null3"/>
        <w:ind w:firstLine="420"/>
        <w:jc w:val="both"/>
      </w:pPr>
      <w:r>
        <w:rPr>
          <w:sz w:val="21"/>
        </w:rPr>
        <w:t>F.</w:t>
      </w:r>
      <w:r>
        <w:rPr>
          <w:sz w:val="21"/>
        </w:rPr>
        <w:t>为保障采购人能够将本次采购的高密度服务器（超融合一体机）与已有超融合平台整合，实现所有CPU、内存及存储资源的统一管理与调度，所投设备需兼容采购人现有超融合平台（软件平台为H3C UIS，硬件节点为18台H3C R4900 G5），并能够与该平台现有资源实现统一管理，采购人将提供必要的接口标准,投标人需提供兼容方案，并以承诺函方式确认方案真实可行，并加盖投标人公章，兼容整合方案所涉及的额外费用均包含在总报价中，由投标人承担。</w:t>
      </w:r>
    </w:p>
    <w:p>
      <w:pPr>
        <w:pStyle w:val="null3"/>
        <w:ind w:firstLine="420"/>
        <w:jc w:val="both"/>
      </w:pPr>
      <w:r>
        <w:rPr>
          <w:sz w:val="21"/>
        </w:rPr>
        <w:t>G.</w:t>
      </w:r>
      <w:r>
        <w:rPr>
          <w:sz w:val="21"/>
        </w:rPr>
        <w:t>本项目超融合平台设备,其中6台高密度服务器及8台四路服务器，将由学校用户单位1统筹建设与管理，供全校统一调度使用；其余10台登录管理服务器节点、4台高密度服务器、10台图形处理服务器及2台四路服务器，则由学校用户单位2负责建设、管理与使用。若以上部署存在调整，应配合满足需求，实现两部分设备可依据实际条件部署于不同物理空间，但将通过校园局域网实现统一的资源接入与逻辑调度，确保形成协同联动的整体算力资源池。</w:t>
      </w:r>
    </w:p>
    <w:p>
      <w:pPr>
        <w:pStyle w:val="null3"/>
        <w:ind w:firstLine="420"/>
        <w:jc w:val="both"/>
      </w:pPr>
      <w:r>
        <w:rPr>
          <w:sz w:val="21"/>
        </w:rPr>
        <w:t>H</w:t>
      </w:r>
      <w:r>
        <w:rPr>
          <w:sz w:val="21"/>
        </w:rPr>
        <w:t>．完成敏学楼910机房环境优化、配套线路改造。包括但不限于配套机柜、天花、抗静电地板、强弱电、灯具插座、桥架及线管、机柜内布线、门禁系统、网络系统等所有相关内容，并同步一体化考虑采购单位已有的UPS设备的安装、部署、使用，做好相关配套衔接。</w:t>
      </w:r>
    </w:p>
    <w:p>
      <w:pPr>
        <w:pStyle w:val="null3"/>
        <w:ind w:firstLine="420"/>
        <w:jc w:val="both"/>
      </w:pPr>
      <w:r>
        <w:rPr>
          <w:sz w:val="21"/>
        </w:rPr>
        <w:t>机房环境除需满足设备对温度、湿度、空气洁净度、供电质量、接地、电磁场、振动和静电等技术指标要求外，还需符合工作人员在照明、新风、气流速度、噪音控制、消防、防御自然灾害（如雷电、水害、虫害）及安全保卫等方面的实际需求，以保证机房设备需实现24小时不间断运行。</w:t>
      </w:r>
    </w:p>
    <w:p>
      <w:pPr>
        <w:pStyle w:val="null3"/>
        <w:ind w:firstLine="420"/>
        <w:jc w:val="both"/>
      </w:pPr>
      <w:r>
        <w:rPr>
          <w:sz w:val="21"/>
        </w:rPr>
        <w:t>根据项目需求和建筑结构图，主控机房更新建设后平面布局如下：</w:t>
      </w:r>
    </w:p>
    <w:p>
      <w:pPr>
        <w:pStyle w:val="null3"/>
        <w:ind w:firstLine="420"/>
        <w:jc w:val="both"/>
      </w:pPr>
      <w:r>
        <w:rPr>
          <w:sz w:val="21"/>
        </w:rPr>
        <w:t>整体机房面积约</w:t>
      </w:r>
      <w:r>
        <w:rPr>
          <w:sz w:val="21"/>
        </w:rPr>
        <w:t>46.4</w:t>
      </w:r>
      <w:r>
        <w:rPr>
          <w:sz w:val="21"/>
        </w:rPr>
        <w:t>㎡，主机房区域约</w:t>
      </w:r>
      <w:r>
        <w:rPr>
          <w:sz w:val="21"/>
        </w:rPr>
        <w:t>8.6</w:t>
      </w:r>
      <w:r>
        <w:rPr>
          <w:sz w:val="21"/>
        </w:rPr>
        <w:t>㎡；电池</w:t>
      </w:r>
      <w:r>
        <w:rPr>
          <w:sz w:val="21"/>
        </w:rPr>
        <w:t>UPS</w:t>
      </w:r>
      <w:r>
        <w:rPr>
          <w:sz w:val="21"/>
        </w:rPr>
        <w:t>间约</w:t>
      </w:r>
      <w:r>
        <w:rPr>
          <w:sz w:val="21"/>
        </w:rPr>
        <w:t>7.8</w:t>
      </w:r>
      <w:r>
        <w:rPr>
          <w:sz w:val="21"/>
        </w:rPr>
        <w:t>㎡。</w:t>
      </w:r>
    </w:p>
    <w:p>
      <w:pPr>
        <w:pStyle w:val="null3"/>
        <w:ind w:firstLine="420"/>
        <w:jc w:val="both"/>
      </w:pPr>
      <w:r>
        <w:drawing>
          <wp:inline distT="0" distR="0" distB="0" distL="0">
            <wp:extent cx="3886200" cy="38195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3886200" cy="3819525"/>
                    </a:xfrm>
                    <a:prstGeom prst="rect">
                      <a:avLst/>
                    </a:prstGeom>
                  </pic:spPr>
                </pic:pic>
              </a:graphicData>
            </a:graphic>
          </wp:inline>
        </w:drawing>
      </w:r>
    </w:p>
    <w:p>
      <w:pPr>
        <w:pStyle w:val="null3"/>
        <w:jc w:val="left"/>
      </w:pPr>
      <w:r>
        <w:rPr>
          <w:sz w:val="21"/>
          <w:b/>
        </w:rPr>
        <w:t xml:space="preserve">2. </w:t>
      </w:r>
      <w:r>
        <w:rPr>
          <w:sz w:val="21"/>
          <w:b/>
        </w:rPr>
        <w:t>具体技术指标及性能要求</w:t>
      </w:r>
    </w:p>
    <w:p>
      <w:pPr>
        <w:pStyle w:val="null3"/>
        <w:ind w:left="630"/>
        <w:jc w:val="both"/>
        <w:outlineLvl w:val="0"/>
      </w:pPr>
      <w:r>
        <w:rPr>
          <w:sz w:val="21"/>
          <w:b/>
        </w:rPr>
        <w:t>2.1   GPU服务器</w:t>
      </w:r>
    </w:p>
    <w:tbl>
      <w:tblPr>
        <w:tblW w:w="0" w:type="auto"/>
        <w:tblBorders>
          <w:top w:val="none" w:color="000000" w:sz="4"/>
          <w:left w:val="none" w:color="000000" w:sz="4"/>
          <w:bottom w:val="none" w:color="000000" w:sz="4"/>
          <w:right w:val="none" w:color="000000" w:sz="4"/>
          <w:insideH w:val="none"/>
          <w:insideV w:val="none"/>
        </w:tblBorders>
      </w:tblPr>
      <w:tblGrid>
        <w:gridCol w:w="685"/>
        <w:gridCol w:w="1113"/>
        <w:gridCol w:w="1113"/>
        <w:gridCol w:w="1284"/>
        <w:gridCol w:w="4109"/>
      </w:tblGrid>
      <w:tr>
        <w:tc>
          <w:tcPr>
            <w:tcW w:type="dxa" w:w="6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11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11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8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★CPU 信息</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数量≥2个；单颗处理器核心数≥48，主频≥2.7GHz，三级缓存容量≥260MB，线程数≥96，功耗≤350W</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★主板支持的 CPU 和内存情况</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内存速率最高支持5600MT/s</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★主板内存槽数量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≥32个</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★主板存储接口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★PCIe 插槽接口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PCIe5.0 或以上的高速串行计算机扩展总线标准，PCIe 的接口速率与位宽需保证向下兼容</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★主板 PCIe 插槽数量及规格</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≥12个PCIe5.0标准槽位</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特殊孔位及接口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板载网络接口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主板 OCP 插槽数量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≥1个</w:t>
            </w:r>
            <w:r>
              <w:rPr>
                <w:sz w:val="21"/>
              </w:rPr>
              <w:t>OCP 3.0</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★内存数量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16</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★内存规格</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64GB DDR5</w:t>
            </w:r>
            <w:r>
              <w:rPr>
                <w:sz w:val="21"/>
              </w:rPr>
              <w:t>，</w:t>
            </w:r>
            <w:r>
              <w:rPr>
                <w:sz w:val="21"/>
              </w:rPr>
              <w:t>≥5600MT/s</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★内存通道</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硬盘类型</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投标人需提供服务器可支持的硬磁盘和固态盘类型及规格</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★硬磁盘实配容量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硬盘接口类型</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支持SATA/SAS/NVMe</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 种类型固态盘接口，如 M.2、UFS、SATA、PCIe 等</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★硬盘实配数量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2</w:t>
            </w:r>
            <w:r>
              <w:rPr>
                <w:sz w:val="21"/>
              </w:rPr>
              <w:t>块960GB SATA SSD硬盘，≥3块3.84TB NVMe SSD硬盘；</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★硬盘插槽数量及规格</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≥16个2.5英寸硬盘插槽：</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硬盘其他参数要求</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RAID </w:t>
            </w:r>
            <w:r>
              <w:rPr>
                <w:sz w:val="21"/>
              </w:rPr>
              <w:t>卡支持的 SAS接口数</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配置≥1块RAID卡模块(支持8个SAS Port,带4GB缓存,PCIe)；支持RAID 0/1/10/5/50/6/60和直通模式</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SAS </w:t>
            </w:r>
            <w:r>
              <w:rPr>
                <w:sz w:val="21"/>
              </w:rPr>
              <w:t>直通卡 SAS 接口数量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HBA </w:t>
            </w:r>
            <w:r>
              <w:rPr>
                <w:sz w:val="21"/>
              </w:rPr>
              <w:t>卡端口数量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★网口速率和数量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≥9个200G以太网光接口</w:t>
            </w:r>
            <w:r>
              <w:rPr>
                <w:sz w:val="21"/>
              </w:rPr>
              <w:t>（满配200G多模光模块）</w:t>
            </w:r>
            <w:r>
              <w:rPr>
                <w:sz w:val="21"/>
              </w:rPr>
              <w:t>，≥2个10/25G以太网光接口（满配25G多模光模块）</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存储型服务器网口速率和数量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独立网卡网口数量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≥9个200G以太网光接口</w:t>
            </w:r>
            <w:r>
              <w:rPr>
                <w:sz w:val="21"/>
              </w:rPr>
              <w:t>（满配200G多模光模块）</w:t>
            </w:r>
            <w:r>
              <w:rPr>
                <w:sz w:val="21"/>
              </w:rPr>
              <w:t>，≥2个10/25G以太网光接口（满配25G多模光模块）</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独立网卡接口类型</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 /SFP 等</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板载网卡接口类型</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★显示接口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★USB 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特殊接口及孔位</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其他接口</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电源冗余模式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N+M</w:t>
            </w:r>
            <w:r>
              <w:rPr>
                <w:sz w:val="21"/>
              </w:rPr>
              <w:t>冗余</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★电源模块数量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≥8块</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★电源功率</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单块电源功率≥2400W</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电源指示灯</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★外观和结构</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★尺寸（高×宽×深）</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服务器导轨</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CPU </w:t>
            </w:r>
            <w:r>
              <w:rPr>
                <w:sz w:val="21"/>
              </w:rPr>
              <w:t>个数与机柜高度单位 (U) 比</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★环境适应性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特殊机型环境适应性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★机械环境适应性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★噪声</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★AI 计算单元规格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★AI 计算单元</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实配AI 计算单元，GPU卡</w:t>
            </w:r>
            <w:r>
              <w:rPr>
                <w:sz w:val="21"/>
              </w:rPr>
              <w:t>数量≥8块;每块GPU性能：显存容量≥80GB，FP16 Tensor Core性能≥1970 TFLOPS，FP8 Tensor Core性能≥3950 TFLOPS，互联带宽≥900GB/s</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一键式迁移</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★机柜尺寸</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机柜电源规格</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★主板外部接口种类</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USB、显示、管理等接口，如：VGA、USB3.0、BMC 管理端口</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主板防烧板设计</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扩展功能</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★网络功能</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★计算处理</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★密码算法实现</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内存校验</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SATA SSD NAND </w:t>
            </w:r>
            <w:r>
              <w:rPr>
                <w:sz w:val="21"/>
              </w:rPr>
              <w:t>健康状态上报</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SATA SSD </w:t>
            </w:r>
            <w:r>
              <w:rPr>
                <w:sz w:val="21"/>
              </w:rPr>
              <w:t>单 die 故障隔离</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RAID </w:t>
            </w:r>
            <w:r>
              <w:rPr>
                <w:sz w:val="21"/>
              </w:rPr>
              <w:t>卡 RAID 级别支持</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RAID </w:t>
            </w:r>
            <w:r>
              <w:rPr>
                <w:sz w:val="21"/>
              </w:rPr>
              <w:t>卡 BBU 单元</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光驱类型（是否支持 RW，以及光盘类型CD/DVD）</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★电源热插拔</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★电源过流保护</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★散热方式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其他功能</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★BMC 固件基础功能</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 BMC 进行管理；</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▲BMC 固件增强功能</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为了BMC的安全可靠性，避免因BMC用户信息泄露引发安全问题，登录服务器BMC管理软件需支持两种双因素认证。支持动态令牌和静态密码验证双因素认证。支持基于一次性随机动态密码且使用国密算法的双因素认证</w:t>
            </w:r>
            <w:r>
              <w:rPr>
                <w:sz w:val="21"/>
              </w:rPr>
              <w:t>供应商在投标环节出具关于所提供通用服务器满足采购文件要求承诺函的，即视为相关产品符合要求。</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）支持通过BMC页面带外设置BIOS选项，不限于启动项、CPU调节，可以通过BMC带外配置PCIE参数等</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★BIOS 固件基础功能</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★远程控制</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★操作系统及驱动的升级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操作系统及驱动的备份还原</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★操作系统功能</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★中文信息处理</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机柜管理功能</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机柜通信方式</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多集群作业管理</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both"/>
            </w:pPr>
            <w:r>
              <w:rPr>
                <w:sz w:val="21"/>
              </w:rPr>
              <w:t>安全要求</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★故障检测</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内存故障智能预测和自愈修复</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硬盘故障智能预测</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PCIe </w:t>
            </w:r>
            <w:r>
              <w:rPr>
                <w:sz w:val="21"/>
              </w:rPr>
              <w:t>链路故障智能诊断</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内存故障隔离</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内存、PCIe 卡的故障精准告警功能</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异常下电关键数据保护</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BMC/BIOS </w:t>
            </w:r>
            <w:r>
              <w:rPr>
                <w:sz w:val="21"/>
              </w:rPr>
              <w:t>固件双镜像保护</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CPU </w:t>
            </w:r>
            <w:r>
              <w:rPr>
                <w:sz w:val="21"/>
              </w:rPr>
              <w:t>核重启隔离</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内存地址隔离</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内存存储阵列替换</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安全启动</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syslog </w:t>
            </w:r>
            <w:r>
              <w:rPr>
                <w:sz w:val="21"/>
              </w:rPr>
              <w:t>双向鉴别</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★弱口令字典检查</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★白名单访问控制</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双因素鉴别</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★二次鉴别</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匿名化用户告警接收邮箱</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★密码证书安全加密存储</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★敏感信息安全加密传输</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★研发过程安全</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漏洞管理</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网络关键设备服务器要求</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▲增强要求</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）可通过安全面板上的灯效展示服务器的待机、启动阶段，以及整机负载、硬件故障和预故障等运行状态或支持配置氛围灯与服务器监控或功率负载等状态联动</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★物理安全</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★限用物质的限量要求</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★CPU 主频</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≥2.7GHz</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★单 CPU 核数</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≥48</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★单 CPU 末级缓存容量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≥260MB</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单内存模块容量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≥64GB</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★内存速率</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≥5600MT/s</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硬盘转速</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RAID </w:t>
            </w:r>
            <w:r>
              <w:rPr>
                <w:sz w:val="21"/>
              </w:rPr>
              <w:t>卡缓存容量大小</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FC HBA </w:t>
            </w:r>
            <w:r>
              <w:rPr>
                <w:sz w:val="21"/>
              </w:rPr>
              <w:t>卡速率</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独立网卡速率</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≥25/200GE</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板载网卡速率</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★电源能耗</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★内存兼容性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★固态存储兼容性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FC HBA </w:t>
            </w:r>
            <w:r>
              <w:rPr>
                <w:sz w:val="21"/>
              </w:rPr>
              <w:t>卡兼容性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xml:space="preserve">RAID </w:t>
            </w:r>
            <w:r>
              <w:rPr>
                <w:sz w:val="21"/>
              </w:rPr>
              <w:t>卡兼容性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★网卡兼容性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★功能卡兼容性</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★外设兼容性</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★数据库兼容</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★中间件兼容</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★平台软件兼容</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虚拟化软件兼容</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SATA SSD </w:t>
            </w:r>
            <w:r>
              <w:rPr>
                <w:sz w:val="21"/>
              </w:rPr>
              <w:t>可靠性</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★整机可靠性</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★风扇可靠性</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★部件可靠性</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★标志、包装、运输和贮存</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★服务响应</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★培训服务</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6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★服务周期</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）产品免费服务周期（含换件和维修）应≥3年；</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 年；</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★工具要求</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6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辅助工具</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685"/>
            <w:vMerge/>
            <w:tcBorders>
              <w:top w:val="none" w:color="000000" w:sz="4"/>
              <w:left w:val="singl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113"/>
            <w:vMerge/>
            <w:tcBorders>
              <w:top w:val="none" w:color="000000" w:sz="4"/>
              <w:left w:val="none" w:color="000000" w:sz="4"/>
              <w:bottom w:val="single" w:color="000000" w:sz="4"/>
              <w:right w:val="single" w:color="000000" w:sz="4"/>
            </w:tcBorders>
          </w:tcPr>
          <w:p/>
        </w:tc>
        <w:tc>
          <w:tcPr>
            <w:tcW w:type="dxa" w:w="1284"/>
            <w:vMerge/>
            <w:tcBorders>
              <w:top w:val="none" w:color="000000" w:sz="4"/>
              <w:left w:val="non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★驱动安装升级指引</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随机附开盖工具</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代码迁移工具</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性能分析工具</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跨架构平台应用兼容</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★管理软件</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★厂家升级产品软件与扩容服务</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服务保障升级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投标人有偿提供远程技术支持、软件授权服务、备件更换服务、现场支撑服务</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★提供上门服务</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业务场景性能优化服务及整体架构升级服务</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1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★抗干扰性</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113"/>
            <w:vMerge/>
            <w:tcBorders>
              <w:top w:val="none" w:color="000000" w:sz="4"/>
              <w:left w:val="none" w:color="000000" w:sz="4"/>
              <w:bottom w:val="single" w:color="000000" w:sz="4"/>
              <w:right w:val="single" w:color="000000" w:sz="4"/>
            </w:tcBorders>
          </w:tcPr>
          <w:p/>
        </w:tc>
        <w:tc>
          <w:tcPr>
            <w:tcW w:type="dxa" w:w="1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★供应能力证明</w:t>
            </w:r>
          </w:p>
        </w:tc>
        <w:tc>
          <w:tcPr>
            <w:tcW w:type="dxa" w:w="410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bl>
    <w:p>
      <w:pPr>
        <w:pStyle w:val="null3"/>
      </w:pPr>
      <w:r>
        <w:rPr>
          <w:sz w:val="21"/>
        </w:rPr>
        <w:t>本表格共有★</w:t>
      </w:r>
      <w:r>
        <w:rPr>
          <w:sz w:val="21"/>
        </w:rPr>
        <w:t>108</w:t>
      </w:r>
      <w:r>
        <w:rPr>
          <w:sz w:val="21"/>
        </w:rPr>
        <w:t>个，供应商在投标环节出具关于所提供通用服务器满足采购文件要求承诺函的，即视为相关产品符合要求。</w:t>
      </w:r>
    </w:p>
    <w:p>
      <w:pPr>
        <w:pStyle w:val="null3"/>
        <w:jc w:val="both"/>
        <w:outlineLvl w:val="0"/>
      </w:pPr>
      <w:r>
        <w:rPr>
          <w:sz w:val="21"/>
          <w:b/>
        </w:rPr>
        <w:t>2.2存储系统</w:t>
      </w:r>
    </w:p>
    <w:tbl>
      <w:tblPr>
        <w:tblW w:w="0" w:type="auto"/>
        <w:tblInd w:type="dxa" w:w="120"/>
        <w:tblBorders>
          <w:top w:val="single"/>
          <w:left w:val="single"/>
          <w:bottom w:val="single"/>
          <w:right w:val="single"/>
          <w:insideH w:val="single"/>
          <w:insideV w:val="single"/>
        </w:tblBorders>
      </w:tblPr>
      <w:tblGrid>
        <w:gridCol w:w="799"/>
        <w:gridCol w:w="1341"/>
        <w:gridCol w:w="6165"/>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1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一、基础配置要求：</w:t>
            </w:r>
          </w:p>
          <w:p>
            <w:pPr>
              <w:pStyle w:val="null3"/>
              <w:jc w:val="left"/>
            </w:pPr>
            <w:r>
              <w:rPr>
                <w:sz w:val="21"/>
              </w:rPr>
              <w:t>每节点配置如下：</w:t>
            </w:r>
          </w:p>
          <w:p>
            <w:pPr>
              <w:pStyle w:val="null3"/>
              <w:jc w:val="left"/>
            </w:pPr>
            <w:r>
              <w:rPr>
                <w:sz w:val="21"/>
              </w:rPr>
              <w:t>1</w:t>
            </w:r>
            <w:r>
              <w:rPr>
                <w:sz w:val="21"/>
              </w:rPr>
              <w:t>、CPU≥2个,主频≥2.2G，核数≥24核；</w:t>
            </w:r>
          </w:p>
          <w:p>
            <w:pPr>
              <w:pStyle w:val="null3"/>
              <w:jc w:val="left"/>
            </w:pPr>
            <w:r>
              <w:rPr>
                <w:sz w:val="21"/>
              </w:rPr>
              <w:t>2</w:t>
            </w:r>
            <w:r>
              <w:rPr>
                <w:sz w:val="21"/>
              </w:rPr>
              <w:t>、配置≥256GB内存模块;</w:t>
            </w:r>
          </w:p>
          <w:p>
            <w:pPr>
              <w:pStyle w:val="null3"/>
              <w:jc w:val="left"/>
            </w:pPr>
            <w:r>
              <w:rPr>
                <w:sz w:val="21"/>
              </w:rPr>
              <w:t>★3、配置≥2 * 480GB SSD 通用硬盘模块,≥9 * 15.36TB NVMe SSD通用硬盘模块;</w:t>
            </w:r>
          </w:p>
          <w:p>
            <w:pPr>
              <w:pStyle w:val="null3"/>
              <w:jc w:val="left"/>
            </w:pPr>
            <w:r>
              <w:rPr>
                <w:sz w:val="21"/>
              </w:rPr>
              <w:t>4</w:t>
            </w:r>
            <w:r>
              <w:rPr>
                <w:sz w:val="21"/>
              </w:rPr>
              <w:t>、配置≥ 2端口25Gb/s光接口（含万兆光模块）；≥1 * 4端口1Gb/s 电接口，≥4个200G 网口（含200G模块）；5、含本次所需存储授权。</w:t>
            </w:r>
          </w:p>
          <w:p>
            <w:pPr>
              <w:pStyle w:val="null3"/>
              <w:jc w:val="left"/>
            </w:pPr>
            <w:r>
              <w:rPr>
                <w:sz w:val="21"/>
              </w:rPr>
              <w:t>二、功能要求：</w:t>
            </w:r>
          </w:p>
          <w:p>
            <w:pPr>
              <w:pStyle w:val="null3"/>
              <w:jc w:val="left"/>
            </w:pPr>
            <w:r>
              <w:rPr>
                <w:sz w:val="21"/>
              </w:rPr>
              <w:t>1</w:t>
            </w:r>
            <w:r>
              <w:rPr>
                <w:sz w:val="21"/>
              </w:rPr>
              <w:t>、采用去中心分布式架构，无独立元数据节点，性能、容量随节点数增加而线性增加，不接受IO节点+SAN盘阵或JBOD的存储架构；</w:t>
            </w:r>
          </w:p>
          <w:p>
            <w:pPr>
              <w:pStyle w:val="null3"/>
              <w:jc w:val="left"/>
            </w:pPr>
            <w:r>
              <w:rPr>
                <w:sz w:val="21"/>
              </w:rPr>
              <w:t>2</w:t>
            </w:r>
            <w:r>
              <w:rPr>
                <w:sz w:val="21"/>
              </w:rPr>
              <w:t>、支持在同一存储集群或在同一个池中，同时部署文件，块，对象功能，并同时提供块、文件、对象完整服务。</w:t>
            </w:r>
          </w:p>
          <w:p>
            <w:pPr>
              <w:pStyle w:val="null3"/>
              <w:jc w:val="left"/>
            </w:pPr>
            <w:r>
              <w:rPr>
                <w:sz w:val="21"/>
              </w:rPr>
              <w:t>3</w:t>
            </w:r>
            <w:r>
              <w:rPr>
                <w:sz w:val="21"/>
              </w:rPr>
              <w:t>、支持多副本保护机制，可选择2~6副本，允许用户在线调整设置副本数量；</w:t>
            </w:r>
          </w:p>
          <w:p>
            <w:pPr>
              <w:pStyle w:val="null3"/>
              <w:jc w:val="left"/>
            </w:pPr>
            <w:r>
              <w:rPr>
                <w:sz w:val="21"/>
              </w:rPr>
              <w:t>▲4、支持纠删码特性，支持+2/+3/+4灵活EC配比，最大支持任意4个节点故障而数据不丢失、系统不停机；</w:t>
            </w:r>
          </w:p>
          <w:p>
            <w:pPr>
              <w:pStyle w:val="null3"/>
              <w:jc w:val="left"/>
            </w:pPr>
            <w:r>
              <w:rPr>
                <w:sz w:val="21"/>
              </w:rPr>
              <w:t>5</w:t>
            </w:r>
            <w:r>
              <w:rPr>
                <w:sz w:val="21"/>
              </w:rPr>
              <w:t>、同一集群（同一硬盘池）可以支持多副本或纠删码两种方式保护数据；</w:t>
            </w:r>
          </w:p>
          <w:p>
            <w:pPr>
              <w:pStyle w:val="null3"/>
              <w:jc w:val="left"/>
            </w:pPr>
            <w:r>
              <w:rPr>
                <w:sz w:val="21"/>
              </w:rPr>
              <w:t>▲6、支持32+2 EC配比，利用率高于90%；</w:t>
            </w:r>
          </w:p>
          <w:p>
            <w:pPr>
              <w:pStyle w:val="null3"/>
              <w:jc w:val="left"/>
            </w:pPr>
            <w:r>
              <w:rPr>
                <w:sz w:val="21"/>
              </w:rPr>
              <w:t>7</w:t>
            </w:r>
            <w:r>
              <w:rPr>
                <w:sz w:val="21"/>
              </w:rPr>
              <w:t>、支持小IO聚合成满条带后写入持久化层，提升读写性能，降低硬盘磨损；</w:t>
            </w:r>
          </w:p>
          <w:p>
            <w:pPr>
              <w:pStyle w:val="null3"/>
              <w:jc w:val="left"/>
            </w:pPr>
            <w:r>
              <w:rPr>
                <w:sz w:val="21"/>
              </w:rPr>
              <w:t>8</w:t>
            </w:r>
            <w:r>
              <w:rPr>
                <w:sz w:val="21"/>
              </w:rPr>
              <w:t>、当磁盘或存储节点故障时，存储系统能自动进行数据重建，在无人工干预条件下，数据普通重建速度需能满足：每TB≤7分钟（全闪）且性能下降小于20%；提供证明材料；</w:t>
            </w:r>
          </w:p>
          <w:p>
            <w:pPr>
              <w:pStyle w:val="null3"/>
              <w:jc w:val="left"/>
            </w:pPr>
            <w:r>
              <w:rPr>
                <w:sz w:val="21"/>
              </w:rPr>
              <w:t>9</w:t>
            </w:r>
            <w:r>
              <w:rPr>
                <w:sz w:val="21"/>
              </w:rPr>
              <w:t>、数据落盘进行深度的均衡优化，集群可写水位达99%，且盘容量差异不超过3%，盘磨损度差异不超过3%，节点间容量差异不超过1%；</w:t>
            </w:r>
          </w:p>
          <w:p>
            <w:pPr>
              <w:pStyle w:val="null3"/>
              <w:jc w:val="left"/>
            </w:pPr>
            <w:r>
              <w:rPr>
                <w:sz w:val="21"/>
              </w:rPr>
              <w:t>10</w:t>
            </w:r>
            <w:r>
              <w:rPr>
                <w:sz w:val="21"/>
              </w:rPr>
              <w:t>、支持多租户能力，可基于租户创建多个命名空间，提供证明材料；</w:t>
            </w:r>
          </w:p>
          <w:p>
            <w:pPr>
              <w:pStyle w:val="null3"/>
              <w:jc w:val="left"/>
            </w:pPr>
            <w:r>
              <w:rPr>
                <w:sz w:val="21"/>
              </w:rPr>
              <w:t>11</w:t>
            </w:r>
            <w:r>
              <w:rPr>
                <w:sz w:val="21"/>
              </w:rPr>
              <w:t>、故障2个节点，IO归零时间&lt;15s，数据重构按照自适应重构要求，重构完成后性能相比于规格目标下降2/N（N=存储节点数量）；</w:t>
            </w:r>
          </w:p>
          <w:p>
            <w:pPr>
              <w:pStyle w:val="null3"/>
              <w:jc w:val="left"/>
            </w:pPr>
            <w:r>
              <w:rPr>
                <w:sz w:val="21"/>
              </w:rPr>
              <w:t>12</w:t>
            </w:r>
            <w:r>
              <w:rPr>
                <w:sz w:val="21"/>
              </w:rPr>
              <w:t>、硬盘故障，存储系统支持业务掉零小于10S；</w:t>
            </w:r>
          </w:p>
          <w:p>
            <w:pPr>
              <w:pStyle w:val="null3"/>
              <w:jc w:val="left"/>
            </w:pPr>
            <w:r>
              <w:rPr>
                <w:sz w:val="21"/>
              </w:rPr>
              <w:t>13.</w:t>
            </w:r>
            <w:r>
              <w:rPr>
                <w:sz w:val="21"/>
              </w:rPr>
              <w:t>支持中英文远程图形化管理界面，提供运维可视化；</w:t>
            </w:r>
          </w:p>
          <w:p>
            <w:pPr>
              <w:pStyle w:val="null3"/>
              <w:jc w:val="left"/>
            </w:pPr>
            <w:r>
              <w:rPr>
                <w:sz w:val="21"/>
              </w:rPr>
              <w:t>14</w:t>
            </w:r>
            <w:r>
              <w:rPr>
                <w:sz w:val="21"/>
              </w:rPr>
              <w:t>、存储系统提供存储IO智能分析系统可视化工具，含容量监控、IO读写分布统计、带宽/IOPS监控等性能监控；</w:t>
            </w:r>
          </w:p>
          <w:p>
            <w:pPr>
              <w:pStyle w:val="null3"/>
              <w:jc w:val="left"/>
            </w:pPr>
            <w:r>
              <w:rPr>
                <w:sz w:val="21"/>
              </w:rPr>
              <w:t>15</w:t>
            </w:r>
            <w:r>
              <w:rPr>
                <w:sz w:val="21"/>
              </w:rPr>
              <w:t>、支持网络亚健康，针对存储节点的网络出现丢包、网络时延大、网口故障故障现象可提供故障告警并隔离。</w:t>
            </w:r>
          </w:p>
        </w:tc>
      </w:tr>
      <w:tr>
        <w:tc>
          <w:tcPr>
            <w:tcW w:type="dxa" w:w="799"/>
            <w:vMerge/>
            <w:tcBorders>
              <w:top w:val="none" w:color="000000" w:sz="4"/>
              <w:left w:val="single" w:color="000000" w:sz="4"/>
              <w:bottom w:val="single" w:color="000000" w:sz="4"/>
              <w:right w:val="single" w:color="000000" w:sz="4"/>
            </w:tcBorders>
          </w:tcPr>
          <w:p/>
        </w:tc>
        <w:tc>
          <w:tcPr>
            <w:tcW w:type="dxa" w:w="1341"/>
            <w:vMerge/>
            <w:tcBorders>
              <w:top w:val="none" w:color="000000" w:sz="4"/>
              <w:left w:val="non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★提供不少于3节点。</w:t>
            </w:r>
          </w:p>
        </w:tc>
      </w:tr>
    </w:tbl>
    <w:p>
      <w:pPr>
        <w:pStyle w:val="null3"/>
        <w:jc w:val="both"/>
        <w:outlineLvl w:val="0"/>
      </w:pPr>
      <w:r>
        <w:rPr>
          <w:sz w:val="21"/>
          <w:b/>
        </w:rPr>
        <w:t>2.3调度软件管理机</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1017"/>
        <w:gridCol w:w="1271"/>
        <w:gridCol w:w="4406"/>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数量≥2个；单颗处理器</w:t>
            </w:r>
            <w:r>
              <w:rPr>
                <w:sz w:val="21"/>
              </w:rPr>
              <w:t>核心数≥32、主频≥2.7GHz、三级缓存≥128 MB、线程≥64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PCIe5.0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≥5个PCIe5.0标准槽位</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≥1个</w:t>
            </w:r>
            <w:r>
              <w:rPr>
                <w:sz w:val="21"/>
              </w:rPr>
              <w:t>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32GB DDR5</w:t>
            </w:r>
            <w:r>
              <w:rPr>
                <w:sz w:val="21"/>
              </w:rPr>
              <w:t>，</w:t>
            </w:r>
            <w:r>
              <w:rPr>
                <w:sz w:val="21"/>
              </w:rPr>
              <w:t>≥4800MT/s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 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≥1块960G SSD 硬盘，≥2块1.92T SSD；</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≥8个2.5英寸硬盘插槽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配置≥1块RAID卡模块(支持8个SAS Port,带4GB缓存,PCIe)；支持RAID 0/1/10/5/50/6/60和直通模式</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≥4个千兆以太网口，≥4个10/25G以太网光接口（满配25G多模光模块）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≥4个千兆以太网口，≥4个10/25G以太网光接口（满配25G多模光模块）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1+1 </w:t>
            </w:r>
            <w:r>
              <w:rPr>
                <w:sz w:val="21"/>
              </w:rPr>
              <w:t>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单块电源功率≥1300W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AI </w:t>
            </w:r>
            <w:r>
              <w:rPr>
                <w:sz w:val="21"/>
              </w:rPr>
              <w:t>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AI </w:t>
            </w:r>
            <w:r>
              <w:rPr>
                <w:sz w:val="21"/>
              </w:rPr>
              <w:t>计算单元</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投标人需提供长度、高度和深度</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USB、显示、管理等接口，如：VGA、HDMI、USB3.0 接口、BMC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BMC参数设置的功能，并可基于网络通过外部管理工具对BMC 进行管理；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BMC </w:t>
            </w:r>
            <w:r>
              <w:rPr>
                <w:sz w:val="21"/>
              </w:rPr>
              <w:t>固件增强功能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）BIOS 开机自检代码（POST CODE）明文化展示，将BIOS启动过程中的所有 POST CODE以明文化的形式展示在界面中，方便快速定位POST阶段故障（故障位置和类型）</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）支持对服务器进行移动运维管理。服务器发生SNMP告警的时候，可以通过短信和电话发送到指定的手机或者发送到指定的微信号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≥2.7GHz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≥128MB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≥10/25GE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投标人有偿提供远程技术支持、软件授权服务、备件更换服务、现场支撑服务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bl>
    <w:p>
      <w:pPr>
        <w:pStyle w:val="null3"/>
      </w:pPr>
      <w:r>
        <w:rPr>
          <w:sz w:val="21"/>
        </w:rPr>
        <w:t>本表格共有★</w:t>
      </w:r>
      <w:r>
        <w:rPr>
          <w:sz w:val="21"/>
        </w:rPr>
        <w:t>106</w:t>
      </w:r>
      <w:r>
        <w:rPr>
          <w:sz w:val="21"/>
        </w:rPr>
        <w:t>个，供应商在投标环节出具关于所提供通用服务器满足采购文件要求承诺函的，即视为相关产品符合要求。</w:t>
      </w:r>
    </w:p>
    <w:p>
      <w:pPr>
        <w:pStyle w:val="null3"/>
      </w:pPr>
      <w:r>
        <w:rPr>
          <w:sz w:val="21"/>
        </w:rPr>
        <w:t>。</w:t>
      </w:r>
    </w:p>
    <w:p>
      <w:pPr>
        <w:pStyle w:val="null3"/>
        <w:jc w:val="both"/>
        <w:outlineLvl w:val="0"/>
      </w:pPr>
      <w:r>
        <w:rPr>
          <w:sz w:val="21"/>
          <w:b/>
        </w:rPr>
        <w:t>2.4 AI调度平台</w:t>
      </w:r>
    </w:p>
    <w:tbl>
      <w:tblPr>
        <w:tblW w:w="0" w:type="auto"/>
        <w:tblInd w:type="dxa" w:w="120"/>
        <w:tblBorders>
          <w:top w:val="single"/>
          <w:left w:val="single"/>
          <w:bottom w:val="single"/>
          <w:right w:val="single"/>
          <w:insideH w:val="single"/>
          <w:insideV w:val="single"/>
        </w:tblBorders>
      </w:tblPr>
      <w:tblGrid>
        <w:gridCol w:w="799"/>
        <w:gridCol w:w="1341"/>
        <w:gridCol w:w="6165"/>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1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★1、≥16颗CPU和≥32块GPU软件license授权;</w:t>
            </w:r>
          </w:p>
          <w:p>
            <w:pPr>
              <w:pStyle w:val="null3"/>
              <w:jc w:val="both"/>
            </w:pPr>
            <w:r>
              <w:rPr>
                <w:sz w:val="21"/>
              </w:rPr>
              <w:t>2</w:t>
            </w:r>
            <w:r>
              <w:rPr>
                <w:sz w:val="21"/>
              </w:rPr>
              <w:t>、兼容性要求：支持x86、ARM、GPU等架构调度管理；支持主流国产加速卡的适配；</w:t>
            </w:r>
          </w:p>
          <w:p>
            <w:pPr>
              <w:pStyle w:val="null3"/>
              <w:jc w:val="both"/>
            </w:pPr>
            <w:r>
              <w:rPr>
                <w:sz w:val="21"/>
              </w:rPr>
              <w:t>3</w:t>
            </w:r>
            <w:r>
              <w:rPr>
                <w:sz w:val="21"/>
              </w:rPr>
              <w:t>、支持国产化操作系统；</w:t>
            </w:r>
          </w:p>
          <w:p>
            <w:pPr>
              <w:pStyle w:val="null3"/>
              <w:jc w:val="both"/>
            </w:pPr>
            <w:r>
              <w:rPr>
                <w:sz w:val="21"/>
              </w:rPr>
              <w:t>4</w:t>
            </w:r>
            <w:r>
              <w:rPr>
                <w:sz w:val="21"/>
              </w:rPr>
              <w:t>、用户管理：支持通过web界面统一管理系统用户，支持与LDAP、AD域用户或者用户已有统一身份认证集成，支持用户组织架构管理和用户审批；</w:t>
            </w:r>
          </w:p>
          <w:p>
            <w:pPr>
              <w:pStyle w:val="null3"/>
              <w:jc w:val="both"/>
            </w:pPr>
            <w:r>
              <w:rPr>
                <w:sz w:val="21"/>
              </w:rPr>
              <w:t>▲5、集群监控：可通过图形方式，监控当前整机和各个节点的状态，包括CPU平均使用率、GPU使用率、内存使用率、磁盘剩余量、网络流量和负载等；</w:t>
            </w:r>
          </w:p>
          <w:p>
            <w:pPr>
              <w:pStyle w:val="null3"/>
              <w:jc w:val="both"/>
            </w:pPr>
            <w:r>
              <w:rPr>
                <w:sz w:val="21"/>
              </w:rPr>
              <w:t>6</w:t>
            </w:r>
            <w:r>
              <w:rPr>
                <w:sz w:val="21"/>
              </w:rPr>
              <w:t>、GPU监控：支持GPU的监控，可实时查看GPU的温度、使用率、处理器频率和读写带宽等性能指标;</w:t>
            </w:r>
            <w:r>
              <w:rPr>
                <w:sz w:val="21"/>
                <w:b/>
              </w:rPr>
              <w:t>(</w:t>
            </w:r>
            <w:r>
              <w:rPr>
                <w:sz w:val="21"/>
                <w:b/>
              </w:rPr>
              <w:t>投标时要求以真实系统演示此功能)</w:t>
            </w:r>
          </w:p>
          <w:p>
            <w:pPr>
              <w:pStyle w:val="null3"/>
              <w:jc w:val="both"/>
            </w:pPr>
            <w:r>
              <w:rPr>
                <w:sz w:val="21"/>
              </w:rPr>
              <w:t>7</w:t>
            </w:r>
            <w:r>
              <w:rPr>
                <w:sz w:val="21"/>
              </w:rPr>
              <w:t>、安全保障与审计：提供三员管理模块（系统管理员、安全保密管理员、安全审计管理员）实现三种管理员权限分离，三种管理权限设置相互独立，相互制约；</w:t>
            </w:r>
            <w:r>
              <w:rPr>
                <w:sz w:val="21"/>
                <w:b/>
              </w:rPr>
              <w:t>(投标时要求以真实系统演示此功能)</w:t>
            </w:r>
          </w:p>
          <w:p>
            <w:pPr>
              <w:pStyle w:val="null3"/>
              <w:jc w:val="both"/>
            </w:pPr>
            <w:r>
              <w:rPr>
                <w:sz w:val="21"/>
              </w:rPr>
              <w:t>▲8、报表统计：支持自定义报表，支持从不同维度统计CPU核小时、GPU卡时、内存使用率、作业相关信息，支持从空间角度（包括部门、项目、用户、队列和应用）和时间角度（如同比和环比）进行对比分析，展示方式包括表格、柱状图、条带图、饼状图、仪表盘、折线图等，可定制时间粒度，如天、周、旬、月、季度、半年、年等；</w:t>
            </w:r>
          </w:p>
          <w:p>
            <w:pPr>
              <w:pStyle w:val="null3"/>
              <w:jc w:val="both"/>
            </w:pPr>
            <w:r>
              <w:rPr>
                <w:sz w:val="21"/>
              </w:rPr>
              <w:t>9</w:t>
            </w:r>
            <w:r>
              <w:rPr>
                <w:sz w:val="21"/>
              </w:rPr>
              <w:t>、支持按CPU核时、GPU卡时、应用资源、存储用量和内存用量计费；支持从队列、院系、用户、或项目多个维度设置不同的折扣系数；</w:t>
            </w:r>
          </w:p>
          <w:p>
            <w:pPr>
              <w:pStyle w:val="null3"/>
              <w:jc w:val="both"/>
            </w:pPr>
            <w:r>
              <w:rPr>
                <w:sz w:val="21"/>
              </w:rPr>
              <w:t>10</w:t>
            </w:r>
            <w:r>
              <w:rPr>
                <w:sz w:val="21"/>
              </w:rPr>
              <w:t>、支持二级管理员功能，可以对学院/部门内的用户进行管理，可以查看作业情况、计费和报表等功能；</w:t>
            </w:r>
          </w:p>
          <w:p>
            <w:pPr>
              <w:pStyle w:val="null3"/>
              <w:jc w:val="both"/>
            </w:pPr>
            <w:r>
              <w:rPr>
                <w:sz w:val="21"/>
              </w:rPr>
              <w:t>11</w:t>
            </w:r>
            <w:r>
              <w:rPr>
                <w:sz w:val="21"/>
              </w:rPr>
              <w:t>、提供分布式算力资源调度能力，支持单机多卡、多机多卡训练；支持可视化算力资源配置，可对CPU、GPU等算力资源进行配置，支持混合精度训练；支持对CPU、GPU资源的灵活分配和混合调度，支持训练资源与推理资源的独立配置与管理;</w:t>
            </w:r>
            <w:r>
              <w:rPr>
                <w:sz w:val="21"/>
                <w:b/>
              </w:rPr>
              <w:t xml:space="preserve"> (</w:t>
            </w:r>
            <w:r>
              <w:rPr>
                <w:sz w:val="21"/>
                <w:b/>
              </w:rPr>
              <w:t>投标时要求以真实系统演示此功能)</w:t>
            </w:r>
          </w:p>
          <w:p>
            <w:pPr>
              <w:pStyle w:val="null3"/>
              <w:jc w:val="both"/>
            </w:pPr>
            <w:r>
              <w:rPr>
                <w:sz w:val="21"/>
              </w:rPr>
              <w:t>12</w:t>
            </w:r>
            <w:r>
              <w:rPr>
                <w:sz w:val="21"/>
              </w:rPr>
              <w:t>、支持预置多种第三方大模型，平台提供不少于3个大模型预置交付，用户可基于预置大模型快速开展大模型微调训练。预置模型微调算法库，包括pythia和LLaMA，覆盖多种微调方法，支持按照任务类型、算法类型、微调方法进行筛选；支持在线查看算法简介和算法库源代码，可切换分支查看不同版本代码文件;</w:t>
            </w:r>
          </w:p>
          <w:p>
            <w:pPr>
              <w:pStyle w:val="null3"/>
              <w:jc w:val="both"/>
            </w:pPr>
            <w:r>
              <w:rPr>
                <w:sz w:val="21"/>
              </w:rPr>
              <w:t>13</w:t>
            </w:r>
            <w:r>
              <w:rPr>
                <w:sz w:val="21"/>
              </w:rPr>
              <w:t>、支持第三方大模型导入管理，微调训练、部署推理应用；</w:t>
            </w:r>
          </w:p>
          <w:p>
            <w:pPr>
              <w:pStyle w:val="null3"/>
              <w:jc w:val="both"/>
            </w:pPr>
            <w:r>
              <w:rPr>
                <w:sz w:val="21"/>
              </w:rPr>
              <w:t>14</w:t>
            </w:r>
            <w:r>
              <w:rPr>
                <w:sz w:val="21"/>
              </w:rPr>
              <w:t>、支持对微调训练后的大模型进行量化后部署推理，提供用户推理可调用的API接口，方便用户可以用接口的方式调用大模型的推理能力。</w:t>
            </w:r>
          </w:p>
        </w:tc>
      </w:tr>
    </w:tbl>
    <w:p>
      <w:pPr>
        <w:pStyle w:val="null3"/>
        <w:jc w:val="both"/>
        <w:outlineLvl w:val="0"/>
      </w:pPr>
      <w:r>
        <w:rPr>
          <w:sz w:val="21"/>
          <w:b/>
        </w:rPr>
        <w:t>2.5调度软件登录机</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1017"/>
        <w:gridCol w:w="1271"/>
        <w:gridCol w:w="4406"/>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数量≥2个；单颗处理器</w:t>
            </w:r>
            <w:r>
              <w:rPr>
                <w:sz w:val="21"/>
              </w:rPr>
              <w:t>核心数≥32、主频≥2.7GHz、三级缓存≥128 MB、线程≥64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PCIe4.0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≥5个PCIe5.0标准槽位</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≥1个</w:t>
            </w:r>
            <w:r>
              <w:rPr>
                <w:sz w:val="21"/>
              </w:rPr>
              <w:t>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32GB DDR5</w:t>
            </w:r>
            <w:r>
              <w:rPr>
                <w:sz w:val="21"/>
              </w:rPr>
              <w:t>，</w:t>
            </w:r>
            <w:r>
              <w:rPr>
                <w:sz w:val="21"/>
              </w:rPr>
              <w:t>≥4800MT/s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 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≥1块960G SSD 硬盘，≥2块1.92T SSD；</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≥8个2.5英寸硬盘插槽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配置1块≥4GB缓存的12G SAS RAID 控制器，支持 RAID 0/1/10/5/50/6/60和直通模式，支持在线 RAID 级别迁移和在线扩容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≥1个200G以太网光接口（满配200G多模光模块），≥4个10/25G以太网光接口（满配25G多模光模块）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≥1个200G以太网光接口（满配200G多模光模块），≥4个10/25G以太网光接口（满配25G多模光模块）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1+1 </w:t>
            </w:r>
            <w:r>
              <w:rPr>
                <w:sz w:val="21"/>
              </w:rPr>
              <w:t>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单块电源功率≥1300W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AI </w:t>
            </w:r>
            <w:r>
              <w:rPr>
                <w:sz w:val="21"/>
              </w:rPr>
              <w:t>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AI </w:t>
            </w:r>
            <w:r>
              <w:rPr>
                <w:sz w:val="21"/>
              </w:rPr>
              <w:t>计算单元</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投标人需提供长度、高度和深度</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USB、显示、管理等接口，如：VGA、HDMI、USB3.0 接口、BMC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 BMC 进行管理；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BMC </w:t>
            </w:r>
            <w:r>
              <w:rPr>
                <w:sz w:val="21"/>
              </w:rPr>
              <w:t>固件增强功能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）支持检测BMC存在的安全隐患。可集中化展示帐号安全和应用协议等安全配置状态，及时识别BMC安全配置的风险。当检测到风险时，可以查看详细信息和建议提高系统的安全性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）支持通过提供固件包的方式，在BMC不重启的情况下，实现动态叠加新业务以及解决BMC故障。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≥2.7GHz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≥128MB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≥10/25GE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投标人有偿提供远程技术支持、软件授权服务、备件更换服务、现场支承服务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BIOS </w:t>
            </w:r>
            <w:r>
              <w:rPr>
                <w:sz w:val="21"/>
              </w:rPr>
              <w:t>开机自检代码（POST CODE）明文化展示，将BIOS启动过程中的所有 POST CODE以明文化的形式展示在界面中，方便快速定位POST阶段故障（故障位置和类型）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运维特性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可通过安全面板上的灯效展示服务器的待机、启动阶段，以及整机负载、硬件故障和预故障等运行状态或支持配置氛围灯与服务器监控或功率负载等状态联动</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支持对服务器进行移动运维管理。服务器发生SNMP告警的时候，可以通过短信和电话发送到指定的手机或者发送到指定的微信号</w:t>
            </w:r>
          </w:p>
        </w:tc>
      </w:tr>
    </w:tbl>
    <w:p>
      <w:pPr>
        <w:pStyle w:val="null3"/>
      </w:pPr>
      <w:r>
        <w:rPr>
          <w:sz w:val="21"/>
        </w:rPr>
        <w:t>本表格共有★</w:t>
      </w:r>
      <w:r>
        <w:rPr>
          <w:sz w:val="21"/>
        </w:rPr>
        <w:t>106</w:t>
      </w:r>
      <w:r>
        <w:rPr>
          <w:sz w:val="21"/>
        </w:rPr>
        <w:t>个，供应商在投标环节出具关于所提供通用服务器满足采购文件要求承诺函的，即视为相关产品符合要求。</w:t>
      </w:r>
    </w:p>
    <w:p>
      <w:pPr>
        <w:pStyle w:val="null3"/>
        <w:jc w:val="both"/>
        <w:outlineLvl w:val="0"/>
      </w:pPr>
      <w:r>
        <w:rPr>
          <w:sz w:val="21"/>
          <w:b/>
        </w:rPr>
        <w:t>2.6 200G ROCE高速网络</w:t>
      </w:r>
    </w:p>
    <w:tbl>
      <w:tblPr>
        <w:tblW w:w="0" w:type="auto"/>
        <w:tblInd w:type="dxa" w:w="120"/>
        <w:tblBorders>
          <w:top w:val="single"/>
          <w:left w:val="single"/>
          <w:bottom w:val="single"/>
          <w:right w:val="single"/>
          <w:insideH w:val="single"/>
          <w:insideV w:val="single"/>
        </w:tblBorders>
      </w:tblPr>
      <w:tblGrid>
        <w:gridCol w:w="796"/>
        <w:gridCol w:w="1336"/>
        <w:gridCol w:w="615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1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▲1、交换容量≥51Tbps，转发性能≥10300Mpps，实际配置≥128个200G光接口，配置≥40个200G多模光模块；</w:t>
            </w:r>
          </w:p>
          <w:p>
            <w:pPr>
              <w:pStyle w:val="null3"/>
              <w:jc w:val="both"/>
            </w:pPr>
            <w:r>
              <w:rPr>
                <w:sz w:val="21"/>
              </w:rPr>
              <w:t>2</w:t>
            </w:r>
            <w:r>
              <w:rPr>
                <w:sz w:val="21"/>
              </w:rPr>
              <w:t>、设备本身200G接口均为实际固化200G速率，非400G端口降速或者通过1分2方式转换，提供证明材料；</w:t>
            </w:r>
          </w:p>
          <w:p>
            <w:pPr>
              <w:pStyle w:val="null3"/>
              <w:jc w:val="both"/>
            </w:pPr>
            <w:r>
              <w:rPr>
                <w:sz w:val="21"/>
              </w:rPr>
              <w:t>3</w:t>
            </w:r>
            <w:r>
              <w:rPr>
                <w:sz w:val="21"/>
              </w:rPr>
              <w:t>、设备深度≤800mm，高度≤4U；</w:t>
            </w:r>
          </w:p>
          <w:p>
            <w:pPr>
              <w:pStyle w:val="null3"/>
              <w:jc w:val="both"/>
            </w:pPr>
            <w:r>
              <w:rPr>
                <w:sz w:val="21"/>
              </w:rPr>
              <w:t>4</w:t>
            </w:r>
            <w:r>
              <w:rPr>
                <w:sz w:val="21"/>
              </w:rPr>
              <w:t>、</w:t>
            </w:r>
            <w:r>
              <w:rPr>
                <w:sz w:val="21"/>
              </w:rPr>
              <w:t>支持通过微信公众号进入小程序，并通过小程序在线提交工单功能；</w:t>
            </w:r>
          </w:p>
          <w:p>
            <w:pPr>
              <w:pStyle w:val="null3"/>
              <w:jc w:val="both"/>
            </w:pPr>
            <w:r>
              <w:rPr>
                <w:sz w:val="21"/>
              </w:rPr>
              <w:t>5</w:t>
            </w:r>
            <w:r>
              <w:rPr>
                <w:sz w:val="21"/>
              </w:rPr>
              <w:t>、 支持RDMA无损网络功能，支持RoCEv2，支持PFC、ETS、ECN、DCBX；</w:t>
            </w:r>
          </w:p>
          <w:p>
            <w:pPr>
              <w:pStyle w:val="null3"/>
              <w:jc w:val="both"/>
            </w:pPr>
            <w:r>
              <w:rPr>
                <w:sz w:val="21"/>
              </w:rPr>
              <w:t>6</w:t>
            </w:r>
            <w:r>
              <w:rPr>
                <w:sz w:val="21"/>
              </w:rPr>
              <w:t>、 支持RoCE集群智能运维平台，支持gRPC高速数据主动上报，全网路径主动探测，实时监测网络健康状态；</w:t>
            </w:r>
          </w:p>
          <w:p>
            <w:pPr>
              <w:pStyle w:val="null3"/>
              <w:jc w:val="both"/>
            </w:pPr>
            <w:r>
              <w:rPr>
                <w:sz w:val="21"/>
              </w:rPr>
              <w:t>7</w:t>
            </w:r>
            <w:r>
              <w:rPr>
                <w:sz w:val="21"/>
              </w:rPr>
              <w:t>、</w:t>
            </w:r>
            <w:r>
              <w:rPr>
                <w:sz w:val="21"/>
              </w:rPr>
              <w:t xml:space="preserve"> 支持Telemetry Stream功能、支持MOD功能；</w:t>
            </w:r>
          </w:p>
          <w:p>
            <w:pPr>
              <w:pStyle w:val="null3"/>
              <w:jc w:val="both"/>
            </w:pPr>
            <w:r>
              <w:rPr>
                <w:sz w:val="21"/>
              </w:rPr>
              <w:t>8</w:t>
            </w:r>
            <w:r>
              <w:rPr>
                <w:sz w:val="21"/>
              </w:rPr>
              <w:t>、 支持SNMP、sflow、RMON。</w:t>
            </w:r>
          </w:p>
        </w:tc>
      </w:tr>
    </w:tbl>
    <w:p>
      <w:pPr>
        <w:pStyle w:val="null3"/>
        <w:jc w:val="both"/>
        <w:outlineLvl w:val="0"/>
      </w:pPr>
      <w:r>
        <w:rPr>
          <w:sz w:val="21"/>
          <w:b/>
        </w:rPr>
        <w:t>2.7 25G 交换机</w:t>
      </w:r>
    </w:p>
    <w:tbl>
      <w:tblPr>
        <w:tblW w:w="0" w:type="auto"/>
        <w:tblInd w:type="dxa" w:w="120"/>
        <w:tblBorders>
          <w:top w:val="single"/>
          <w:left w:val="single"/>
          <w:bottom w:val="single"/>
          <w:right w:val="single"/>
          <w:insideH w:val="single"/>
          <w:insideV w:val="single"/>
        </w:tblBorders>
      </w:tblPr>
      <w:tblGrid>
        <w:gridCol w:w="797"/>
        <w:gridCol w:w="1339"/>
        <w:gridCol w:w="6154"/>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1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▲1、交换容量≥4.8Tbps，转发性能≥2000Mpps，≥8个100G以太网光接口，≥48个25G以太网光接口（含48个25G多模光模块）；</w:t>
            </w:r>
          </w:p>
          <w:p>
            <w:pPr>
              <w:pStyle w:val="null3"/>
              <w:jc w:val="both"/>
            </w:pPr>
            <w:r>
              <w:rPr>
                <w:sz w:val="21"/>
              </w:rPr>
              <w:t>2</w:t>
            </w:r>
            <w:r>
              <w:rPr>
                <w:sz w:val="21"/>
              </w:rPr>
              <w:t>、整机最大路由地址表≥320K，整机最大ARP地址表≥270K，整机最大MAC地址表≥280K；</w:t>
            </w:r>
          </w:p>
          <w:p>
            <w:pPr>
              <w:pStyle w:val="null3"/>
              <w:jc w:val="both"/>
            </w:pPr>
            <w:r>
              <w:rPr>
                <w:sz w:val="21"/>
              </w:rPr>
              <w:t>3</w:t>
            </w:r>
            <w:r>
              <w:rPr>
                <w:sz w:val="21"/>
              </w:rPr>
              <w:t>、兼容PVST协议，支持跨厂商生成树互通；</w:t>
            </w:r>
          </w:p>
          <w:p>
            <w:pPr>
              <w:pStyle w:val="null3"/>
              <w:jc w:val="both"/>
            </w:pPr>
            <w:r>
              <w:rPr>
                <w:sz w:val="21"/>
              </w:rPr>
              <w:t>4</w:t>
            </w:r>
            <w:r>
              <w:rPr>
                <w:sz w:val="21"/>
              </w:rPr>
              <w:t>、支持Telemetry Stream功能，支持全硬件采集上送，解放CPU资源并且可以支持最大全10.流量1:1采样；</w:t>
            </w:r>
          </w:p>
          <w:p>
            <w:pPr>
              <w:pStyle w:val="null3"/>
              <w:jc w:val="both"/>
            </w:pPr>
            <w:r>
              <w:rPr>
                <w:sz w:val="21"/>
              </w:rPr>
              <w:t>5</w:t>
            </w:r>
            <w:r>
              <w:rPr>
                <w:sz w:val="21"/>
              </w:rPr>
              <w:t>、支持MOD功能，不占用路由资源。</w:t>
            </w:r>
          </w:p>
        </w:tc>
      </w:tr>
    </w:tbl>
    <w:p>
      <w:pPr>
        <w:pStyle w:val="null3"/>
        <w:jc w:val="both"/>
        <w:outlineLvl w:val="0"/>
      </w:pPr>
      <w:r>
        <w:rPr>
          <w:sz w:val="21"/>
          <w:b/>
        </w:rPr>
        <w:t>2.8登录管理服务器</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1017"/>
        <w:gridCol w:w="1271"/>
        <w:gridCol w:w="4406"/>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数量≥2个；单颗处理器</w:t>
            </w:r>
            <w:r>
              <w:rPr>
                <w:sz w:val="21"/>
              </w:rPr>
              <w:t>核心数≥12、主频≥2.4GHz、三级缓存≥30MB、线程≥24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32个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符合 PCIe5.0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≥5个PCIe5.0标准槽位</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1个OCP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32GB DDR5</w:t>
            </w:r>
            <w:r>
              <w:rPr>
                <w:sz w:val="21"/>
              </w:rPr>
              <w:t>，</w:t>
            </w: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≥2块480G SATA SSD 硬盘，≥2块960G SATA SSD硬盘</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≥12个3.5寸硬盘插槽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配置≥1块4G缓存 RAID阵列卡，支持 RAID 0/1/10/5/50/6/60和直通模式，支持在线 RAID 级别迁移和在线扩容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0</w:t>
            </w:r>
            <w:r>
              <w:rPr>
                <w:sz w:val="21"/>
              </w:rPr>
              <w:t>；</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≥2个10G以太网光接口（满配万兆多模光模块）；≥4个千兆电口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≥2个10G以太网光接口（满配万兆多模光模块）；≥4个千兆电口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1+1 </w:t>
            </w:r>
            <w:r>
              <w:rPr>
                <w:sz w:val="21"/>
              </w:rPr>
              <w:t>冗余冗余配置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AI </w:t>
            </w:r>
            <w:r>
              <w:rPr>
                <w:sz w:val="21"/>
              </w:rPr>
              <w:t>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AI </w:t>
            </w:r>
            <w:r>
              <w:rPr>
                <w:sz w:val="21"/>
              </w:rPr>
              <w:t>计算单元</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USB、显示、管理等接口，如：VGA、USB3.0、BMC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 BMC 进行管理；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BMC </w:t>
            </w:r>
            <w:r>
              <w:rPr>
                <w:sz w:val="21"/>
              </w:rPr>
              <w:t>固件增强功能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≥60MB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投标人有偿提供远程技术支持、软件授权服务、备件更换服务、现场支承服务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BIOS </w:t>
            </w:r>
            <w:r>
              <w:rPr>
                <w:sz w:val="21"/>
              </w:rPr>
              <w:t>开机自检代码（POST CODE）明文化展示，将BIOS启动过程中的所有 POST CODE以明文化的形式展示在界面中，方便快速定位POST阶段故障（故障位置和类型）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运维特性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可通过安全面板上的灯效展示服务器的待机、启动阶段，以及整机负载、硬件故障和预故障等运行状态或支持配置氛围灯与服务器监控或功率负载等状态联动</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支持对服务器进行移动运维管理。服务器发生SNMP告警的时候，可以通过短信和电话发送到指定的手机或者发送到指定的微信号</w:t>
            </w:r>
          </w:p>
        </w:tc>
      </w:tr>
    </w:tbl>
    <w:p>
      <w:pPr>
        <w:pStyle w:val="null3"/>
      </w:pPr>
      <w:r>
        <w:rPr>
          <w:sz w:val="21"/>
        </w:rPr>
        <w:t>本表格共有★</w:t>
      </w:r>
      <w:r>
        <w:rPr>
          <w:sz w:val="21"/>
        </w:rPr>
        <w:t>106</w:t>
      </w:r>
      <w:r>
        <w:rPr>
          <w:sz w:val="21"/>
        </w:rPr>
        <w:t>个，供应商在投标环节出具关于所提供通用服务器满足采购文件要求承诺函的，即视为相关产品符合要求。</w:t>
      </w:r>
    </w:p>
    <w:p>
      <w:pPr>
        <w:pStyle w:val="null3"/>
        <w:jc w:val="both"/>
        <w:outlineLvl w:val="0"/>
      </w:pPr>
      <w:r>
        <w:rPr>
          <w:sz w:val="21"/>
          <w:b/>
        </w:rPr>
        <w:t>2.9 机箱</w:t>
      </w:r>
    </w:p>
    <w:tbl>
      <w:tblPr>
        <w:tblW w:w="0" w:type="auto"/>
        <w:tblInd w:type="dxa" w:w="120"/>
        <w:tblBorders>
          <w:top w:val="single"/>
          <w:left w:val="single"/>
          <w:bottom w:val="single"/>
          <w:right w:val="single"/>
          <w:insideH w:val="single"/>
          <w:insideV w:val="single"/>
        </w:tblBorders>
      </w:tblPr>
      <w:tblGrid>
        <w:gridCol w:w="799"/>
        <w:gridCol w:w="1341"/>
        <w:gridCol w:w="6165"/>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1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、机箱高度≤2U；</w:t>
            </w:r>
          </w:p>
        </w:tc>
      </w:tr>
    </w:tbl>
    <w:p>
      <w:pPr>
        <w:pStyle w:val="null3"/>
        <w:jc w:val="both"/>
        <w:outlineLvl w:val="0"/>
      </w:pPr>
      <w:r>
        <w:rPr>
          <w:sz w:val="21"/>
          <w:b/>
        </w:rPr>
        <w:t>2.10高密度服务器</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1017"/>
        <w:gridCol w:w="1271"/>
        <w:gridCol w:w="4406"/>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数量≥2个；单颗处理器</w:t>
            </w:r>
            <w:r>
              <w:rPr>
                <w:sz w:val="21"/>
              </w:rPr>
              <w:t>核心数≥32、主频≥2.5GHz、动态频率≥4.1GHz、三级缓存≥60MB、线程≥64；满足超融合一体机的配置。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32个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符合 PCIe5.0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≥5个PCIe5.0标准槽位标准槽位</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 1个OCP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64GB DDR5</w:t>
            </w:r>
            <w:r>
              <w:rPr>
                <w:sz w:val="21"/>
              </w:rPr>
              <w:t>，</w:t>
            </w: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5块8T SATA HDD硬盘</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≥2块480GB SATA SSD 硬盘，≥ 5块8T SATA HDD硬盘，≥2块3.84T NVMe SSD硬盘</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≥12个3.5寸硬盘插槽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配置1块≥4GB缓存的12G SAS RAID 控制器，支持 RAID 0/1/10/5/50/6/60和直通模式，支持在线 RAID 级别迁移和在线扩容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≥6个25G以太网光接口（满配万兆多模光模块）；≥4个千兆电口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≥6个25G以太网光接口（满配万兆多模光模块）；≥4个千兆电口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 1+1 </w:t>
            </w:r>
            <w:r>
              <w:rPr>
                <w:sz w:val="21"/>
              </w:rPr>
              <w:t>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AI </w:t>
            </w:r>
            <w:r>
              <w:rPr>
                <w:sz w:val="21"/>
              </w:rPr>
              <w:t>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AI </w:t>
            </w:r>
            <w:r>
              <w:rPr>
                <w:sz w:val="21"/>
              </w:rPr>
              <w:t>计算单元</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USB、显示、管理等接口，如：VGA、USB3.0、BMC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 BMC 进行管理；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▲BMC 固件增强功能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）支持检测BMC存在的安全隐患。可集中展示帐号和应用服务（如证书有效期）等安全配置状态，及时识别BMC安全配置的风险。当检测到风险时，可以查看详细信息和建议提高系统的安全性</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）不依赖OS，可带外升级BIOS、BMC版本，可通过BMC界面带外一次升级多个部件的固件（如网卡部件、存储卡部件等），无需多次升级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≥2.5GHz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≥60MB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机械硬盘转速≥ 7200rpm</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≥25GE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）产品服务周期（含换件和维修）应≥3年；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投标人有偿提供远程技术支持、软件授权服务、备件更换服务、现场支承服务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BIOS </w:t>
            </w:r>
            <w:r>
              <w:rPr>
                <w:sz w:val="21"/>
              </w:rPr>
              <w:t>开机自检代码（POST CODE）明文化展示，将BIOS启动过程中的所有 POST CODE以明文化的形式展示在界面中，方便快速定位POST阶段故障（故障位置和类型）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运维特性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可通过安全面板上的灯效展示服务器的待机、启动阶段，以及整机负载、硬件故障和预故障等运行状态或支持配置氛围灯与服务器监控或功率负载等状态联动</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支持对服务器进行移动运维管理。服务器发生SNMP告警的时候，可以通过短信和电话发送到指定的手机或者发送到指定的微信号</w:t>
            </w:r>
          </w:p>
        </w:tc>
      </w:tr>
    </w:tbl>
    <w:p>
      <w:pPr>
        <w:pStyle w:val="null3"/>
      </w:pPr>
      <w:r>
        <w:rPr>
          <w:sz w:val="21"/>
        </w:rPr>
        <w:t>本表格共有★</w:t>
      </w:r>
      <w:r>
        <w:rPr>
          <w:sz w:val="21"/>
        </w:rPr>
        <w:t>108</w:t>
      </w:r>
      <w:r>
        <w:rPr>
          <w:sz w:val="21"/>
        </w:rPr>
        <w:t>个，供应商在投标环节出具关于所提供通用服务器满足采购文件要求承诺函的，即视为相关产品符合要求。</w:t>
      </w:r>
    </w:p>
    <w:p>
      <w:pPr>
        <w:pStyle w:val="null3"/>
        <w:jc w:val="both"/>
        <w:outlineLvl w:val="0"/>
      </w:pPr>
      <w:r>
        <w:rPr>
          <w:sz w:val="21"/>
          <w:b/>
        </w:rPr>
        <w:t>2.11 超融合平台授权</w:t>
      </w:r>
    </w:p>
    <w:tbl>
      <w:tblPr>
        <w:tblW w:w="0" w:type="auto"/>
        <w:tblBorders>
          <w:top w:val="single"/>
          <w:left w:val="single"/>
          <w:bottom w:val="single"/>
          <w:right w:val="single"/>
          <w:insideH w:val="single"/>
          <w:insideV w:val="single"/>
        </w:tblBorders>
      </w:tblPr>
      <w:tblGrid>
        <w:gridCol w:w="848"/>
        <w:gridCol w:w="1356"/>
        <w:gridCol w:w="610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★1、配置≥20颗CPU的超融合管理软件授权许可；配置≥20颗CPU的计算虚拟化软件授权许可；配置≥20颗CPU的存储虚拟化软件授权许可；</w:t>
            </w:r>
            <w:r>
              <w:br/>
            </w:r>
            <w:r>
              <w:rPr>
                <w:sz w:val="21"/>
              </w:rPr>
              <w:t xml:space="preserve"> 2、支持在通用的x86、ARM架构服务器上安装超融合软件，支持飞腾、鲲鹏等业界主流的ARM平台，并且可以与原有的X86系统混合部署、统一管理；</w:t>
            </w:r>
          </w:p>
          <w:p>
            <w:pPr>
              <w:pStyle w:val="null3"/>
              <w:jc w:val="both"/>
            </w:pPr>
            <w:r>
              <w:rPr>
                <w:sz w:val="21"/>
              </w:rPr>
              <w:t>3</w:t>
            </w:r>
            <w:r>
              <w:rPr>
                <w:sz w:val="21"/>
              </w:rPr>
              <w:t>、支持一键切换展示大屏功能，直观展示虚拟化资源池的健康度、告警、资源使用情况等，同时展示内容支持用户自定义，可定制的指标包括但不限于主机性能、虚拟机性能、共享存储性能、系统总体健康度、主机健康度、CPU分配比、内存分配比、存储分配比、系统告警、Top 5主机CPU和内存利用率、Top 5虚拟机CPU和内存利用率、主机和虚拟机状态统计等；</w:t>
            </w:r>
          </w:p>
          <w:p>
            <w:pPr>
              <w:pStyle w:val="null3"/>
              <w:jc w:val="both"/>
            </w:pPr>
            <w:r>
              <w:rPr>
                <w:sz w:val="21"/>
              </w:rPr>
              <w:t>4</w:t>
            </w:r>
            <w:r>
              <w:rPr>
                <w:sz w:val="21"/>
              </w:rPr>
              <w:t>、支持集群动态资源调度功能，可基于主机的CPU利用率、内存利用率、磁盘I/O、存储利用率、磁盘请求、网络流量等资源对虚拟机进行动态资源调度，实现自动化的存储资源分配和负载均衡功能，主动确保云环境的服务水平；</w:t>
            </w:r>
          </w:p>
          <w:p>
            <w:pPr>
              <w:pStyle w:val="null3"/>
              <w:jc w:val="both"/>
            </w:pPr>
            <w:r>
              <w:rPr>
                <w:sz w:val="21"/>
              </w:rPr>
              <w:t>5</w:t>
            </w:r>
            <w:r>
              <w:rPr>
                <w:sz w:val="21"/>
              </w:rPr>
              <w:t>、支持使用一键鼠标按钮分析后端存储上的无效镜像文件，并提供一键清理和释放存储空间能力，提升资源利用率；</w:t>
            </w:r>
          </w:p>
          <w:p>
            <w:pPr>
              <w:pStyle w:val="null3"/>
              <w:jc w:val="both"/>
            </w:pPr>
            <w:r>
              <w:rPr>
                <w:sz w:val="21"/>
              </w:rPr>
              <w:t>6</w:t>
            </w:r>
            <w:r>
              <w:rPr>
                <w:sz w:val="21"/>
              </w:rPr>
              <w:t>、支持虚拟机迁移历史记录功能，记录中包含迁移的操作员、迁移方式、源主机、目的主机、开始时间、迁移耗时等信息，便于对虚拟机的迁移路径进行回溯；</w:t>
            </w:r>
          </w:p>
          <w:p>
            <w:pPr>
              <w:pStyle w:val="null3"/>
              <w:jc w:val="both"/>
            </w:pPr>
            <w:r>
              <w:rPr>
                <w:sz w:val="21"/>
              </w:rPr>
              <w:t>7</w:t>
            </w:r>
            <w:r>
              <w:rPr>
                <w:sz w:val="21"/>
              </w:rPr>
              <w:t>、支持使用一键鼠标按钮快速查看、启动、删除、批量启动和批量删除长时间未使用且处于关闭状态的虚拟机；</w:t>
            </w:r>
          </w:p>
          <w:p>
            <w:pPr>
              <w:pStyle w:val="null3"/>
              <w:jc w:val="both"/>
            </w:pPr>
            <w:r>
              <w:rPr>
                <w:sz w:val="21"/>
              </w:rPr>
              <w:t>8</w:t>
            </w:r>
            <w:r>
              <w:rPr>
                <w:sz w:val="21"/>
              </w:rPr>
              <w:t>、超融合管理平台内置在线p2v、v2v迁移工具，支持业界主流的操作系统、公有云平台、虚拟化平台。包括但不限于VMware、华为、深信服、H3C等平台的迁移功能，提升被迁移业务平台的普适性、降低业务上云的难度，降低运维工作量；</w:t>
            </w:r>
          </w:p>
          <w:p>
            <w:pPr>
              <w:pStyle w:val="null3"/>
              <w:jc w:val="both"/>
            </w:pPr>
            <w:r>
              <w:rPr>
                <w:sz w:val="21"/>
              </w:rPr>
              <w:t>9</w:t>
            </w:r>
            <w:r>
              <w:rPr>
                <w:sz w:val="21"/>
              </w:rPr>
              <w:t>、支持对整个平台虚拟设备实现统一的管理，虚拟化WEB管理平台可以完成网络拓扑的构建，完成各类虚拟设备的自助逻辑编排，支持在管理平台上连接、开启、关闭各类虚拟设备，拓扑呈现业务流量信息，所画即所得；</w:t>
            </w:r>
          </w:p>
          <w:p>
            <w:pPr>
              <w:pStyle w:val="null3"/>
              <w:jc w:val="both"/>
            </w:pPr>
            <w:r>
              <w:rPr>
                <w:sz w:val="21"/>
              </w:rPr>
              <w:t>▲10、可视化实时监控中心，针对超融合整体软硬件故障问题，可视化实时监控中心从硬件可靠性（包括CPU、内存、磁盘、物理网卡和Raid卡）、系统可靠性（包括集群主机、分布式存储、集群网络配置状态和集群资源过载状态）、服务可靠性（包括站点容灾、集群可靠性HA、应用HA、计算资源DRS、虚拟机运行状态和虚拟机备份）三大层面进行实时监控、分层展示；</w:t>
            </w:r>
          </w:p>
          <w:p>
            <w:pPr>
              <w:pStyle w:val="null3"/>
              <w:jc w:val="both"/>
            </w:pPr>
            <w:r>
              <w:rPr>
                <w:sz w:val="21"/>
              </w:rPr>
              <w:t>11</w:t>
            </w:r>
            <w:r>
              <w:rPr>
                <w:sz w:val="21"/>
              </w:rPr>
              <w:t>、支持批量修改虚拟机的配置参数，包括：I/O优先级、启动优先级、是否自动迁移、CPU调度优先级、自动启动、CPU个数、内存大小、启用VNC代理等（</w:t>
            </w:r>
            <w:r>
              <w:rPr>
                <w:sz w:val="21"/>
                <w:b/>
              </w:rPr>
              <w:t>投标时要求以真实系统演示此功能</w:t>
            </w:r>
            <w:r>
              <w:rPr>
                <w:sz w:val="21"/>
              </w:rPr>
              <w:t>）；</w:t>
            </w:r>
          </w:p>
          <w:p>
            <w:pPr>
              <w:pStyle w:val="null3"/>
              <w:jc w:val="both"/>
            </w:pPr>
            <w:r>
              <w:rPr>
                <w:sz w:val="21"/>
              </w:rPr>
              <w:t>12</w:t>
            </w:r>
            <w:r>
              <w:rPr>
                <w:sz w:val="21"/>
              </w:rPr>
              <w:t>、支持虚拟机桌面预览功能，无需登录虚拟机即可在虚拟化管理平台上看到虚拟机当前桌面的状态（</w:t>
            </w:r>
            <w:r>
              <w:rPr>
                <w:sz w:val="21"/>
                <w:b/>
              </w:rPr>
              <w:t>投标时要求以真实系统演示此功能</w:t>
            </w:r>
            <w:r>
              <w:rPr>
                <w:sz w:val="21"/>
              </w:rPr>
              <w:t>）；</w:t>
            </w:r>
          </w:p>
          <w:p>
            <w:pPr>
              <w:pStyle w:val="null3"/>
              <w:jc w:val="both"/>
            </w:pPr>
            <w:r>
              <w:rPr>
                <w:sz w:val="21"/>
              </w:rPr>
              <w:t>13</w:t>
            </w:r>
            <w:r>
              <w:rPr>
                <w:sz w:val="21"/>
              </w:rPr>
              <w:t>、支持GPU虚拟化功能，能够将GPU切分成vGPU，给虚拟机使用；</w:t>
            </w:r>
          </w:p>
          <w:p>
            <w:pPr>
              <w:pStyle w:val="null3"/>
              <w:jc w:val="both"/>
            </w:pPr>
            <w:r>
              <w:rPr>
                <w:sz w:val="21"/>
              </w:rPr>
              <w:t>14</w:t>
            </w:r>
            <w:r>
              <w:rPr>
                <w:sz w:val="21"/>
              </w:rPr>
              <w:t>、虚拟化管理平台提供统一的防病毒配置界面，支持不少于2种主流防病毒软件配置；</w:t>
            </w:r>
          </w:p>
          <w:p>
            <w:pPr>
              <w:pStyle w:val="null3"/>
              <w:jc w:val="both"/>
            </w:pPr>
            <w:r>
              <w:rPr>
                <w:sz w:val="21"/>
              </w:rPr>
              <w:t>▲15、磁盘或者节点故障之后无需人工干预，磁盘或者节点故障之后无需人工干预，提升重构效率，可以做到 ≤15min/TB。</w:t>
            </w:r>
          </w:p>
        </w:tc>
      </w:tr>
    </w:tbl>
    <w:p>
      <w:pPr>
        <w:pStyle w:val="null3"/>
        <w:jc w:val="both"/>
        <w:outlineLvl w:val="0"/>
      </w:pPr>
      <w:r>
        <w:rPr>
          <w:sz w:val="21"/>
          <w:b/>
        </w:rPr>
        <w:t>2.12 图形处理服务器1</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1017"/>
        <w:gridCol w:w="1271"/>
        <w:gridCol w:w="4406"/>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数量≥2个；单颗处理器</w:t>
            </w:r>
            <w:r>
              <w:rPr>
                <w:sz w:val="21"/>
              </w:rPr>
              <w:t>核心数≥32、主频≥2.1GHz、三级缓存≥160 MB、线程≥64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PCIe4.0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1个OCP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64GB DDR5</w:t>
            </w:r>
            <w:r>
              <w:rPr>
                <w:sz w:val="21"/>
              </w:rPr>
              <w:t>，</w:t>
            </w: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 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2</w:t>
            </w:r>
            <w:r>
              <w:rPr>
                <w:sz w:val="21"/>
              </w:rPr>
              <w:t>块 480GB SATA SSD硬盘，配置≥2块7.68TB NVMe SSD硬盘；</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≥12个3.5寸硬盘插槽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配置≥1块RAID卡模块(支持8个SAS Port,带4GB缓存,PCIe)；支持 RAID 0/1/10/5/50/6/60和直通模式，支持在线 RAID 级别迁移和在线扩容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≥4个10/25G以太网光接口（满配万兆多模光模块）；≥4个千兆电口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≥4个10/25G以太网光接口（满配万兆多模光模块）；≥4个千兆电口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 /SFP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N+M</w:t>
            </w:r>
            <w:r>
              <w:rPr>
                <w:sz w:val="21"/>
              </w:rPr>
              <w:t>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≥2700W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★AI 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★AI 计算单元</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实配AI 计算单元，GPU卡</w:t>
            </w:r>
            <w:r>
              <w:rPr>
                <w:sz w:val="21"/>
              </w:rPr>
              <w:t>数量≥8块</w:t>
            </w:r>
            <w:r>
              <w:rPr>
                <w:sz w:val="21"/>
              </w:rPr>
              <w:t>，每张GPU卡CUDA 核心≥14000，显存≥24G， FP16算力≥290TFLOPS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p>
            <w:pPr>
              <w:pStyle w:val="null3"/>
              <w:jc w:val="center"/>
            </w:pPr>
            <w:r>
              <w:rPr>
                <w:sz w:val="21"/>
              </w:rPr>
              <w:t>48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）机柜电源模块支持 N+1 冗余配置，电源模块可独立更换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USB、显示、管理等接口，如：VGA、USB3.0、BMC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p>
            <w:pPr>
              <w:pStyle w:val="null3"/>
              <w:jc w:val="center"/>
            </w:pP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BMC参数设置的功能，并可基于网络通过外部管理工具对BMC 进行管理；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BMC </w:t>
            </w:r>
            <w:r>
              <w:rPr>
                <w:sz w:val="21"/>
              </w:rPr>
              <w:t>固件增强功能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）支持通过服务U盘下载服务器设备故障诊断日志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≥160MB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≥10/25GE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132</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投标人有偿提供远程技术支持、软件授权服务、备件更换服务、现场支承服务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BIOS </w:t>
            </w:r>
            <w:r>
              <w:rPr>
                <w:sz w:val="21"/>
              </w:rPr>
              <w:t>开机自检代码（POST CODE）明文化展示，将BIOS启动过程中的所有 POST CODE以明文化的形式展示在界面中，方便快速定位POST阶段故障（故障位置和类型）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运维特性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可通过安全面板上的灯效展示服务器的待机、启动阶段，以及整机负载、硬件故障和预故障等运行状态或支持配置氛围灯与服务器监控或功率负载等状态联动</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支持对服务器进行移动运维管理。服务器发生SNMP告警的时候，可以通过短信和电话发送到指定的手机或者发送到指定的微信号</w:t>
            </w:r>
          </w:p>
        </w:tc>
      </w:tr>
    </w:tbl>
    <w:p>
      <w:pPr>
        <w:pStyle w:val="null3"/>
      </w:pPr>
      <w:r>
        <w:rPr>
          <w:sz w:val="21"/>
        </w:rPr>
        <w:t>本表格共有★</w:t>
      </w:r>
      <w:r>
        <w:rPr>
          <w:sz w:val="21"/>
        </w:rPr>
        <w:t>108</w:t>
      </w:r>
      <w:r>
        <w:rPr>
          <w:sz w:val="21"/>
        </w:rPr>
        <w:t>个，供应商在投标环节出具关于所提供通用服务器满足采购文件要求承诺函的，即视为相关产品符合要求。。</w:t>
      </w:r>
    </w:p>
    <w:p>
      <w:pPr>
        <w:pStyle w:val="null3"/>
        <w:jc w:val="both"/>
        <w:outlineLvl w:val="0"/>
      </w:pPr>
      <w:r>
        <w:rPr>
          <w:sz w:val="21"/>
          <w:b/>
        </w:rPr>
        <w:t>2.13 图形处理服务器2</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6"/>
        <w:gridCol w:w="1016"/>
        <w:gridCol w:w="1271"/>
        <w:gridCol w:w="4405"/>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数量≥2个；单颗处理器</w:t>
            </w:r>
            <w:r>
              <w:rPr>
                <w:sz w:val="21"/>
              </w:rPr>
              <w:t>核心数≥32、主频≥2.5GHz、三级缓存≥60 MB、线程≥64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支持≥2颗x86可扩展处理器, 内存速率最高支持5600MT/s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PCIe4.0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1个OCP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64GB DDR5</w:t>
            </w:r>
            <w:r>
              <w:rPr>
                <w:sz w:val="21"/>
              </w:rPr>
              <w:t>，</w:t>
            </w: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 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2</w:t>
            </w:r>
            <w:r>
              <w:rPr>
                <w:sz w:val="21"/>
              </w:rPr>
              <w:t>块 480GB SATA SSD硬盘，≥2块960GB SATA SSD硬盘；</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≥8个3.5寸硬盘插槽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配置≥1块</w:t>
            </w:r>
            <w:r>
              <w:rPr>
                <w:sz w:val="21"/>
              </w:rPr>
              <w:t>RAID</w:t>
            </w:r>
            <w:r>
              <w:rPr>
                <w:sz w:val="21"/>
              </w:rPr>
              <w:t>卡模块(支持8个SAS Port,带4GB缓存,PCIe)；</w:t>
            </w:r>
            <w:r>
              <w:rPr>
                <w:sz w:val="21"/>
              </w:rPr>
              <w:t>支持 RAID 0/1/10/5/50/6/60和直通模式，支持在线 RAID 级别迁移和在线扩容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≥4个10/25G以太网光接口（满配万兆多模光模块）；≥4个千兆电口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≥4个10/25G以太网光接口（满配万兆多模光模块）；≥4个千兆电口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 1+1 </w:t>
            </w:r>
            <w:r>
              <w:rPr>
                <w:sz w:val="21"/>
              </w:rPr>
              <w:t>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★AI 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★AI 计算单元</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实配AI 计算单元，GPU卡</w:t>
            </w:r>
            <w:r>
              <w:rPr>
                <w:sz w:val="21"/>
              </w:rPr>
              <w:t>数量≥1块，每块GPU性能：</w:t>
            </w:r>
            <w:r>
              <w:rPr>
                <w:sz w:val="21"/>
              </w:rPr>
              <w:t>CUDA</w:t>
            </w:r>
            <w:r>
              <w:rPr>
                <w:sz w:val="21"/>
              </w:rPr>
              <w:t>核心数≥9700，显存≥16G；具备视频解析、文本识别、语音分析等推理能力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USB、显示、管理等接口，如：VGA、DP、HDMI、USB3.0、PS/2 接口、BMC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 BMC 进行管理；</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BMC </w:t>
            </w:r>
            <w:r>
              <w:rPr>
                <w:sz w:val="21"/>
              </w:rPr>
              <w:t>固件增强功能</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p>
            <w:pPr>
              <w:pStyle w:val="null3"/>
              <w:jc w:val="center"/>
            </w:pP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≥2.5GHz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≥60MB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≥10/25GE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 年；</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 年；</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投标人有偿提供远程技术支持、软件授权服务、备件更换服务、现场支承服务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6"/>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146</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BIOS </w:t>
            </w:r>
            <w:r>
              <w:rPr>
                <w:sz w:val="21"/>
              </w:rPr>
              <w:t>开机自检代码（POST CODE）明文化展示，将BIOS启动过程中的所有 POST CODE以明文化的形式展示在界面中，方便快速定位POST阶段故障（故障位置和类型）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147</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6"/>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运维特性</w:t>
            </w: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可通过安全面板上的灯效展示服务器的待机、启动阶段，以及整机负载、硬件故障和预故障等运行状态或支持配置氛围灯与服务器监控或功率负载等状态联动</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148</w:t>
            </w:r>
          </w:p>
        </w:tc>
        <w:tc>
          <w:tcPr>
            <w:tcW w:type="dxa" w:w="101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6"/>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支持对服务器进行移动运维管理。服务器发生SNMP告警的时候，可以通过短信和电话发送到指定的手机或者发送到指定的微信号</w:t>
            </w:r>
          </w:p>
        </w:tc>
      </w:tr>
    </w:tbl>
    <w:p>
      <w:pPr>
        <w:pStyle w:val="null3"/>
      </w:pPr>
      <w:r>
        <w:rPr>
          <w:sz w:val="21"/>
        </w:rPr>
        <w:t>本表格共有★</w:t>
      </w:r>
      <w:r>
        <w:rPr>
          <w:sz w:val="21"/>
        </w:rPr>
        <w:t>108</w:t>
      </w:r>
      <w:r>
        <w:rPr>
          <w:sz w:val="21"/>
        </w:rPr>
        <w:t>个，供应商在投标环节出具关于所提供通用服务器满足采购文件要求承诺函的，即视为相关产品符合要求。</w:t>
      </w:r>
    </w:p>
    <w:p>
      <w:pPr>
        <w:pStyle w:val="null3"/>
        <w:jc w:val="both"/>
        <w:outlineLvl w:val="0"/>
      </w:pPr>
      <w:r>
        <w:rPr>
          <w:sz w:val="21"/>
          <w:b/>
        </w:rPr>
        <w:t>2.14 四路服务器</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1017"/>
        <w:gridCol w:w="1271"/>
        <w:gridCol w:w="4406"/>
      </w:tblGrid>
      <w:tr>
        <w:tc>
          <w:tcPr>
            <w:tcW w:type="dxa" w:w="5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序号</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指标分类</w:t>
            </w:r>
          </w:p>
        </w:tc>
        <w:tc>
          <w:tcPr>
            <w:tcW w:type="dxa" w:w="101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一级指标</w:t>
            </w:r>
          </w:p>
        </w:tc>
        <w:tc>
          <w:tcPr>
            <w:tcW w:type="dxa" w:w="127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二级指标</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rPr>
              <w:t>指标要求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信息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数量≥4个；单颗</w:t>
            </w:r>
            <w:r>
              <w:rPr>
                <w:sz w:val="21"/>
              </w:rPr>
              <w:t>核心数≥18、主频≥2.2GHz、三级缓存≥45MB、线程≥36</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★主板支持的 CPU 和内存情况</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支持≥4颗x86可扩展处理器, 内存速率最高支持4800MT/s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★主板内存槽数量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≥64个</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★主板存储接口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SATA、SAS、M.2、U.2 等存储接口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★PCIe 插槽接口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PCIe4.0 或以上的高速串行计算机扩展总线标准，PCIe 的接口速率与位宽需保证向下兼容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PCIe 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≥5个PCIe5.0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特殊孔位及接口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板载网络接口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≥1个</w:t>
            </w:r>
            <w:r>
              <w:rPr>
                <w:sz w:val="21"/>
              </w:rPr>
              <w:t>千兆电口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 OCP 插槽数量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1个OCP 3.0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单条内存≥</w:t>
            </w:r>
            <w:r>
              <w:rPr>
                <w:sz w:val="21"/>
              </w:rPr>
              <w:t>64GB DDR5</w:t>
            </w:r>
            <w:r>
              <w:rPr>
                <w:sz w:val="21"/>
              </w:rPr>
              <w:t>，</w:t>
            </w: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★内存通道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投标人需提供服务器支持硬磁盘和固态盘类型及规格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★硬磁盘实配容量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支持SATA/SAS/NVMe</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应提供≥ 1种类型固态盘接口，如 M.2、UFS、SATA、PCIe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★硬盘实配数量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w:t>
            </w:r>
            <w:r>
              <w:rPr>
                <w:sz w:val="21"/>
              </w:rPr>
              <w:t>2</w:t>
            </w:r>
            <w:r>
              <w:rPr>
                <w:sz w:val="21"/>
              </w:rPr>
              <w:t>块480GB SATA SSD硬盘；≥2块1.92TB SATA SSD硬盘</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★硬盘插槽数量及规格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≥8个2.5寸硬盘插槽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硬盘其他参数要求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 </w:t>
            </w:r>
            <w:r>
              <w:rPr>
                <w:sz w:val="21"/>
              </w:rPr>
              <w:t>若服务器支持机械硬盘，机械硬盘准备时间应不大于 30s；侧面固定螺丝孔数量可为 4 孔或 6 孔；工作状态环境温度应满足 5℃~55℃，其它参数应符合 GB/T 12628 的相关规定；</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 </w:t>
            </w:r>
            <w:r>
              <w:rPr>
                <w:sz w:val="21"/>
              </w:rPr>
              <w:t>若服务器支持固态盘，固态盘符合 SJ/T 11654 相关规定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卡规格（若支持 RAID 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卡支持的 SAS接口数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rPr>
              <w:t>配置1块≥</w:t>
            </w:r>
            <w:r>
              <w:rPr>
                <w:sz w:val="21"/>
              </w:rPr>
              <w:t>RAID</w:t>
            </w:r>
            <w:r>
              <w:rPr>
                <w:sz w:val="21"/>
              </w:rPr>
              <w:t>卡模块(支持8个SAS Port,带4GB缓存,PCIe)；</w:t>
            </w:r>
            <w:r>
              <w:rPr>
                <w:sz w:val="21"/>
              </w:rPr>
              <w:t>支持 RAID 0/1/10/5/50/6/60和直通模式，支持在线 RAID 级别迁移和在线扩容</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SAS </w:t>
            </w:r>
            <w:r>
              <w:rPr>
                <w:sz w:val="21"/>
              </w:rPr>
              <w:t>直通卡规格（若支持 SAS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SAS </w:t>
            </w:r>
            <w:r>
              <w:rPr>
                <w:sz w:val="21"/>
              </w:rPr>
              <w:t>直通卡 SAS 接口数量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HBA </w:t>
            </w:r>
            <w:r>
              <w:rPr>
                <w:sz w:val="21"/>
              </w:rPr>
              <w:t>卡规格（若支持 HBA 直通卡）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HBA </w:t>
            </w:r>
            <w:r>
              <w:rPr>
                <w:sz w:val="21"/>
              </w:rPr>
              <w:t>卡端口数量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≥0</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≥4个10/25G以太网光接口（满配万兆多模光模块）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存储型服务器网口速率和数量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独立网卡网口数量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≥4个10/25G以太网光接口（满配万兆多模光模块）</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RJ45/SFP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板载网卡接口类型</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RJ45</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★外部接口规格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显示接口类型应不少于 1 种，如：VGA、DP、HDMI 等</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★USB 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≥3个USB3.0接口</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特殊接口及孔位</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其他接口</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电源冗余模式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冗余配置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★电源模块数量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≥2000W</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电源指示灯</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配备电源指示灯，指示待机、工作异常等状态</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★整机规格</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★外观和结构</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）服务器的零部件应紧固无松动，可插拔部件应可靠连接，开关、按钮和其它控制部件应灵活可靠，布局应方便使用；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）产品表面不应有明显的凹痕、划伤、裂缝、变形和污染等。表面涂层均匀，不应起泡、龟裂、脱落和磨损，金属零部件无锈蚀及其它机械损伤；</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）产品表面说明功能的文字、符号和标志应清晰、端正且牢固；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）应在服务器的显著位置提供运行状态的指示功能，并在随机文件中明确具体含义；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）机架、机箱的尺寸应符合通用机柜的安装要求，插入总线插座的电路板接口外形尺寸应符合有关总线标准的规定，将机箱固定在机柜上，机箱底面最大下垂变形不得干涉相邻机体；</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）服务器尺寸具体要求在随机文件中明确</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★尺寸（高×宽×深）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投标人需提供产品尺寸；</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设计应遵循标准化、系列化的要求；</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机箱的内部结构符合通用部件的安装需要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服务器导轨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投标人需提供导轨尺寸、安装方式等信息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CPU </w:t>
            </w:r>
            <w:r>
              <w:rPr>
                <w:sz w:val="21"/>
              </w:rPr>
              <w:t>个数与机柜高度单位 (U) 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气候环境适应性应符合 GB/T 9813.3 的有关规定，工作温度 10～35℃，贮存运输温度 - 40～55℃；工作相对湿度 35%～80%，贮存运输相对湿度 20%～93%（40℃）；大气压 86～106kPa</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特殊机型环境适应性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机械环境适应性应符合 GB/T 9813.3 的有关规定</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42</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★噪声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的有关规定，在产品说明中给出具体测试值</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塔式服务器噪声在空闲状态下不大于 50dB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AI </w:t>
            </w:r>
            <w:r>
              <w:rPr>
                <w:sz w:val="21"/>
              </w:rPr>
              <w:t>计算单元规格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AI </w:t>
            </w:r>
            <w:r>
              <w:rPr>
                <w:sz w:val="21"/>
              </w:rPr>
              <w:t>计算单元</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一键式迁移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机柜规格</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★机柜尺寸</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机柜管理板</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产品规格</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机柜电源规格</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★主板功能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★主板外部接口种类</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 USB、显示、管理等接口，如：VGA、DP、HDMI、USB3.0、PS/2 接口、BMC 管理端口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主板防烧板设计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支持主板防烧板设计，保证电源故障后不扩散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扩展功能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实现至少一种扩展功能，如存储功能卡、显示功能卡、运算加速功能卡及网络功能卡等扩展功能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支持网络连接、网络访问、数据交换和网络管控功能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★CPU 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支持通用计算及虚拟化功能。处理器需集成整型计算单元、浮点计算单元、内存控制器、I/O 模块等，处理器与存储部件、网络部件、I/O 部件等组成计算系统，提供数据处理、网络接入等计算相关功能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内存校验</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支持内存校验或内存增强型纠错功能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NAND </w:t>
            </w:r>
            <w:r>
              <w:rPr>
                <w:sz w:val="21"/>
              </w:rPr>
              <w:t>健康状态上报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支持关键外部存储器（硬磁盘、SSD 等）的健康状态上报并进行故障诊断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单 die 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SSD 关键外部存储器中单存储晶元故障隔离</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RAID </w:t>
            </w:r>
            <w:r>
              <w:rPr>
                <w:sz w:val="21"/>
              </w:rPr>
              <w:t>卡功能（若支持 RAID 卡）</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RAID 级别支持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模式支持 RAID 0/1/10/5，存储型支持 RAID 0/1/5/6/10/50/60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 BBU 单元</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RAID </w:t>
            </w:r>
            <w:r>
              <w:rPr>
                <w:sz w:val="21"/>
              </w:rPr>
              <w:t>卡支持电池或电容备份单元</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光驱功能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光驱类型（是否支持 RW，以及光盘类型CD/DVD）</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★电源热插拔</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整机电源模块应具备热插拔功能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★电源过流保护</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支持过流及短路保护的功能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★整机功能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★散热方式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支持风冷或液冷等散热方式</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其他功能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）支持关键部件冗余（包括电源、风扇等）；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）支持熔断保护与恢复功能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★管理系统功能</w:t>
            </w: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★BMC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）支持 DHCP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w:t>
            </w:r>
            <w:r>
              <w:rPr>
                <w:sz w:val="21"/>
              </w:rPr>
              <w:t>）支持静态 IP 设置网络功能；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w:t>
            </w:r>
            <w:r>
              <w:rPr>
                <w:sz w:val="21"/>
              </w:rPr>
              <w:t>）支持设备日志记录，包括但不限于登录日志、操作日志和报警日志等功能；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）支持日志信息导出和记录删除功能；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）支持通过管理接口向外输出准确的报警信息功能；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w:t>
            </w:r>
            <w:r>
              <w:rPr>
                <w:sz w:val="21"/>
              </w:rPr>
              <w:t>）设备的 BMC 管理软件应能够按报警的严重程度进行区分；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w:t>
            </w:r>
            <w:r>
              <w:rPr>
                <w:sz w:val="21"/>
              </w:rPr>
              <w:t>）支持 IPMI2.0、SNMP 或 Redfish 等接口功能；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8</w:t>
            </w:r>
            <w:r>
              <w:rPr>
                <w:sz w:val="21"/>
              </w:rPr>
              <w:t>）支持键盘、鼠标和视频的重定向、文本控制台的重定向、远程虚拟媒体、高可靠的硬件监控和管理功能；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9</w:t>
            </w:r>
            <w:r>
              <w:rPr>
                <w:sz w:val="21"/>
              </w:rPr>
              <w:t>）支持基于网络开启、关闭和重启设备的功能，并查询当前设备开机运行状态；</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）支持故障提示功能，并可通过接口读取服务器故障信息；</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11</w:t>
            </w:r>
            <w:r>
              <w:rPr>
                <w:sz w:val="21"/>
              </w:rPr>
              <w:t>）支持基于网络的固件更新功能，包括 BMC 和 BIOS 等；</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12</w:t>
            </w:r>
            <w:r>
              <w:rPr>
                <w:sz w:val="21"/>
              </w:rPr>
              <w:t>）支持基于网络安装操作系统的功能，并可通过网络控制台访问设备；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13</w:t>
            </w:r>
            <w:r>
              <w:rPr>
                <w:sz w:val="21"/>
              </w:rPr>
              <w:t>）支持通过本地的硬盘或光驱等存储设备，基于网络完成设备的操作系统安装功能；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14</w:t>
            </w:r>
            <w:r>
              <w:rPr>
                <w:sz w:val="21"/>
              </w:rPr>
              <w:t>）支持通过浏览器打开管理界面并登录功能；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15</w:t>
            </w:r>
            <w:r>
              <w:rPr>
                <w:sz w:val="21"/>
              </w:rPr>
              <w:t>）支持设置口令策略功能；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16</w:t>
            </w:r>
            <w:r>
              <w:rPr>
                <w:sz w:val="21"/>
              </w:rPr>
              <w:t>）支持访问权限设置功能，并通过日志记录访问事件；</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17</w:t>
            </w:r>
            <w:r>
              <w:rPr>
                <w:sz w:val="21"/>
              </w:rPr>
              <w:t>）支持对出厂默认的用户名及口令进行安全保护功能，并提供默认口令修改提示；</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r>
              <w:rPr>
                <w:sz w:val="21"/>
              </w:rPr>
              <w:t>）支持读取设备主板的工作环境温度功能；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19</w:t>
            </w:r>
            <w:r>
              <w:rPr>
                <w:sz w:val="21"/>
              </w:rPr>
              <w:t>）支持读取服务器 CPU 等核心器件的温度功能；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w:t>
            </w:r>
            <w:r>
              <w:rPr>
                <w:sz w:val="21"/>
              </w:rPr>
              <w:t>）支持通过外部管理工具进行 BMC参数设置的功能，并可基于网络通过外部管理工具对 BMC 进行管理；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21</w:t>
            </w:r>
            <w:r>
              <w:rPr>
                <w:sz w:val="21"/>
              </w:rPr>
              <w:t>）应支持固件版本查询、固件升级</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w:t>
            </w:r>
            <w:r>
              <w:rPr>
                <w:sz w:val="21"/>
              </w:rPr>
              <w:t>）支持基于网络实现开关机和复位控制的功能；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23</w:t>
            </w:r>
            <w:r>
              <w:rPr>
                <w:sz w:val="21"/>
              </w:rPr>
              <w:t>）BMC 启动时间应不超过 180s，实现功能包括网络、IPMI、散热、传感器服务可用；</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w:t>
            </w:r>
            <w:r>
              <w:rPr>
                <w:sz w:val="21"/>
              </w:rPr>
              <w:t>）支持 BMC 固件设置的恢复出厂功能</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BMC </w:t>
            </w:r>
            <w:r>
              <w:rPr>
                <w:sz w:val="21"/>
              </w:rPr>
              <w:t>固件增强功能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）网络控制、安装提供图形访问界面网络；</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）设备的 BMC 管理软件界面显示报警信息，且能够按报警的严重程度进行区分；</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）Web GUI 采用 BMC 端口直连，平均响应时间为不大于 1s</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★BIOS 固件基础功能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）支持查看固件版本、内存信息、主板信息、处理器信息和系统时间信息功能；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）支持上电初始化界面显示 CPU 信息、内存信息、固件版本和部分快捷键信息功能；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）支持设置界面中英文显示切换功能；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）支持查看 PCIe 设备信息，SATA 设备信息功能；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e</w:t>
            </w:r>
            <w:r>
              <w:rPr>
                <w:sz w:val="21"/>
              </w:rPr>
              <w:t>）支持操作系统安装和引导功能，应并向操作系统提供计算机主板信息和服务接口；</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f</w:t>
            </w:r>
            <w:r>
              <w:rPr>
                <w:sz w:val="21"/>
              </w:rPr>
              <w:t>）支持设置启动顺序，并按照设置的启动顺序启动功能；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g</w:t>
            </w:r>
            <w:r>
              <w:rPr>
                <w:sz w:val="21"/>
              </w:rPr>
              <w:t>）支持安全启动功能；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h</w:t>
            </w:r>
            <w:r>
              <w:rPr>
                <w:sz w:val="21"/>
              </w:rPr>
              <w:t>）支持设置口令、修改口令、验证口令功能；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i</w:t>
            </w:r>
            <w:r>
              <w:rPr>
                <w:sz w:val="21"/>
              </w:rPr>
              <w:t>）支持板载显示控制或独立显卡的显示控制功能；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j</w:t>
            </w:r>
            <w:r>
              <w:rPr>
                <w:sz w:val="21"/>
              </w:rPr>
              <w:t>）支持 RAID 识别和启动功能；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k</w:t>
            </w:r>
            <w:r>
              <w:rPr>
                <w:sz w:val="21"/>
              </w:rPr>
              <w:t>）支持串口重定向功能；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l</w:t>
            </w:r>
            <w:r>
              <w:rPr>
                <w:sz w:val="21"/>
              </w:rPr>
              <w:t>）支持固件更新功能；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m</w:t>
            </w:r>
            <w:r>
              <w:rPr>
                <w:sz w:val="21"/>
              </w:rPr>
              <w:t>）支持 BIOS 固件设置的恢复出厂功能；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n</w:t>
            </w:r>
            <w:r>
              <w:rPr>
                <w:sz w:val="21"/>
              </w:rPr>
              <w:t>）支持网络引导启用和关闭功能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★远程控制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支持远程关机和重新启动功能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支持通过网络、闪存盘对操作系统、驱动进行升级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★操作系统及驱动功能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操作系统及驱动的备份还原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支持操作系统备份及还原功能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p>
            <w:pPr>
              <w:pStyle w:val="null3"/>
              <w:jc w:val="center"/>
            </w:pP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★操作系统功能</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支持访问控制、安全审计、网络接入鉴别等功能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★中文信息处理功能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机柜功能</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机柜管理功能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机柜通信方式</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多集群作业管理</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关键</w:t>
            </w:r>
          </w:p>
          <w:p>
            <w:pPr>
              <w:pStyle w:val="null3"/>
              <w:jc w:val="center"/>
            </w:pPr>
            <w:r>
              <w:rPr>
                <w:sz w:val="21"/>
              </w:rPr>
              <w:t>部件</w:t>
            </w:r>
          </w:p>
          <w:p>
            <w:pPr>
              <w:pStyle w:val="null3"/>
              <w:jc w:val="center"/>
            </w:pPr>
            <w:r>
              <w:rPr>
                <w:sz w:val="21"/>
              </w:rPr>
              <w:t>安全</w:t>
            </w:r>
          </w:p>
          <w:p>
            <w:pPr>
              <w:pStyle w:val="null3"/>
              <w:jc w:val="center"/>
            </w:pPr>
            <w:r>
              <w:rPr>
                <w:sz w:val="21"/>
              </w:rPr>
              <w:t>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w:t>
            </w:r>
          </w:p>
          <w:p>
            <w:pPr>
              <w:pStyle w:val="null3"/>
              <w:jc w:val="left"/>
            </w:pPr>
            <w:r>
              <w:rPr>
                <w:sz w:val="21"/>
              </w:rPr>
              <w:t>安全要求</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★固件安全要求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★故障检测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支持故障检测功能，可以检测到具体的 FRU（内存、硬盘等）的故障并发出告警</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内存故障智能预测和自愈修复</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支持内存故障智能预测和自愈修复，提前自动硬隔离，避免内存故障引起的非预期宕机以及内存寿命的降低</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硬盘故障智能预测</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支持硬盘故障智能预测，基于故障模型预测出硬盘的故障</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PCIe </w:t>
            </w:r>
            <w:r>
              <w:rPr>
                <w:sz w:val="21"/>
              </w:rPr>
              <w:t>链路故障智能诊断</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PCIe 链路故障智能诊断，判断出现故障的 PCIe 链路</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内存故障隔离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支持内存故障隔离，在内存产生 CE 故障时，内存地址被隔离成功，服务器正常运行，业务系统不中断</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内存、PCIe 卡的故障精准告警功能</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支持内存、PCIe 卡的故障精准告警功能，触发告警并明确指示具体的故障位置</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异常下电关键数据保护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支持异常下电关键数据保护，支持数据备份恢复机制，防止系统异常掉电导致的数据文件丢失</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BMC/BIOS </w:t>
            </w:r>
            <w:r>
              <w:rPr>
                <w:sz w:val="21"/>
              </w:rPr>
              <w:t>固件双镜像保护</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BMC/BIOS 固件双镜像保护，运行异常时自动切换到备份镜像运行，提升系统稳定性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核重启隔离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 CPU 核发生不可纠正故障后，重启后由 BIOS 隔离该故障核，OS 不可见，防止 OS 再次使用导致系统异常，核 0 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内存地址隔离</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在硬件支持的情况下，支持故障内存地址重启后隔离</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内存存储阵列替换</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在硬件支持的情况下，支持故障内存存储阵列替换</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安全启动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支持执行环境要求在整个系统启动的过程中，系统应提供一个机制来保护平台的完整性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★系统安全要求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syslog </w:t>
            </w:r>
            <w:r>
              <w:rPr>
                <w:sz w:val="21"/>
              </w:rPr>
              <w:t>双向鉴别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支持系统日志双向鉴别，对服务器根证书和客户端根证书进行鉴别</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★弱口令字典检查</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支持弱口令字典检查功能，出现在弱口令字典中的字符串不能被设置为用户口令</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★白名单访问控制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支持基于时间、IP 或 MAC 白名单访问控制</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双因素鉴别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支持使用客户端证书和证书密码的双因素鉴别方式登录管理系统</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★二次鉴别</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支持二次鉴别功能。对于用户配置、权限配置、公钥导入等重要的管理操作，已登录用户应通过二次鉴别后，才能执行操作</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匿名化用户告警接收邮箱</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支持带外管理系统中的用户告警接收邮箱进行匿名化处理</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★密码证书安全加密存储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支持对带外管理系统中的用户口令和证书等敏感信息进行加密存储，禁止使用私有的和业界已知不安全的密码算法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★敏感信息安全加密传输</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支持使用安全的传输加密协议（如 SSH 或 HTTPS 等）传输用户的敏感信息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★信息安全要求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★研发过程安全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投标人承诺，生产商已建立从需求、设计、开发、测试、维护端到端的开发流程管理机制，输出和保存开发流程中每个阶段的产品需求清单、设计文档、开发文档、测试记录等材料，保证各个流程可追溯</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漏洞管理</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投标人承诺，生产商已建立漏洞全量视图，保证产品版本涉及到的所有漏洞（如驱动程序、BMC 软件等）都可以查看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网络关键设备服务器要求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99</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▲增强要求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）支持可信平台控制模块（TPCM）</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）BIOS 开机自检代码（POST CODE）明文化展示，将BIOS启动过程中的所有 POST CODE以明文化的形式展示在界面中，方便快速定位POST阶段故障（故障位置和类型）。</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）支持对服务器进行移动运维管理。服务器发生SNMP告警的时候，可以通过短信和电话发送到指定的手机或者发送到指定的微信号。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★物理安全</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★物理安全</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安全要求应符合 GB 4943.1 的规定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安全要求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★限用物质的限量要求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限用物质的限量应符合 GB/T 26572 的要求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★CPU 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★CPU 主频</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≥2.2GHz</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核数</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≥18</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 CPU 末级缓存容量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≥45MB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★内存性能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单内存模块容量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≥5600MT/s</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存储性能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硬盘转速</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本次采购不涉及</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RAID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卡缓存容量大小</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配备 RAID 卡且 RAID 卡有缓存容量，容量不少于4GB</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FC HBA </w:t>
            </w:r>
            <w:r>
              <w:rPr>
                <w:sz w:val="21"/>
              </w:rPr>
              <w:t>卡性能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网络性能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独立网卡速率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≥10/25GE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板载网卡速率</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≥1GE</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性能要求</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★电源能耗</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★电源能耗</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符合 GB/T 9813.3 的有关规定</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★部件兼容性要求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★内存兼容性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种及以上厂商的内存产品，且均不低于产品支持的内存规格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★固态存储兼容性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适配 3 种或以上厂商的固态存储产品，且均不低于产品支持的固态存储设备规格</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FC HBA </w:t>
            </w:r>
            <w:r>
              <w:rPr>
                <w:sz w:val="21"/>
              </w:rPr>
              <w:t>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RAID </w:t>
            </w:r>
            <w:r>
              <w:rPr>
                <w:sz w:val="21"/>
              </w:rPr>
              <w:t>卡应适配两种或以上厂商产品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★网卡兼容性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网卡应适配两种或以上厂商产品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★功能卡兼容性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内置或适配符合 PCIe 的功能卡，如：网络功能卡、存储功能卡及图形显示功能卡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★外设兼容性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★外设兼容性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兼容多种主流生产商的外部设备，包括显示器、键盘、鼠标、闪存盘、移动硬盘、USB 光驱及 KVM 等，要求使用不同厂商的外部设备时，系统均能正常识别和安装驱动</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★软件兼容性</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个及以上厂商的数据库产品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个及以上厂商的中间件产品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3 个及以上厂商的大数据平台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虚拟化软件兼容</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 2 款及以上虚拟化软件</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SATA SSD </w:t>
            </w:r>
            <w:r>
              <w:rPr>
                <w:sz w:val="21"/>
              </w:rPr>
              <w:t>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SSD </w:t>
            </w:r>
            <w:r>
              <w:rPr>
                <w:sz w:val="21"/>
              </w:rPr>
              <w:t>的 m1 值（MTBF 的不可接受值）不低于 200000h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★整机可靠性要求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m1 </w:t>
            </w:r>
            <w:r>
              <w:rPr>
                <w:sz w:val="21"/>
              </w:rPr>
              <w:t>值（MTBF 的不可接受值）不得低于 30000h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风扇寿命应不低于 40000h</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★部件可靠性</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支持硬盘、电源、风扇热插拔（内置风扇除外）</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 GB/T 9813.3 和商品包装政府采购需求标准的相关规定</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★服务响应</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）提供电话、电子邮件、远程连接等多种形式服务；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）提供同城 4h、异地 12h 技术响应服务，2 个工作日解决问题，对于未能解决的问题和故障应提供可行的升级方案，并提供周转设备；</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）建立全国技术服务体系和服务团体，符合专业服务体系标准要求，提供原厂中文服务；</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）服务周期内提供产品的维修、换件和升级服务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投标人需提供培训材料、产品手册、培训视频等培训相关内容</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★服务周期</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）产品免费服务周期（含换件和维修）应≥3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）设备停产后继续提供质量保障服务（含备品备件），服务终止时间与最后一批设备交付时间间隔不低于6 年；</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）产品停止服务时间应提前 1 年告知客户；</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）产品发布日期需在随机文件中明确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★服务工具要求</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★工具要求</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投标人提供设置服务器硬件、辅助操作系统安装等功能的辅助工具和管理软件。且随附软件应具有合法授权或版权</w:t>
            </w:r>
          </w:p>
        </w:tc>
      </w:tr>
      <w:tr>
        <w:tc>
          <w:tcPr>
            <w:tcW w:type="dxa" w:w="59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133</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辅助工具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支持如下功能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a</w:t>
            </w:r>
            <w:r>
              <w:rPr>
                <w:sz w:val="21"/>
              </w:rPr>
              <w:t>）本地的数据备份和还原功能；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b</w:t>
            </w:r>
            <w:r>
              <w:rPr>
                <w:sz w:val="21"/>
              </w:rPr>
              <w:t>）网络的数据备份和还原功能；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c</w:t>
            </w:r>
            <w:r>
              <w:rPr>
                <w:sz w:val="21"/>
              </w:rPr>
              <w:t>）服务器操作系统的自动安装功能；</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d</w:t>
            </w:r>
            <w:r>
              <w:rPr>
                <w:sz w:val="21"/>
              </w:rPr>
              <w:t>）服务器所配硬件需要的驱动程序和系统补丁</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★驱动安装升级指引</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投标人提供出厂安装的配件所需的驱动程序，形式包括但不限于驱动光盘、驱动下载链接等。其他配件应提供指引</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随机附开盖工具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随服务器打包提供开机箱工具</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代码迁移工具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性能分析工具</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投标人提供支持当前服务器 CPU 架构的性能分析工具产品，支持系统性能分析、Java 性能分析和系统诊断，可分析系统或应用在 CPU、内存、IO、网络等方面的性能，并给出优化建议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跨架构平台应用兼容</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无要求</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139</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★管理软件</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具备资源管理、系统管理、性能监控、健康监控、基于网络控制、报警设置功能</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140</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★增值服务</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★厂家升级产品软件与扩容服务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投标人提供原厂级的部件 / 软件产品升级和扩容能力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141</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服务保障升级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投标人有偿提供远程技术支持、软件授权服务、备件更换服务、现场支承服务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142</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★提供上门服务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投标人具备提供上门服务的能力</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143</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服务要求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业务场景性能优化服务及整体架构升级服务</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投标人提供针对特定业务场景性能优化服务及整体架构升级服务</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144</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★供应链质量</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★抗干扰性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当产品部件出现供应风险时，应通知客户并提供风险应对方案确保产品的服务保障，必要时应停止相关受影响产品的销售</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145</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供保要求</w:t>
            </w:r>
          </w:p>
        </w:tc>
        <w:tc>
          <w:tcPr>
            <w:tcW w:type="dxa" w:w="1017"/>
            <w:vMerge/>
            <w:tcBorders>
              <w:top w:val="none" w:color="000000" w:sz="4"/>
              <w:left w:val="non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★供应能力证明</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投标人提供供应链稳定承诺书，确保产品的部件在产品服务周期内稳定供货</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146</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运维功能</w:t>
            </w:r>
          </w:p>
        </w:tc>
        <w:tc>
          <w:tcPr>
            <w:tcW w:type="dxa" w:w="127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BIOS </w:t>
            </w:r>
            <w:r>
              <w:rPr>
                <w:sz w:val="21"/>
              </w:rPr>
              <w:t>开机自检代码（POST CODE）明文化展示，将BIOS启动过程中的所有 POST CODE以明文化的形式展示在界面中，方便快速定位POST阶段故障（故障位置和类型）</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147</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运维特性</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可通过安全面板上的灯效展示服务器的待机、启动阶段，以及整机负载、硬件故障和预故障等运行状态或支持配置氛围灯与服务器监控或功率负载等状态联动</w:t>
            </w:r>
          </w:p>
        </w:tc>
      </w:tr>
      <w:tr>
        <w:tc>
          <w:tcPr>
            <w:tcW w:type="dxa" w:w="59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148</w:t>
            </w:r>
          </w:p>
        </w:tc>
        <w:tc>
          <w:tcPr>
            <w:tcW w:type="dxa" w:w="10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运维</w:t>
            </w:r>
          </w:p>
        </w:tc>
        <w:tc>
          <w:tcPr>
            <w:tcW w:type="dxa" w:w="1017"/>
            <w:vMerge/>
            <w:tcBorders>
              <w:top w:val="none" w:color="000000" w:sz="4"/>
              <w:left w:val="non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支持对服务器进行移动运维管理。服务器发生SNMP告警的时候，可以通过短信和电话发送到指定的手机或者发送到指定的微信号</w:t>
            </w:r>
          </w:p>
        </w:tc>
      </w:tr>
    </w:tbl>
    <w:p>
      <w:pPr>
        <w:pStyle w:val="null3"/>
      </w:pPr>
      <w:r>
        <w:rPr>
          <w:sz w:val="21"/>
        </w:rPr>
        <w:t>本表格共有★</w:t>
      </w:r>
      <w:r>
        <w:rPr>
          <w:sz w:val="21"/>
        </w:rPr>
        <w:t>106</w:t>
      </w:r>
      <w:r>
        <w:rPr>
          <w:sz w:val="21"/>
        </w:rPr>
        <w:t>个，供应商在投标环节出具关于所提供通用服务器满足采购文件要求承诺函的，即视为相关产品符合要求。</w:t>
      </w:r>
    </w:p>
    <w:p>
      <w:pPr>
        <w:pStyle w:val="null3"/>
        <w:jc w:val="both"/>
        <w:outlineLvl w:val="0"/>
      </w:pPr>
      <w:r>
        <w:rPr>
          <w:sz w:val="21"/>
          <w:b/>
        </w:rPr>
        <w:t>2.15备份一体机</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标准2U机架式，主控机柜≥12盘位，双控制器架构，支持热插拔冗余控制器、主机路径冗余保护、故障热切换；</w:t>
            </w:r>
          </w:p>
          <w:p>
            <w:pPr>
              <w:pStyle w:val="null3"/>
              <w:jc w:val="both"/>
            </w:pPr>
            <w:r>
              <w:rPr>
                <w:sz w:val="21"/>
              </w:rPr>
              <w:t>2.</w:t>
            </w:r>
            <w:r>
              <w:rPr>
                <w:sz w:val="21"/>
              </w:rPr>
              <w:t>配置控制器数量≥2，最大可扩展至≥16控制器，每控制器配置1颗处理器和一颗存储专用芯片；单个处理器核心数≥8，主频≥2.3GHz，存储专用架构芯片负责数据I/O处理，该芯片具备RAID运算、SAS协议解析、iSCSI指令解析、TOE卸载等；</w:t>
            </w:r>
          </w:p>
          <w:p>
            <w:pPr>
              <w:pStyle w:val="null3"/>
              <w:jc w:val="both"/>
            </w:pPr>
            <w:r>
              <w:rPr>
                <w:sz w:val="21"/>
              </w:rPr>
              <w:t xml:space="preserve">3.  </w:t>
            </w:r>
            <w:r>
              <w:rPr>
                <w:sz w:val="21"/>
              </w:rPr>
              <w:t>配置缓存≥32GB；支持管理缓存和数据缓存分离；</w:t>
            </w:r>
          </w:p>
          <w:p>
            <w:pPr>
              <w:pStyle w:val="null3"/>
              <w:jc w:val="both"/>
            </w:pPr>
            <w:r>
              <w:rPr>
                <w:sz w:val="21"/>
              </w:rPr>
              <w:t>4.</w:t>
            </w:r>
            <w:r>
              <w:rPr>
                <w:sz w:val="21"/>
              </w:rPr>
              <w:t>整机提供≥4个IO主机卡槽，≥4*10GbE接口</w:t>
            </w:r>
          </w:p>
          <w:p>
            <w:pPr>
              <w:pStyle w:val="null3"/>
              <w:jc w:val="both"/>
            </w:pPr>
            <w:r>
              <w:rPr>
                <w:sz w:val="21"/>
              </w:rPr>
              <w:t>5.</w:t>
            </w:r>
            <w:r>
              <w:rPr>
                <w:sz w:val="21"/>
              </w:rPr>
              <w:t>配置 ≥2*480GB SAS SSD系统盘，≥2*3.84TB SSD；≥6*8TB、7200转企业级SAS硬盘。</w:t>
            </w:r>
          </w:p>
          <w:p>
            <w:pPr>
              <w:pStyle w:val="null3"/>
              <w:jc w:val="both"/>
            </w:pPr>
            <w:r>
              <w:rPr>
                <w:sz w:val="21"/>
              </w:rPr>
              <w:t>6.</w:t>
            </w:r>
            <w:r>
              <w:rPr>
                <w:sz w:val="21"/>
              </w:rPr>
              <w:t>支持FC SAN / IP SAN / NAS存储，支持统一的</w:t>
            </w:r>
            <w:r>
              <w:rPr>
                <w:sz w:val="21"/>
              </w:rPr>
              <w:t>块存储和文件存储，支持SAN与NAS的一体化免网关双活；支持FC、iSCSI、NFS、CIFS、FTP、HTTPS存储协议</w:t>
            </w:r>
          </w:p>
        </w:tc>
      </w:tr>
    </w:tbl>
    <w:p>
      <w:pPr>
        <w:pStyle w:val="null3"/>
        <w:jc w:val="both"/>
        <w:outlineLvl w:val="0"/>
      </w:pPr>
      <w:r>
        <w:rPr>
          <w:sz w:val="21"/>
          <w:b/>
        </w:rPr>
        <w:t>2.16存储监控软件</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支持RAID 0、1、5、6、10、50、60及线性RAID的RAID方式，提供证明材料；</w:t>
            </w:r>
          </w:p>
          <w:p>
            <w:pPr>
              <w:pStyle w:val="null3"/>
              <w:jc w:val="both"/>
            </w:pPr>
            <w:r>
              <w:rPr>
                <w:sz w:val="21"/>
              </w:rPr>
              <w:t>2.</w:t>
            </w:r>
            <w:r>
              <w:rPr>
                <w:sz w:val="21"/>
              </w:rPr>
              <w:t>支持FC SAN / IP SAN / NAS存储，支持统一的块存储和文件存储，支持SAN与NAS的一体化免网关双活；支持FC、iSCSI、NFS、CIFS、FTP、HTTPS存储协议；</w:t>
            </w:r>
          </w:p>
          <w:p>
            <w:pPr>
              <w:pStyle w:val="null3"/>
              <w:jc w:val="both"/>
            </w:pPr>
            <w:r>
              <w:rPr>
                <w:sz w:val="21"/>
              </w:rPr>
              <w:t>3.</w:t>
            </w:r>
            <w:r>
              <w:rPr>
                <w:sz w:val="21"/>
              </w:rPr>
              <w:t>支持介质扫描功能，对数据完整性进行检查；</w:t>
            </w:r>
          </w:p>
          <w:p>
            <w:pPr>
              <w:pStyle w:val="null3"/>
              <w:jc w:val="both"/>
            </w:pPr>
            <w:r>
              <w:rPr>
                <w:sz w:val="21"/>
              </w:rPr>
              <w:t>4.</w:t>
            </w:r>
            <w:r>
              <w:rPr>
                <w:sz w:val="21"/>
              </w:rPr>
              <w:t>支持智能快照（包含快照策略设备）、远程复制（包含远程异步复制）、负载均衡等功能；</w:t>
            </w:r>
          </w:p>
          <w:p>
            <w:pPr>
              <w:pStyle w:val="null3"/>
              <w:jc w:val="both"/>
            </w:pPr>
            <w:r>
              <w:rPr>
                <w:sz w:val="21"/>
              </w:rPr>
              <w:t>5.</w:t>
            </w:r>
            <w:r>
              <w:rPr>
                <w:sz w:val="21"/>
              </w:rPr>
              <w:t>配置存储QoS功能，针对前端不同级别的应用提供存储资源的优先分配功能；</w:t>
            </w:r>
          </w:p>
          <w:p>
            <w:pPr>
              <w:pStyle w:val="null3"/>
              <w:jc w:val="both"/>
            </w:pPr>
            <w:r>
              <w:rPr>
                <w:sz w:val="21"/>
              </w:rPr>
              <w:t>6.</w:t>
            </w:r>
            <w:r>
              <w:rPr>
                <w:sz w:val="21"/>
              </w:rPr>
              <w:t>支持与OpenStack等云计算平台对接，OpenStack统一管理存储资源；</w:t>
            </w:r>
          </w:p>
          <w:p>
            <w:pPr>
              <w:pStyle w:val="null3"/>
              <w:jc w:val="both"/>
            </w:pPr>
            <w:r>
              <w:rPr>
                <w:sz w:val="21"/>
              </w:rPr>
              <w:t>7.</w:t>
            </w:r>
            <w:r>
              <w:rPr>
                <w:sz w:val="21"/>
              </w:rPr>
              <w:t>支持日志管理，能够显示相关日志，并可按照时间顺序进行显示；支持安全账户登录管理功能；支持用户管理功能；支持状态监控，监控信息包括设备基本信息、硬盘运行状态和控制器运行状态；</w:t>
            </w:r>
          </w:p>
          <w:p>
            <w:pPr>
              <w:pStyle w:val="null3"/>
              <w:jc w:val="both"/>
            </w:pPr>
            <w:r>
              <w:rPr>
                <w:sz w:val="21"/>
              </w:rPr>
              <w:t>8.</w:t>
            </w:r>
            <w:r>
              <w:rPr>
                <w:sz w:val="21"/>
              </w:rPr>
              <w:t>支持自动精简配置；支持在线扩容功能；</w:t>
            </w:r>
          </w:p>
          <w:p>
            <w:pPr>
              <w:pStyle w:val="null3"/>
              <w:jc w:val="both"/>
            </w:pPr>
            <w:r>
              <w:rPr>
                <w:sz w:val="21"/>
              </w:rPr>
              <w:t>9.</w:t>
            </w:r>
            <w:r>
              <w:rPr>
                <w:sz w:val="21"/>
              </w:rPr>
              <w:t>支持日志管理，能够显示相关日志，并可按照时间顺序进行显示；</w:t>
            </w:r>
          </w:p>
          <w:p>
            <w:pPr>
              <w:pStyle w:val="null3"/>
              <w:jc w:val="both"/>
            </w:pPr>
            <w:r>
              <w:rPr>
                <w:sz w:val="21"/>
              </w:rPr>
              <w:t>10.</w:t>
            </w:r>
            <w:r>
              <w:rPr>
                <w:sz w:val="21"/>
              </w:rPr>
              <w:t>支持安全账户登录管理功能；支持用户管理功能；</w:t>
            </w:r>
          </w:p>
          <w:p>
            <w:pPr>
              <w:pStyle w:val="null3"/>
              <w:jc w:val="both"/>
            </w:pPr>
            <w:r>
              <w:rPr>
                <w:sz w:val="21"/>
              </w:rPr>
              <w:t>11.</w:t>
            </w:r>
            <w:r>
              <w:rPr>
                <w:sz w:val="21"/>
              </w:rPr>
              <w:t>支持状态监控，监控信息包括设备基本信息、硬盘运行状态和控制器运行状态；</w:t>
            </w:r>
          </w:p>
          <w:p>
            <w:pPr>
              <w:pStyle w:val="null3"/>
              <w:jc w:val="both"/>
            </w:pPr>
            <w:r>
              <w:rPr>
                <w:sz w:val="21"/>
              </w:rPr>
              <w:t>12.</w:t>
            </w:r>
            <w:r>
              <w:rPr>
                <w:sz w:val="21"/>
              </w:rPr>
              <w:t>支持镜像、文件迁移功能；</w:t>
            </w:r>
          </w:p>
          <w:p>
            <w:pPr>
              <w:pStyle w:val="null3"/>
              <w:jc w:val="both"/>
            </w:pPr>
            <w:r>
              <w:rPr>
                <w:sz w:val="21"/>
              </w:rPr>
              <w:t>13.</w:t>
            </w:r>
            <w:r>
              <w:rPr>
                <w:sz w:val="21"/>
              </w:rPr>
              <w:t>配置容器虚拟化功能，提供证明材料；</w:t>
            </w:r>
          </w:p>
          <w:p>
            <w:pPr>
              <w:pStyle w:val="null3"/>
              <w:jc w:val="both"/>
            </w:pPr>
            <w:r>
              <w:rPr>
                <w:sz w:val="21"/>
              </w:rPr>
              <w:t>14.</w:t>
            </w:r>
            <w:r>
              <w:rPr>
                <w:sz w:val="21"/>
              </w:rPr>
              <w:t>配置数据备份功能，支持数据库备份、虚拟机备份、操作系统备份，并配置30TB备份容量授权，授权不限制客户端数量，提供证明材料。</w:t>
            </w:r>
          </w:p>
        </w:tc>
      </w:tr>
    </w:tbl>
    <w:p>
      <w:pPr>
        <w:pStyle w:val="null3"/>
        <w:jc w:val="both"/>
        <w:outlineLvl w:val="0"/>
      </w:pPr>
      <w:r>
        <w:rPr>
          <w:sz w:val="21"/>
          <w:b/>
        </w:rPr>
        <w:t>2.17IB交换机</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200Gb/sHDRInfiniBand</w:t>
            </w:r>
            <w:r>
              <w:rPr>
                <w:sz w:val="21"/>
              </w:rPr>
              <w:t>交换机，端口≥40个</w:t>
            </w:r>
          </w:p>
        </w:tc>
      </w:tr>
    </w:tbl>
    <w:p>
      <w:pPr>
        <w:pStyle w:val="null3"/>
        <w:jc w:val="both"/>
        <w:outlineLvl w:val="0"/>
      </w:pPr>
      <w:r>
        <w:rPr>
          <w:sz w:val="21"/>
          <w:b/>
        </w:rPr>
        <w:t>2.18IB线缆</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米100G HDR100光缆</w:t>
            </w:r>
          </w:p>
        </w:tc>
      </w:tr>
    </w:tbl>
    <w:p>
      <w:pPr>
        <w:pStyle w:val="null3"/>
        <w:jc w:val="both"/>
        <w:outlineLvl w:val="0"/>
      </w:pPr>
      <w:r>
        <w:rPr>
          <w:sz w:val="21"/>
          <w:b/>
        </w:rPr>
        <w:t>2.19 万兆交换机</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、交换容量≥96Tbps，包转发率≥2000Mpps， 10GE光接口数≥48（含万兆多模模块），100GE光接口数≥8；</w:t>
            </w:r>
          </w:p>
          <w:p>
            <w:pPr>
              <w:pStyle w:val="null3"/>
              <w:jc w:val="both"/>
            </w:pPr>
            <w:r>
              <w:rPr>
                <w:sz w:val="21"/>
              </w:rPr>
              <w:t>2</w:t>
            </w:r>
            <w:r>
              <w:rPr>
                <w:sz w:val="21"/>
              </w:rPr>
              <w:t>、支持风扇风向支持前后和后前通风，风扇≥3；</w:t>
            </w:r>
          </w:p>
          <w:p>
            <w:pPr>
              <w:pStyle w:val="null3"/>
              <w:jc w:val="both"/>
            </w:pPr>
            <w:r>
              <w:rPr>
                <w:sz w:val="21"/>
              </w:rPr>
              <w:t>3</w:t>
            </w:r>
            <w:r>
              <w:rPr>
                <w:sz w:val="21"/>
              </w:rPr>
              <w:t>、工作温度0ºC～45ºC；</w:t>
            </w:r>
          </w:p>
          <w:p>
            <w:pPr>
              <w:pStyle w:val="null3"/>
              <w:jc w:val="both"/>
            </w:pPr>
            <w:r>
              <w:rPr>
                <w:sz w:val="21"/>
              </w:rPr>
              <w:t>4</w:t>
            </w:r>
            <w:r>
              <w:rPr>
                <w:sz w:val="21"/>
              </w:rPr>
              <w:t>、整机最大路由地址表≥320K；</w:t>
            </w:r>
          </w:p>
          <w:p>
            <w:pPr>
              <w:pStyle w:val="null3"/>
              <w:jc w:val="both"/>
            </w:pPr>
            <w:r>
              <w:rPr>
                <w:sz w:val="21"/>
              </w:rPr>
              <w:t>5</w:t>
            </w:r>
            <w:r>
              <w:rPr>
                <w:sz w:val="21"/>
              </w:rPr>
              <w:t>、支持双向ACL、支持端口ACL、支持VLAN ACL；</w:t>
            </w:r>
          </w:p>
          <w:p>
            <w:pPr>
              <w:pStyle w:val="null3"/>
              <w:jc w:val="both"/>
            </w:pPr>
            <w:r>
              <w:rPr>
                <w:sz w:val="21"/>
              </w:rPr>
              <w:t>6</w:t>
            </w:r>
            <w:r>
              <w:rPr>
                <w:sz w:val="21"/>
              </w:rPr>
              <w:t>、支持Telemetry Stream功能，支持全硬件采集上送，解放CPU资源并且可以支持最大全流量1:1采样；</w:t>
            </w:r>
          </w:p>
          <w:p>
            <w:pPr>
              <w:pStyle w:val="null3"/>
              <w:jc w:val="both"/>
            </w:pPr>
            <w:r>
              <w:rPr>
                <w:sz w:val="21"/>
              </w:rPr>
              <w:t>7</w:t>
            </w:r>
            <w:r>
              <w:rPr>
                <w:sz w:val="21"/>
              </w:rPr>
              <w:t>、支持IGMP Snooping v1/v2/v3，支持IGMP Snooping Group-policy，支持PIM-SM,PIM-DM，PIM-SSM；</w:t>
            </w:r>
          </w:p>
          <w:p>
            <w:pPr>
              <w:pStyle w:val="null3"/>
              <w:jc w:val="both"/>
            </w:pPr>
            <w:r>
              <w:rPr>
                <w:sz w:val="21"/>
              </w:rPr>
              <w:t>8</w:t>
            </w:r>
            <w:r>
              <w:rPr>
                <w:sz w:val="21"/>
              </w:rPr>
              <w:t>、支持SNMP V1/V2/V3、RMON、SSHV2；支持OAM(802.1AG， 802.3AH)以太网运行、维护和管理标准；</w:t>
            </w:r>
          </w:p>
          <w:p>
            <w:pPr>
              <w:pStyle w:val="null3"/>
              <w:jc w:val="both"/>
            </w:pPr>
            <w:r>
              <w:rPr>
                <w:sz w:val="21"/>
              </w:rPr>
              <w:t>9</w:t>
            </w:r>
            <w:r>
              <w:rPr>
                <w:sz w:val="21"/>
              </w:rPr>
              <w:t>、支持通过微信公众号进入小程序，并通过小程序在线提交工单功能。</w:t>
            </w:r>
          </w:p>
        </w:tc>
      </w:tr>
    </w:tbl>
    <w:p>
      <w:pPr>
        <w:pStyle w:val="null3"/>
        <w:jc w:val="both"/>
        <w:outlineLvl w:val="0"/>
      </w:pPr>
      <w:r>
        <w:rPr>
          <w:sz w:val="21"/>
          <w:b/>
        </w:rPr>
        <w:t>2.20 万兆光模块</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万兆多模,LC接口</w:t>
            </w:r>
          </w:p>
        </w:tc>
      </w:tr>
    </w:tbl>
    <w:p>
      <w:pPr>
        <w:pStyle w:val="null3"/>
        <w:jc w:val="both"/>
        <w:outlineLvl w:val="0"/>
      </w:pPr>
      <w:r>
        <w:rPr>
          <w:sz w:val="21"/>
          <w:b/>
        </w:rPr>
        <w:t>2.21 千兆交换机</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标的名称</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、交换容量≥24Tbps，包转发率≥660Mpps，业务插槽数≥1，千兆电接口数≥48，10GE光接口数≥4；</w:t>
            </w:r>
          </w:p>
          <w:p>
            <w:pPr>
              <w:pStyle w:val="null3"/>
              <w:jc w:val="both"/>
            </w:pPr>
            <w:r>
              <w:rPr>
                <w:sz w:val="21"/>
              </w:rPr>
              <w:t>2</w:t>
            </w:r>
            <w:r>
              <w:rPr>
                <w:sz w:val="21"/>
              </w:rPr>
              <w:t>、电源、接口模块、风扇等关键部件可热插拔,前后通风，且风道可调;支持冗余电源模块、冗余风扇模块；</w:t>
            </w:r>
          </w:p>
          <w:p>
            <w:pPr>
              <w:pStyle w:val="null3"/>
              <w:jc w:val="both"/>
            </w:pPr>
            <w:r>
              <w:rPr>
                <w:sz w:val="21"/>
              </w:rPr>
              <w:t>3</w:t>
            </w:r>
            <w:r>
              <w:rPr>
                <w:sz w:val="21"/>
              </w:rPr>
              <w:t>、为节约机柜空间，设备高度需≤1U；提供证明材料；</w:t>
            </w:r>
          </w:p>
          <w:p>
            <w:pPr>
              <w:pStyle w:val="null3"/>
              <w:jc w:val="both"/>
            </w:pPr>
            <w:r>
              <w:rPr>
                <w:sz w:val="21"/>
              </w:rPr>
              <w:t>4</w:t>
            </w:r>
            <w:r>
              <w:rPr>
                <w:sz w:val="21"/>
              </w:rPr>
              <w:t>、支持 IPv4、IPv6 静态路由，RIP 等三层动态路由协议，支持策略路由；</w:t>
            </w:r>
          </w:p>
          <w:p>
            <w:pPr>
              <w:pStyle w:val="null3"/>
              <w:jc w:val="both"/>
            </w:pPr>
            <w:r>
              <w:rPr>
                <w:sz w:val="21"/>
              </w:rPr>
              <w:t>5</w:t>
            </w:r>
            <w:r>
              <w:rPr>
                <w:sz w:val="21"/>
              </w:rPr>
              <w:t>、支持SQL注入、跨站脚本、远程代码执行、字符编码等攻击的防护，支持对网络设备、网页服务器、数据库等设备的专属特征分类，支持CC攻击防护，可基于检测请求报文头的X-Forwarded-For字段，以获取真正的源IP地址；</w:t>
            </w:r>
          </w:p>
          <w:p>
            <w:pPr>
              <w:pStyle w:val="null3"/>
              <w:jc w:val="both"/>
            </w:pPr>
            <w:r>
              <w:rPr>
                <w:sz w:val="21"/>
              </w:rPr>
              <w:t>6</w:t>
            </w:r>
            <w:r>
              <w:rPr>
                <w:sz w:val="21"/>
              </w:rPr>
              <w:t>、支持通过微信公众号进入小程序，并通过小程序在线提交工单功能</w:t>
            </w:r>
            <w:r>
              <w:rPr>
                <w:sz w:val="21"/>
                <w:b/>
              </w:rPr>
              <w:t>。</w:t>
            </w:r>
          </w:p>
        </w:tc>
      </w:tr>
    </w:tbl>
    <w:p>
      <w:pPr>
        <w:pStyle w:val="null3"/>
        <w:jc w:val="both"/>
        <w:outlineLvl w:val="0"/>
      </w:pPr>
      <w:r>
        <w:rPr>
          <w:sz w:val="21"/>
          <w:b/>
        </w:rPr>
        <w:t>2.22 高性能集群管理软件</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指标性</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、支持多种容器引擎，提供容器生命周期管理、资源监控、日志查看与终端访问功能；</w:t>
            </w:r>
          </w:p>
          <w:p>
            <w:pPr>
              <w:pStyle w:val="null3"/>
              <w:jc w:val="both"/>
            </w:pPr>
            <w:r>
              <w:rPr>
                <w:sz w:val="24"/>
                <w:b/>
              </w:rPr>
              <w:t>▲</w:t>
            </w:r>
            <w:r>
              <w:rPr>
                <w:sz w:val="21"/>
              </w:rPr>
              <w:t>2</w:t>
            </w:r>
            <w:r>
              <w:rPr>
                <w:sz w:val="21"/>
              </w:rPr>
              <w:t>、支持集群管理，如K8s集群管理架构、命名空间隔离、可视化监控、节点调度与资源分配；</w:t>
            </w:r>
          </w:p>
          <w:p>
            <w:pPr>
              <w:pStyle w:val="null3"/>
              <w:jc w:val="both"/>
            </w:pPr>
            <w:r>
              <w:rPr>
                <w:sz w:val="21"/>
              </w:rPr>
              <w:t>3</w:t>
            </w:r>
            <w:r>
              <w:rPr>
                <w:sz w:val="21"/>
              </w:rPr>
              <w:t>、支持主流GPU异构资源调度、监控与统一资源池，支持GPU、加速卡等异构资源的统一纳管、调度与监控，支持GPU虚拟化、GPU资源隔离与使用率监控；</w:t>
            </w:r>
          </w:p>
          <w:p>
            <w:pPr>
              <w:pStyle w:val="null3"/>
              <w:jc w:val="both"/>
            </w:pPr>
            <w:r>
              <w:rPr>
                <w:sz w:val="21"/>
              </w:rPr>
              <w:t>4</w:t>
            </w:r>
            <w:r>
              <w:rPr>
                <w:sz w:val="21"/>
              </w:rPr>
              <w:t>、支持弹性伸缩（HPA与自定义策略）， 支持基于CPU/内存的自动扩缩容，支持手动调整副本数，支持自定义指标与伸缩策略配置；</w:t>
            </w:r>
          </w:p>
          <w:p>
            <w:pPr>
              <w:pStyle w:val="null3"/>
              <w:jc w:val="both"/>
            </w:pPr>
            <w:r>
              <w:rPr>
                <w:sz w:val="21"/>
              </w:rPr>
              <w:t>5</w:t>
            </w:r>
            <w:r>
              <w:rPr>
                <w:sz w:val="21"/>
              </w:rPr>
              <w:t>、支持镜像仓库管理，支持私有镜像仓库，提供镜像上传、下载、版本管理、同步与复制功能。</w:t>
            </w:r>
          </w:p>
          <w:p>
            <w:pPr>
              <w:pStyle w:val="null3"/>
              <w:jc w:val="both"/>
            </w:pPr>
            <w:r>
              <w:rPr>
                <w:sz w:val="21"/>
              </w:rPr>
              <w:t>6</w:t>
            </w:r>
            <w:r>
              <w:rPr>
                <w:sz w:val="21"/>
              </w:rPr>
              <w:t>、支持多种调度策略，如优先级调度、抢占式调度、回填调度、公平份额调度、拓扑调度、NUMA调度等，支持多调度器兼容（如K8s等）；</w:t>
            </w:r>
          </w:p>
          <w:p>
            <w:pPr>
              <w:pStyle w:val="null3"/>
              <w:jc w:val="both"/>
            </w:pPr>
            <w:r>
              <w:rPr>
                <w:sz w:val="21"/>
              </w:rPr>
              <w:t>7</w:t>
            </w:r>
            <w:r>
              <w:rPr>
                <w:sz w:val="21"/>
              </w:rPr>
              <w:t>、支持资源监控与统计报表，如CPU、内存、GPU、网络、磁盘等资源使用情况的实时监控、统计报表与告警功能。</w:t>
            </w:r>
          </w:p>
          <w:p>
            <w:pPr>
              <w:pStyle w:val="null3"/>
              <w:jc w:val="both"/>
            </w:pPr>
            <w:r>
              <w:rPr>
                <w:sz w:val="21"/>
              </w:rPr>
              <w:t>8</w:t>
            </w:r>
            <w:r>
              <w:rPr>
                <w:sz w:val="21"/>
              </w:rPr>
              <w:t>、支持AI模型管理与部署，支持模型市场、模型版本管理、一键部署、私有模型上传与共享；</w:t>
            </w:r>
          </w:p>
          <w:p>
            <w:pPr>
              <w:pStyle w:val="null3"/>
              <w:jc w:val="both"/>
            </w:pPr>
            <w:r>
              <w:rPr>
                <w:sz w:val="21"/>
              </w:rPr>
              <w:t>9</w:t>
            </w:r>
            <w:r>
              <w:rPr>
                <w:sz w:val="21"/>
              </w:rPr>
              <w:t>、支持文件与数据管理， 支持文件上传下载、跨域分享、断点续传、数据集管理、知识库解析（支持Word、PDF、图片等通用格式）；</w:t>
            </w:r>
          </w:p>
          <w:p>
            <w:pPr>
              <w:pStyle w:val="null3"/>
              <w:jc w:val="both"/>
            </w:pPr>
            <w:r>
              <w:rPr>
                <w:sz w:val="21"/>
              </w:rPr>
              <w:t>10</w:t>
            </w:r>
            <w:r>
              <w:rPr>
                <w:sz w:val="21"/>
              </w:rPr>
              <w:t>、支持作业管理与分析，如作业提交、监控、挂起、取消、优先级调整、作业热图、历史作业查询与资源消耗分析；</w:t>
            </w:r>
          </w:p>
          <w:p>
            <w:pPr>
              <w:pStyle w:val="null3"/>
              <w:jc w:val="both"/>
            </w:pPr>
            <w:r>
              <w:rPr>
                <w:sz w:val="21"/>
              </w:rPr>
              <w:t>11</w:t>
            </w:r>
            <w:r>
              <w:rPr>
                <w:sz w:val="21"/>
              </w:rPr>
              <w:t>、支持用户与权限管理，如多角色权限控制（超级管理员、用户组管理员等），支持资源配额、队列访问控制与服务质量管理（QoS）；</w:t>
            </w:r>
          </w:p>
          <w:p>
            <w:pPr>
              <w:pStyle w:val="null3"/>
              <w:jc w:val="both"/>
            </w:pPr>
            <w:r>
              <w:rPr>
                <w:sz w:val="21"/>
              </w:rPr>
              <w:t>12</w:t>
            </w:r>
            <w:r>
              <w:rPr>
                <w:sz w:val="21"/>
              </w:rPr>
              <w:t>、支持高可用与容错机制，支持管理节点高可用部署、作业Checkpoint、断点续训、异常自动恢复、资源预留与动态分区容灾；</w:t>
            </w:r>
          </w:p>
          <w:p>
            <w:pPr>
              <w:pStyle w:val="null3"/>
              <w:jc w:val="both"/>
            </w:pPr>
            <w:r>
              <w:rPr>
                <w:sz w:val="21"/>
              </w:rPr>
              <w:t>13</w:t>
            </w:r>
            <w:r>
              <w:rPr>
                <w:sz w:val="21"/>
              </w:rPr>
              <w:t>、提供API与二次开发支持，开放调度系统API接口，支持系统定制与二次开发，提供完整的开发文档与厂商承诺。</w:t>
            </w:r>
          </w:p>
        </w:tc>
      </w:tr>
    </w:tbl>
    <w:p>
      <w:pPr>
        <w:pStyle w:val="null3"/>
        <w:jc w:val="both"/>
        <w:outlineLvl w:val="0"/>
      </w:pPr>
      <w:r>
        <w:rPr>
          <w:sz w:val="21"/>
          <w:b/>
        </w:rPr>
        <w:t>2.23 精密空调</w:t>
      </w:r>
    </w:p>
    <w:tbl>
      <w:tblPr>
        <w:tblW w:w="0" w:type="auto"/>
        <w:tblInd w:type="dxa" w:w="120"/>
        <w:tblBorders>
          <w:top w:val="single"/>
          <w:left w:val="single"/>
          <w:bottom w:val="single"/>
          <w:right w:val="single"/>
          <w:insideH w:val="single"/>
          <w:insideV w:val="single"/>
        </w:tblBorders>
      </w:tblPr>
      <w:tblGrid>
        <w:gridCol w:w="835"/>
        <w:gridCol w:w="1401"/>
        <w:gridCol w:w="6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指标性</w:t>
            </w:r>
          </w:p>
        </w:tc>
        <w:tc>
          <w:tcPr>
            <w:tcW w:type="dxa" w:w="6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技术指标及性能要求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关键指标</w:t>
            </w:r>
          </w:p>
        </w:tc>
        <w:tc>
          <w:tcPr>
            <w:tcW w:type="dxa" w:w="6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sz w:val="21"/>
              </w:rPr>
              <w:t>1</w:t>
            </w:r>
            <w:r>
              <w:rPr>
                <w:sz w:val="21"/>
              </w:rPr>
              <w:t>、风冷房间级精密空调（2台）</w:t>
            </w:r>
          </w:p>
          <w:p>
            <w:pPr>
              <w:pStyle w:val="null3"/>
              <w:ind w:firstLine="420"/>
              <w:jc w:val="both"/>
            </w:pPr>
            <w:r>
              <w:rPr>
                <w:sz w:val="21"/>
              </w:rPr>
              <w:t>2</w:t>
            </w:r>
            <w:r>
              <w:rPr>
                <w:sz w:val="21"/>
              </w:rPr>
              <w:t>、精密空调1</w:t>
            </w:r>
          </w:p>
          <w:p>
            <w:pPr>
              <w:pStyle w:val="null3"/>
              <w:ind w:left="420" w:firstLine="420"/>
              <w:jc w:val="both"/>
            </w:pPr>
            <w:r>
              <w:rPr>
                <w:sz w:val="21"/>
              </w:rPr>
              <w:t xml:space="preserve">(1) </w:t>
            </w:r>
            <w:r>
              <w:rPr>
                <w:sz w:val="21"/>
              </w:rPr>
              <w:t>室内回风工况:干球温度 24℃，相对湿度 50%RH</w:t>
            </w:r>
          </w:p>
          <w:p>
            <w:pPr>
              <w:pStyle w:val="null3"/>
              <w:ind w:left="420" w:firstLine="420"/>
              <w:jc w:val="both"/>
            </w:pPr>
            <w:r>
              <w:rPr>
                <w:sz w:val="21"/>
              </w:rPr>
              <w:t xml:space="preserve">(2) </w:t>
            </w:r>
            <w:r>
              <w:rPr>
                <w:sz w:val="21"/>
              </w:rPr>
              <w:t>总制冷量（kW）≥100；</w:t>
            </w:r>
          </w:p>
          <w:p>
            <w:pPr>
              <w:pStyle w:val="null3"/>
              <w:ind w:left="420" w:firstLine="420"/>
              <w:jc w:val="both"/>
            </w:pPr>
            <w:r>
              <w:rPr>
                <w:sz w:val="21"/>
              </w:rPr>
              <w:t xml:space="preserve">(3) </w:t>
            </w:r>
            <w:r>
              <w:rPr>
                <w:sz w:val="21"/>
              </w:rPr>
              <w:t>显冷量（kW）≥91；</w:t>
            </w:r>
          </w:p>
          <w:p>
            <w:pPr>
              <w:pStyle w:val="null3"/>
              <w:ind w:left="420" w:firstLine="420"/>
              <w:jc w:val="both"/>
            </w:pPr>
            <w:r>
              <w:rPr>
                <w:sz w:val="21"/>
              </w:rPr>
              <w:t xml:space="preserve">(4) </w:t>
            </w:r>
            <w:r>
              <w:rPr>
                <w:sz w:val="21"/>
              </w:rPr>
              <w:t>压缩机数量：2台；</w:t>
            </w:r>
          </w:p>
          <w:p>
            <w:pPr>
              <w:pStyle w:val="null3"/>
              <w:ind w:left="420" w:firstLine="420"/>
              <w:jc w:val="both"/>
            </w:pPr>
            <w:r>
              <w:rPr>
                <w:sz w:val="21"/>
              </w:rPr>
              <w:t xml:space="preserve">(5) </w:t>
            </w:r>
            <w:r>
              <w:rPr>
                <w:sz w:val="21"/>
              </w:rPr>
              <w:t>循环风量（m³/h）≥25500；</w:t>
            </w:r>
          </w:p>
          <w:p>
            <w:pPr>
              <w:pStyle w:val="null3"/>
              <w:ind w:left="420" w:firstLine="420"/>
              <w:jc w:val="both"/>
            </w:pPr>
            <w:r>
              <w:rPr>
                <w:sz w:val="21"/>
              </w:rPr>
              <w:t xml:space="preserve">(6) </w:t>
            </w:r>
            <w:r>
              <w:rPr>
                <w:sz w:val="21"/>
              </w:rPr>
              <w:t>电加热量（kW）≥9；</w:t>
            </w:r>
          </w:p>
          <w:p>
            <w:pPr>
              <w:pStyle w:val="null3"/>
              <w:ind w:left="420" w:firstLine="420"/>
              <w:jc w:val="both"/>
            </w:pPr>
            <w:r>
              <w:rPr>
                <w:sz w:val="21"/>
              </w:rPr>
              <w:t xml:space="preserve">(7) </w:t>
            </w:r>
            <w:r>
              <w:rPr>
                <w:sz w:val="21"/>
              </w:rPr>
              <w:t>加湿量（kg/h）≥6；</w:t>
            </w:r>
          </w:p>
          <w:p>
            <w:pPr>
              <w:pStyle w:val="null3"/>
              <w:ind w:left="420" w:firstLine="420"/>
              <w:jc w:val="both"/>
            </w:pPr>
            <w:r>
              <w:rPr>
                <w:sz w:val="21"/>
              </w:rPr>
              <w:t xml:space="preserve">(8) </w:t>
            </w:r>
            <w:r>
              <w:rPr>
                <w:sz w:val="21"/>
              </w:rPr>
              <w:t>电源模式：三相380V 50HZ；</w:t>
            </w:r>
          </w:p>
          <w:p>
            <w:pPr>
              <w:pStyle w:val="null3"/>
              <w:ind w:left="420" w:firstLine="420"/>
              <w:jc w:val="both"/>
            </w:pPr>
            <w:r>
              <w:rPr>
                <w:sz w:val="21"/>
              </w:rPr>
              <w:t xml:space="preserve">(9) </w:t>
            </w:r>
            <w:r>
              <w:rPr>
                <w:sz w:val="21"/>
              </w:rPr>
              <w:t>室内机尺寸：≤1830*998*1975（长*宽*高）mm</w:t>
            </w:r>
          </w:p>
          <w:p>
            <w:pPr>
              <w:pStyle w:val="null3"/>
              <w:jc w:val="both"/>
            </w:pPr>
            <w:r>
              <w:rPr>
                <w:sz w:val="21"/>
              </w:rPr>
              <w:t>(10)</w:t>
            </w:r>
            <w:r>
              <w:rPr>
                <w:sz w:val="21"/>
              </w:rPr>
              <w:t>功能类型：单冷+加热+加湿；</w:t>
            </w:r>
          </w:p>
          <w:p>
            <w:pPr>
              <w:pStyle w:val="null3"/>
              <w:jc w:val="both"/>
            </w:pPr>
            <w:r>
              <w:rPr>
                <w:sz w:val="21"/>
              </w:rPr>
              <w:t>(11)</w:t>
            </w:r>
            <w:r>
              <w:rPr>
                <w:sz w:val="21"/>
              </w:rPr>
              <w:t>送风型式：上送风；</w:t>
            </w:r>
          </w:p>
          <w:p>
            <w:pPr>
              <w:pStyle w:val="null3"/>
              <w:ind w:firstLine="420"/>
              <w:jc w:val="both"/>
            </w:pPr>
            <w:r>
              <w:rPr>
                <w:sz w:val="21"/>
              </w:rPr>
              <w:t>3</w:t>
            </w:r>
            <w:r>
              <w:rPr>
                <w:sz w:val="21"/>
              </w:rPr>
              <w:t>、精密空调2</w:t>
            </w:r>
          </w:p>
          <w:p>
            <w:pPr>
              <w:pStyle w:val="null3"/>
              <w:ind w:left="420" w:firstLine="420"/>
              <w:jc w:val="both"/>
            </w:pPr>
            <w:r>
              <w:rPr>
                <w:sz w:val="21"/>
              </w:rPr>
              <w:t xml:space="preserve">(1) </w:t>
            </w:r>
            <w:r>
              <w:rPr>
                <w:sz w:val="21"/>
              </w:rPr>
              <w:t>室内回风工况:干球温度 24℃，相对湿度 50%RH</w:t>
            </w:r>
          </w:p>
          <w:p>
            <w:pPr>
              <w:pStyle w:val="null3"/>
              <w:ind w:left="420" w:firstLine="420"/>
              <w:jc w:val="both"/>
            </w:pPr>
            <w:r>
              <w:rPr>
                <w:sz w:val="21"/>
              </w:rPr>
              <w:t xml:space="preserve">(2) </w:t>
            </w:r>
            <w:r>
              <w:rPr>
                <w:sz w:val="21"/>
              </w:rPr>
              <w:t>总制冷量（kW）≥50；</w:t>
            </w:r>
          </w:p>
          <w:p>
            <w:pPr>
              <w:pStyle w:val="null3"/>
              <w:ind w:left="420" w:firstLine="420"/>
              <w:jc w:val="both"/>
            </w:pPr>
            <w:r>
              <w:rPr>
                <w:sz w:val="21"/>
              </w:rPr>
              <w:t xml:space="preserve">(3) </w:t>
            </w:r>
            <w:r>
              <w:rPr>
                <w:sz w:val="21"/>
              </w:rPr>
              <w:t>显冷量（kW）≥48；</w:t>
            </w:r>
          </w:p>
          <w:p>
            <w:pPr>
              <w:pStyle w:val="null3"/>
              <w:ind w:left="420" w:firstLine="420"/>
              <w:jc w:val="both"/>
            </w:pPr>
            <w:r>
              <w:rPr>
                <w:sz w:val="21"/>
              </w:rPr>
              <w:t xml:space="preserve">(4) </w:t>
            </w:r>
            <w:r>
              <w:rPr>
                <w:sz w:val="21"/>
              </w:rPr>
              <w:t>压缩机数量：2台；</w:t>
            </w:r>
          </w:p>
          <w:p>
            <w:pPr>
              <w:pStyle w:val="null3"/>
              <w:ind w:left="420" w:firstLine="420"/>
              <w:jc w:val="both"/>
            </w:pPr>
            <w:r>
              <w:rPr>
                <w:sz w:val="21"/>
              </w:rPr>
              <w:t xml:space="preserve">(5) </w:t>
            </w:r>
            <w:r>
              <w:rPr>
                <w:sz w:val="21"/>
              </w:rPr>
              <w:t>循环风量（m³/h）≥14500；</w:t>
            </w:r>
          </w:p>
          <w:p>
            <w:pPr>
              <w:pStyle w:val="null3"/>
              <w:ind w:left="420" w:firstLine="420"/>
              <w:jc w:val="both"/>
            </w:pPr>
            <w:r>
              <w:rPr>
                <w:sz w:val="21"/>
              </w:rPr>
              <w:t xml:space="preserve">(6) </w:t>
            </w:r>
            <w:r>
              <w:rPr>
                <w:sz w:val="21"/>
              </w:rPr>
              <w:t>电加热量（kW）≥9；</w:t>
            </w:r>
          </w:p>
          <w:p>
            <w:pPr>
              <w:pStyle w:val="null3"/>
              <w:ind w:left="420" w:firstLine="420"/>
              <w:jc w:val="both"/>
            </w:pPr>
            <w:r>
              <w:rPr>
                <w:sz w:val="21"/>
              </w:rPr>
              <w:t xml:space="preserve">(7) </w:t>
            </w:r>
            <w:r>
              <w:rPr>
                <w:sz w:val="21"/>
              </w:rPr>
              <w:t>加湿量（kg/h）≥6；</w:t>
            </w:r>
          </w:p>
          <w:p>
            <w:pPr>
              <w:pStyle w:val="null3"/>
              <w:ind w:left="420" w:firstLine="420"/>
              <w:jc w:val="both"/>
            </w:pPr>
            <w:r>
              <w:rPr>
                <w:sz w:val="21"/>
              </w:rPr>
              <w:t xml:space="preserve">(8) </w:t>
            </w:r>
            <w:r>
              <w:rPr>
                <w:sz w:val="21"/>
              </w:rPr>
              <w:t>电源模式：三相380V 50HZ；</w:t>
            </w:r>
          </w:p>
          <w:p>
            <w:pPr>
              <w:pStyle w:val="null3"/>
              <w:ind w:left="420" w:firstLine="420"/>
              <w:jc w:val="both"/>
            </w:pPr>
            <w:r>
              <w:rPr>
                <w:sz w:val="21"/>
              </w:rPr>
              <w:t xml:space="preserve">(9) </w:t>
            </w:r>
            <w:r>
              <w:rPr>
                <w:sz w:val="21"/>
              </w:rPr>
              <w:t>室内机尺寸：≤1380*998*1975（长*宽*高）mm</w:t>
            </w:r>
          </w:p>
          <w:p>
            <w:pPr>
              <w:pStyle w:val="null3"/>
              <w:ind w:left="420" w:firstLine="420"/>
              <w:jc w:val="both"/>
            </w:pPr>
            <w:r>
              <w:rPr>
                <w:sz w:val="21"/>
              </w:rPr>
              <w:t xml:space="preserve">(10)    </w:t>
            </w:r>
            <w:r>
              <w:rPr>
                <w:sz w:val="21"/>
              </w:rPr>
              <w:t>功能类型：单冷+加热+加湿；</w:t>
            </w:r>
          </w:p>
          <w:p>
            <w:pPr>
              <w:pStyle w:val="null3"/>
              <w:ind w:left="420" w:firstLine="420"/>
              <w:jc w:val="both"/>
            </w:pPr>
            <w:r>
              <w:rPr>
                <w:sz w:val="21"/>
              </w:rPr>
              <w:t xml:space="preserve">(11)    </w:t>
            </w:r>
            <w:r>
              <w:rPr>
                <w:sz w:val="21"/>
              </w:rPr>
              <w:t>送风型式：下沉式风机地板下送风；</w:t>
            </w:r>
          </w:p>
          <w:p>
            <w:pPr>
              <w:pStyle w:val="null3"/>
              <w:ind w:left="420" w:firstLine="420"/>
              <w:jc w:val="both"/>
            </w:pPr>
            <w:r>
              <w:rPr>
                <w:sz w:val="21"/>
              </w:rPr>
              <w:t xml:space="preserve">(12)    </w:t>
            </w:r>
            <w:r>
              <w:rPr>
                <w:sz w:val="21"/>
              </w:rPr>
              <w:t>直联式后倾无蜗壳离心EC风机；</w:t>
            </w:r>
          </w:p>
          <w:p>
            <w:pPr>
              <w:pStyle w:val="null3"/>
              <w:ind w:left="420" w:firstLine="420"/>
              <w:jc w:val="both"/>
            </w:pPr>
            <w:r>
              <w:rPr>
                <w:sz w:val="21"/>
              </w:rPr>
              <w:t xml:space="preserve">(13)    </w:t>
            </w:r>
            <w:r>
              <w:rPr>
                <w:sz w:val="21"/>
              </w:rPr>
              <w:t>全封闭涡旋压缩机；</w:t>
            </w:r>
          </w:p>
          <w:p>
            <w:pPr>
              <w:pStyle w:val="null3"/>
              <w:ind w:left="420" w:firstLine="420"/>
              <w:jc w:val="both"/>
            </w:pPr>
            <w:r>
              <w:rPr>
                <w:sz w:val="21"/>
              </w:rPr>
              <w:t xml:space="preserve">(14)    </w:t>
            </w:r>
            <w:r>
              <w:rPr>
                <w:sz w:val="21"/>
              </w:rPr>
              <w:t>不小于7英寸触摸彩色液晶屏，具有温湿度曲线显示功能及多级密码保护功能，机组需配滤网堵塞报警开关；</w:t>
            </w:r>
          </w:p>
          <w:p>
            <w:pPr>
              <w:pStyle w:val="null3"/>
              <w:ind w:left="420"/>
              <w:jc w:val="both"/>
            </w:pPr>
            <w:r>
              <w:rPr>
                <w:sz w:val="21"/>
              </w:rPr>
              <w:t xml:space="preserve">(15)    </w:t>
            </w:r>
            <w:r>
              <w:rPr>
                <w:sz w:val="21"/>
              </w:rPr>
              <w:t>机组配置滤网堵塞报警开关；每台精密空调配置4个或以上的回风温度传感器，2个独立的温湿度传感器，2个高低压传感器；</w:t>
            </w:r>
          </w:p>
          <w:p>
            <w:pPr>
              <w:pStyle w:val="null3"/>
              <w:ind w:left="420"/>
              <w:jc w:val="both"/>
            </w:pPr>
            <w:r>
              <w:rPr>
                <w:sz w:val="21"/>
              </w:rPr>
              <w:t xml:space="preserve">(16)    </w:t>
            </w:r>
            <w:r>
              <w:rPr>
                <w:sz w:val="21"/>
              </w:rPr>
              <w:t>空调机组设有自动控制系统，采用先进的模糊逻辑控制或PID调解技术，能按机房要求的温度、湿度自动调解与控制机组的运行。系统可提供本地和远端两种控制模式；</w:t>
            </w:r>
          </w:p>
          <w:p>
            <w:pPr>
              <w:pStyle w:val="null3"/>
              <w:ind w:left="420"/>
              <w:jc w:val="both"/>
            </w:pPr>
            <w:r>
              <w:rPr>
                <w:sz w:val="21"/>
              </w:rPr>
              <w:t xml:space="preserve">(17)    </w:t>
            </w:r>
            <w:r>
              <w:rPr>
                <w:sz w:val="21"/>
              </w:rPr>
              <w:t>精密空调具有风机故障检测、加湿故障及加热器过热等报警及故障诊断、告警记录功能，具有自动保护、来电自动重启动等功能；具有大容量的故障报警记录储存功能及维护提示设定；</w:t>
            </w:r>
          </w:p>
          <w:p>
            <w:pPr>
              <w:pStyle w:val="null3"/>
              <w:ind w:left="420"/>
              <w:jc w:val="both"/>
            </w:pPr>
            <w:r>
              <w:rPr>
                <w:sz w:val="21"/>
              </w:rPr>
              <w:t xml:space="preserve">(18)    </w:t>
            </w:r>
            <w:r>
              <w:rPr>
                <w:sz w:val="21"/>
              </w:rPr>
              <w:t>具备来电自启动功能，具备延时启动功能，避免因来电闪断影响设备稳定性，或因多台设备同时开机导致前端供电开关因浪涌导致“跳闸”。空调机组的输入电源因故障恢复正常后，启动后空调机组设置的参数须与停机前的设置保持一致；</w:t>
            </w:r>
          </w:p>
          <w:p>
            <w:pPr>
              <w:pStyle w:val="null3"/>
              <w:ind w:left="420" w:firstLine="420"/>
              <w:jc w:val="both"/>
            </w:pPr>
            <w:r>
              <w:rPr>
                <w:sz w:val="21"/>
              </w:rPr>
              <w:t xml:space="preserve">(19)    </w:t>
            </w:r>
            <w:r>
              <w:rPr>
                <w:sz w:val="21"/>
              </w:rPr>
              <w:t>精密空调机组满足远程监控功能，具备RS485或以太网接口通信接口，支持Modbus通讯协议；</w:t>
            </w:r>
          </w:p>
          <w:p>
            <w:pPr>
              <w:pStyle w:val="null3"/>
              <w:ind w:left="420" w:firstLine="420"/>
              <w:jc w:val="both"/>
            </w:pPr>
            <w:r>
              <w:rPr>
                <w:sz w:val="21"/>
              </w:rPr>
              <w:t xml:space="preserve">(20)    </w:t>
            </w:r>
            <w:r>
              <w:rPr>
                <w:sz w:val="21"/>
              </w:rPr>
              <w:t>系统应具备至少32台机组联动控制功能。通过机组内的控制器，可使各机组自动轮换工作，以达到各机组工作时间基本相同。当群控功能失效，必须保证单机自动接管运行。空调都应有相同的完整的电脑控制系统，不允许同一场地中，某一台带有完整的可以进行监控的主板，而其他机组的控制系统没有监控功能，仅能串联在这台主机上，通过这台主机进行远程监控；</w:t>
            </w:r>
          </w:p>
          <w:p>
            <w:pPr>
              <w:pStyle w:val="null3"/>
              <w:jc w:val="both"/>
            </w:pPr>
            <w:r>
              <w:rPr>
                <w:sz w:val="21"/>
              </w:rPr>
              <w:t>3</w:t>
            </w:r>
            <w:r>
              <w:rPr>
                <w:sz w:val="21"/>
              </w:rPr>
              <w:t>、精密空调安装辅材（2台件）</w:t>
            </w:r>
          </w:p>
          <w:p>
            <w:pPr>
              <w:pStyle w:val="null3"/>
              <w:jc w:val="both"/>
            </w:pPr>
            <w:r>
              <w:rPr>
                <w:sz w:val="21"/>
              </w:rPr>
              <w:t>含搬运、安装、调试、室内外空调设备底座、围水堰制作、给排水管、60米铜管、保温棉、R410A制冷剂、冷冻油、30米供电电缆</w:t>
            </w:r>
          </w:p>
          <w:p>
            <w:pPr>
              <w:pStyle w:val="null3"/>
              <w:jc w:val="both"/>
            </w:pPr>
            <w:r>
              <w:rPr>
                <w:sz w:val="21"/>
              </w:rPr>
              <w:t>★供应商所投产品（精密空调）必须提供国家确定的认证机构出具的、处于有效期之内的节能（水）产品认证证书（认证标准须符合《节能产品政府采购品目清单》中对应产品所依据的标准，认证型号须与所投产品型号一致）。为避免漏评，请供应商按需求附件《节能环保政策适用性说明》规定的格式进行填写及提交认证证书，并留意其中的“填写注意事项”。</w:t>
            </w:r>
          </w:p>
        </w:tc>
      </w:tr>
    </w:tbl>
    <w:p>
      <w:pPr>
        <w:pStyle w:val="null3"/>
        <w:jc w:val="both"/>
      </w:pPr>
      <w:r>
        <w:rPr>
          <w:sz w:val="21"/>
        </w:rPr>
        <w:t>3.</w:t>
      </w:r>
      <w:r>
        <w:rPr>
          <w:sz w:val="21"/>
        </w:rPr>
        <w:t>商务要求：</w:t>
      </w:r>
    </w:p>
    <w:p>
      <w:pPr>
        <w:pStyle w:val="null3"/>
        <w:ind w:firstLine="420"/>
        <w:jc w:val="both"/>
      </w:pPr>
      <w:r>
        <w:rPr>
          <w:sz w:val="21"/>
        </w:rPr>
        <w:t>1)</w:t>
      </w:r>
      <w:r>
        <w:rPr>
          <w:sz w:val="21"/>
        </w:rPr>
        <w:t>合同签订要求</w:t>
      </w:r>
    </w:p>
    <w:p>
      <w:pPr>
        <w:pStyle w:val="null3"/>
        <w:ind w:firstLine="420"/>
        <w:jc w:val="both"/>
      </w:pPr>
      <w:r>
        <w:rPr>
          <w:sz w:val="21"/>
        </w:rPr>
        <w:t>采购人与中标供应商自中标通知书发出之日起30天内签订合同。</w:t>
      </w:r>
    </w:p>
    <w:p>
      <w:pPr>
        <w:pStyle w:val="null3"/>
        <w:ind w:firstLine="420"/>
        <w:jc w:val="both"/>
      </w:pPr>
      <w:r>
        <w:rPr>
          <w:sz w:val="21"/>
        </w:rPr>
        <w:t>2)</w:t>
      </w:r>
      <w:r>
        <w:rPr>
          <w:sz w:val="21"/>
        </w:rPr>
        <w:t>交货期及地点</w:t>
      </w:r>
    </w:p>
    <w:p>
      <w:pPr>
        <w:pStyle w:val="null3"/>
        <w:ind w:firstLine="420"/>
        <w:jc w:val="both"/>
      </w:pPr>
      <w:r>
        <w:rPr>
          <w:sz w:val="21"/>
        </w:rPr>
        <w:t>施工地点：广东财经大学用户指定地点；</w:t>
      </w:r>
    </w:p>
    <w:p>
      <w:pPr>
        <w:pStyle w:val="null3"/>
        <w:ind w:firstLine="420"/>
        <w:jc w:val="both"/>
      </w:pPr>
      <w:r>
        <w:rPr>
          <w:sz w:val="21"/>
        </w:rPr>
        <w:t>施工期：施工及设备安装调试工作需在签订合同后3个月内完成。</w:t>
      </w:r>
    </w:p>
    <w:p>
      <w:pPr>
        <w:pStyle w:val="null3"/>
        <w:ind w:firstLine="420"/>
        <w:jc w:val="both"/>
      </w:pPr>
      <w:r>
        <w:rPr>
          <w:sz w:val="21"/>
        </w:rPr>
        <w:t>3</w:t>
      </w:r>
      <w:r>
        <w:rPr>
          <w:sz w:val="21"/>
        </w:rPr>
        <w:t>）投入安装、调试人员要求</w:t>
      </w:r>
    </w:p>
    <w:p>
      <w:pPr>
        <w:pStyle w:val="null3"/>
        <w:ind w:firstLine="420"/>
        <w:jc w:val="both"/>
      </w:pPr>
      <w:r>
        <w:rPr>
          <w:sz w:val="21"/>
        </w:rPr>
        <w:t>项目负责人（</w:t>
      </w:r>
      <w:r>
        <w:rPr>
          <w:sz w:val="21"/>
        </w:rPr>
        <w:t>1</w:t>
      </w:r>
      <w:r>
        <w:rPr>
          <w:sz w:val="21"/>
        </w:rPr>
        <w:t>人）：具有信息系统项目管理师（计算机技术与软件专业技术资格）；具有信息系统购置及安装工作经验。</w:t>
      </w:r>
    </w:p>
    <w:p>
      <w:pPr>
        <w:pStyle w:val="null3"/>
        <w:ind w:firstLine="420"/>
        <w:jc w:val="both"/>
      </w:pPr>
      <w:r>
        <w:rPr>
          <w:sz w:val="21"/>
        </w:rPr>
        <w:t>投标人针对本项目报备团队（项目负责人除外）：具有信息系统购置及安装工作经验；具有</w:t>
      </w:r>
      <w:r>
        <w:rPr>
          <w:sz w:val="22"/>
        </w:rPr>
        <w:t>系统集成项目管理工程师</w:t>
      </w:r>
      <w:r>
        <w:rPr>
          <w:sz w:val="21"/>
        </w:rPr>
        <w:t>（计算机技术与软件专业技术资格）。</w:t>
      </w:r>
    </w:p>
    <w:p>
      <w:pPr>
        <w:pStyle w:val="null3"/>
        <w:ind w:firstLine="420"/>
        <w:jc w:val="both"/>
      </w:pPr>
      <w:r>
        <w:rPr>
          <w:sz w:val="21"/>
        </w:rPr>
        <w:t>4)</w:t>
      </w:r>
      <w:r>
        <w:rPr>
          <w:sz w:val="21"/>
        </w:rPr>
        <w:t>安装、调试与培训要求</w:t>
      </w:r>
    </w:p>
    <w:p>
      <w:pPr>
        <w:pStyle w:val="null3"/>
        <w:ind w:firstLine="420"/>
        <w:jc w:val="both"/>
      </w:pPr>
      <w:r>
        <w:rPr>
          <w:sz w:val="21"/>
        </w:rPr>
        <w:t>A.</w:t>
      </w:r>
      <w:r>
        <w:rPr>
          <w:sz w:val="21"/>
        </w:rPr>
        <w:t>送货、安装施工期间，货物的保管由中标人负责。</w:t>
      </w:r>
    </w:p>
    <w:p>
      <w:pPr>
        <w:pStyle w:val="null3"/>
        <w:ind w:firstLine="420"/>
        <w:jc w:val="both"/>
      </w:pPr>
      <w:r>
        <w:rPr>
          <w:sz w:val="21"/>
        </w:rPr>
        <w:t>B.</w:t>
      </w:r>
      <w:r>
        <w:rPr>
          <w:sz w:val="21"/>
        </w:rPr>
        <w:t>所有货物交货后的拆箱、安装、调试等各项工作由中标人负责，但需在采购人指定人员的参与下按采购人要求进行。</w:t>
      </w:r>
    </w:p>
    <w:p>
      <w:pPr>
        <w:pStyle w:val="null3"/>
        <w:ind w:firstLine="420"/>
        <w:jc w:val="both"/>
      </w:pPr>
      <w:r>
        <w:rPr>
          <w:sz w:val="21"/>
        </w:rPr>
        <w:t>C</w:t>
      </w:r>
      <w:r>
        <w:rPr>
          <w:sz w:val="21"/>
        </w:rPr>
        <w:t>．</w:t>
      </w:r>
      <w:r>
        <w:rPr>
          <w:sz w:val="21"/>
        </w:rPr>
        <w:t>本项目施工全过程，投标人需严格遵循国家、行业及地方现行施工安全相关标准、规范、规程及招标人安全管理规定，落实安全施工责任制，确保施工安全。</w:t>
      </w:r>
      <w:r>
        <w:rPr>
          <w:sz w:val="21"/>
        </w:rPr>
        <w:t>施工期间</w:t>
      </w:r>
      <w:r>
        <w:rPr>
          <w:sz w:val="21"/>
        </w:rPr>
        <w:t>中标人</w:t>
      </w:r>
      <w:r>
        <w:rPr>
          <w:sz w:val="21"/>
        </w:rPr>
        <w:t>不得损坏采购人的设备设施，否则原价赔偿。</w:t>
      </w:r>
    </w:p>
    <w:p>
      <w:pPr>
        <w:pStyle w:val="null3"/>
        <w:ind w:firstLine="420"/>
        <w:jc w:val="both"/>
      </w:pPr>
      <w:r>
        <w:rPr>
          <w:sz w:val="21"/>
        </w:rPr>
        <w:t>D.</w:t>
      </w:r>
      <w:r>
        <w:rPr>
          <w:sz w:val="21"/>
        </w:rPr>
        <w:t>中标人负责上门对采购人管理技术人员进行免费的系统项目培训和应用技术培训，提供相应的培训资料（包括纸质资料、电子文档和视频等），培训人数、时间、地点由采购人确定。</w:t>
      </w:r>
    </w:p>
    <w:p>
      <w:pPr>
        <w:pStyle w:val="null3"/>
        <w:ind w:firstLine="420"/>
        <w:jc w:val="both"/>
      </w:pPr>
      <w:r>
        <w:rPr>
          <w:sz w:val="21"/>
        </w:rPr>
        <w:t>5)</w:t>
      </w:r>
      <w:r>
        <w:rPr>
          <w:sz w:val="21"/>
        </w:rPr>
        <w:t>项目质量与验收标准</w:t>
      </w:r>
    </w:p>
    <w:p>
      <w:pPr>
        <w:pStyle w:val="null3"/>
        <w:ind w:firstLine="420"/>
        <w:jc w:val="both"/>
      </w:pPr>
      <w:r>
        <w:rPr>
          <w:sz w:val="21"/>
        </w:rPr>
        <w:t>A.</w:t>
      </w:r>
      <w:r>
        <w:rPr>
          <w:sz w:val="21"/>
        </w:rPr>
        <w:t>投标人应保证提供的货物质量必须符合国家强制性产品认证标准及行业通用技术规范，并满足招标文件中规定的技术参数与性能要求。产品供货时需随设备装箱提供制造厂的设备检验、测试报告、设备检验合格证书、质量保证书和保修书等证明文件。</w:t>
      </w:r>
    </w:p>
    <w:p>
      <w:pPr>
        <w:pStyle w:val="null3"/>
        <w:ind w:firstLine="420"/>
        <w:jc w:val="both"/>
      </w:pPr>
      <w:r>
        <w:rPr>
          <w:sz w:val="21"/>
        </w:rPr>
        <w:t>B.</w:t>
      </w:r>
      <w:r>
        <w:rPr>
          <w:sz w:val="21"/>
        </w:rPr>
        <w:t>投标人应保证所供货物须是全新的、未使用过的货物。投标人须确保设备及所有配套件的完整性和可靠性。对设备正常运行必需的未列明配件，中标人应主动补充提供，相关费用视为已包含在合同总价中。</w:t>
      </w:r>
    </w:p>
    <w:p>
      <w:pPr>
        <w:pStyle w:val="null3"/>
        <w:ind w:firstLine="420"/>
        <w:jc w:val="both"/>
      </w:pPr>
      <w:r>
        <w:rPr>
          <w:sz w:val="21"/>
        </w:rPr>
        <w:t>C.</w:t>
      </w:r>
      <w:r>
        <w:rPr>
          <w:sz w:val="21"/>
        </w:rPr>
        <w:t>若中标人所提供货物性能未达投标承诺或技术参数与招标要求出现偏离时，采购人有权：①拒收并要求中标人进行赔偿。②要求中标人7个工作日内进行更换。③按合同总额每日0.5%向中标人收取违约金。④整改产生的运输、检测、误工等费用由中标人全额承担。.⑤中标人为保障项目整体性额外提供的配套设备、设施、材料及相关施工，须符合行业现行最新标准。如因该部分内容质量不达标、安装不当引发事故、质量问题及损失的，由中标人承担全部责任，采购人有权向其索赔。</w:t>
      </w:r>
    </w:p>
    <w:p>
      <w:pPr>
        <w:pStyle w:val="null3"/>
        <w:ind w:firstLine="420"/>
        <w:jc w:val="left"/>
      </w:pPr>
      <w:r>
        <w:rPr>
          <w:sz w:val="21"/>
        </w:rPr>
        <w:t>D.</w:t>
      </w:r>
      <w:r>
        <w:rPr>
          <w:sz w:val="21"/>
        </w:rPr>
        <w:t>项目整体交付后须经使用部门试用至少1个月以上，如试用中有问题须限时整改，试用期相应顺延。货物试用无问题后，经过采购人组织的验收通过，共同签署验收报告。</w:t>
      </w:r>
    </w:p>
    <w:p>
      <w:pPr>
        <w:pStyle w:val="null3"/>
        <w:ind w:firstLine="420"/>
        <w:jc w:val="left"/>
      </w:pPr>
      <w:r>
        <w:rPr>
          <w:sz w:val="21"/>
        </w:rPr>
        <w:t>E</w:t>
      </w:r>
      <w:r>
        <w:rPr>
          <w:sz w:val="21"/>
        </w:rPr>
        <w:t>．</w:t>
      </w:r>
      <w:r>
        <w:rPr>
          <w:sz w:val="21"/>
        </w:rPr>
        <w:t>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p>
      <w:pPr>
        <w:pStyle w:val="null3"/>
        <w:ind w:firstLine="420"/>
        <w:jc w:val="left"/>
      </w:pPr>
      <w:r>
        <w:rPr>
          <w:sz w:val="21"/>
        </w:rPr>
        <w:t>F</w:t>
      </w:r>
      <w:r>
        <w:rPr>
          <w:sz w:val="21"/>
        </w:rPr>
        <w:t>．中标人需将货物的整套技术资料包括设备说明书、使用手册及其它相关技术资料（应有中文解释）等交给采购人。</w:t>
      </w:r>
    </w:p>
    <w:p>
      <w:pPr>
        <w:pStyle w:val="null3"/>
        <w:ind w:firstLine="420"/>
        <w:jc w:val="both"/>
      </w:pPr>
      <w:r>
        <w:rPr>
          <w:sz w:val="21"/>
        </w:rPr>
        <w:t>6</w:t>
      </w:r>
      <w:r>
        <w:rPr>
          <w:sz w:val="21"/>
        </w:rPr>
        <w:t>）质保期</w:t>
      </w:r>
    </w:p>
    <w:p>
      <w:pPr>
        <w:pStyle w:val="null3"/>
        <w:ind w:firstLine="420"/>
        <w:jc w:val="both"/>
      </w:pPr>
      <w:r>
        <w:rPr>
          <w:sz w:val="21"/>
        </w:rPr>
        <w:t>A.</w:t>
      </w:r>
      <w:r>
        <w:rPr>
          <w:sz w:val="21"/>
        </w:rPr>
        <w:t>本项目中的所有货物提供至少3年质保（若国家或生产厂家对本项目所涉及货物的质保期的规定高于本项目的要求，应按国家或生产厂家的规定执行）。</w:t>
      </w:r>
      <w:r>
        <w:rPr>
          <w:sz w:val="21"/>
        </w:rPr>
        <w:t>投标时提供投标人承诺函并加盖公章</w:t>
      </w:r>
      <w:r>
        <w:rPr>
          <w:sz w:val="21"/>
        </w:rPr>
        <w:t>。</w:t>
      </w:r>
    </w:p>
    <w:p>
      <w:pPr>
        <w:pStyle w:val="null3"/>
        <w:ind w:firstLine="420"/>
        <w:jc w:val="both"/>
      </w:pPr>
      <w:r>
        <w:rPr>
          <w:sz w:val="21"/>
        </w:rPr>
        <w:t>B.</w:t>
      </w:r>
      <w:r>
        <w:rPr>
          <w:sz w:val="21"/>
        </w:rPr>
        <w:t>质保期内提供免费上门服务（含部件、人力、上门等），质保期自项目验收合格之日起计算。</w:t>
      </w:r>
    </w:p>
    <w:p>
      <w:pPr>
        <w:pStyle w:val="null3"/>
        <w:ind w:firstLine="420"/>
        <w:jc w:val="both"/>
      </w:pPr>
      <w:r>
        <w:rPr>
          <w:sz w:val="21"/>
        </w:rPr>
        <w:t>C.</w:t>
      </w:r>
      <w:r>
        <w:rPr>
          <w:sz w:val="21"/>
        </w:rPr>
        <w:t>质保期内，用户所购设备发生非人为故障，中标人应上门维修。如不能完全修复，则应更换不低于原规格型号的新部件或设备,设备在验收合格后头三个月内发生故障,中标人须无条件更换同一档次的设备。</w:t>
      </w:r>
    </w:p>
    <w:p>
      <w:pPr>
        <w:pStyle w:val="null3"/>
        <w:ind w:firstLine="420"/>
        <w:jc w:val="both"/>
      </w:pPr>
      <w:r>
        <w:rPr>
          <w:sz w:val="21"/>
        </w:rPr>
        <w:t>D</w:t>
      </w:r>
      <w:r>
        <w:rPr>
          <w:sz w:val="21"/>
        </w:rPr>
        <w:t>．质保期内，同一硬件一个月内连续2次出现同一故障，中标人须更换不低于原规格型号的设备或部件。</w:t>
      </w:r>
    </w:p>
    <w:p>
      <w:pPr>
        <w:pStyle w:val="null3"/>
        <w:ind w:firstLine="420"/>
        <w:jc w:val="both"/>
      </w:pPr>
      <w:r>
        <w:rPr>
          <w:sz w:val="21"/>
        </w:rPr>
        <w:t>7</w:t>
      </w:r>
      <w:r>
        <w:rPr>
          <w:sz w:val="21"/>
        </w:rPr>
        <w:t>）售后服务要求</w:t>
      </w:r>
    </w:p>
    <w:p>
      <w:pPr>
        <w:pStyle w:val="null3"/>
        <w:ind w:firstLine="420"/>
        <w:jc w:val="both"/>
      </w:pPr>
      <w:r>
        <w:rPr>
          <w:sz w:val="21"/>
        </w:rPr>
        <w:t>A.</w:t>
      </w:r>
      <w:r>
        <w:rPr>
          <w:sz w:val="21"/>
        </w:rPr>
        <w:t>项目验收通过之日起，中标人提供1人每周5天*8小时GPU算力驻场服务，服务期限3年，服务人员需具有计算机类本科或以上学历，二年或以上相关工作经验。(经过采购人考核后方可入场)</w:t>
      </w:r>
    </w:p>
    <w:p>
      <w:pPr>
        <w:pStyle w:val="null3"/>
        <w:ind w:firstLine="420"/>
        <w:jc w:val="both"/>
      </w:pPr>
      <w:r>
        <w:rPr>
          <w:sz w:val="21"/>
        </w:rPr>
        <w:t>B.</w:t>
      </w:r>
      <w:r>
        <w:rPr>
          <w:sz w:val="21"/>
        </w:rPr>
        <w:t>提供常设7天×24小时热线服务和长期的免费技术支持。对采购人的服务通知，4小时内到达现场，24小时内处理完毕。若主要设备的故障在24小时内仍未处理完毕，中标人须免费提供相同等档次的设备临时使用或采取应急措施解决，不得影响采购人的正常工作业务。</w:t>
      </w:r>
    </w:p>
    <w:p>
      <w:pPr>
        <w:pStyle w:val="null3"/>
        <w:ind w:firstLine="420"/>
        <w:jc w:val="both"/>
      </w:pPr>
      <w:r>
        <w:rPr>
          <w:sz w:val="21"/>
        </w:rPr>
        <w:t>C.</w:t>
      </w:r>
      <w:r>
        <w:rPr>
          <w:sz w:val="21"/>
        </w:rPr>
        <w:t>质保期满后，中标人应负责设备的维修，并保证以最优惠的价格提供零备件和保养服务，当发生故障时，中标人应按质保期内同样的要求进行维修处理。</w:t>
      </w:r>
    </w:p>
    <w:p>
      <w:pPr>
        <w:pStyle w:val="null3"/>
        <w:ind w:firstLine="420"/>
        <w:jc w:val="both"/>
      </w:pPr>
      <w:r>
        <w:rPr>
          <w:sz w:val="21"/>
        </w:rPr>
        <w:t>8</w:t>
      </w:r>
      <w:r>
        <w:rPr>
          <w:sz w:val="21"/>
        </w:rPr>
        <w:t>）结算与付款方式</w:t>
      </w:r>
    </w:p>
    <w:p>
      <w:pPr>
        <w:pStyle w:val="null3"/>
        <w:ind w:firstLine="420"/>
        <w:jc w:val="both"/>
      </w:pPr>
      <w:r>
        <w:rPr>
          <w:sz w:val="21"/>
        </w:rPr>
        <w:t>A</w:t>
      </w:r>
      <w:r>
        <w:rPr>
          <w:sz w:val="21"/>
        </w:rPr>
        <w:t>．合同签订后5个工作日内，中标人交纳合同总价金额5%到采购人单位账户作为履约保证金（采用银行转账、支票、汇票、本票、银行保函非现金形式提交）。</w:t>
      </w:r>
    </w:p>
    <w:p>
      <w:pPr>
        <w:pStyle w:val="null3"/>
        <w:ind w:firstLine="420"/>
        <w:jc w:val="both"/>
      </w:pPr>
      <w:r>
        <w:rPr>
          <w:sz w:val="21"/>
        </w:rPr>
        <w:t>采购人账户信息</w:t>
      </w:r>
    </w:p>
    <w:p>
      <w:pPr>
        <w:pStyle w:val="null3"/>
        <w:ind w:firstLine="420"/>
        <w:jc w:val="both"/>
      </w:pPr>
      <w:r>
        <w:rPr>
          <w:sz w:val="21"/>
        </w:rPr>
        <w:t>账号：</w:t>
      </w:r>
      <w:r>
        <w:rPr>
          <w:sz w:val="21"/>
        </w:rPr>
        <w:t>44050143190100000072</w:t>
      </w:r>
    </w:p>
    <w:p>
      <w:pPr>
        <w:pStyle w:val="null3"/>
        <w:ind w:firstLine="420"/>
        <w:jc w:val="both"/>
      </w:pPr>
      <w:r>
        <w:rPr>
          <w:sz w:val="21"/>
        </w:rPr>
        <w:t>户名：</w:t>
      </w:r>
      <w:r>
        <w:rPr>
          <w:sz w:val="21"/>
        </w:rPr>
        <w:t>广东财经大学</w:t>
      </w:r>
    </w:p>
    <w:p>
      <w:pPr>
        <w:pStyle w:val="null3"/>
        <w:ind w:firstLine="420"/>
        <w:jc w:val="both"/>
      </w:pPr>
      <w:r>
        <w:rPr>
          <w:sz w:val="21"/>
        </w:rPr>
        <w:t>开户行：</w:t>
      </w:r>
      <w:r>
        <w:rPr>
          <w:sz w:val="21"/>
        </w:rPr>
        <w:t>中国建设银行广州赤岗支行</w:t>
      </w:r>
    </w:p>
    <w:p>
      <w:pPr>
        <w:pStyle w:val="null3"/>
        <w:ind w:firstLine="420"/>
        <w:jc w:val="both"/>
      </w:pPr>
      <w:r>
        <w:rPr>
          <w:sz w:val="21"/>
        </w:rPr>
        <w:t>B</w:t>
      </w:r>
      <w:r>
        <w:rPr>
          <w:sz w:val="21"/>
        </w:rPr>
        <w:t>．合同签订后，采购人凭中标人提供的相应金额的增值税专用发票，在10个工作日内支付合同总价的30%。</w:t>
      </w:r>
    </w:p>
    <w:p>
      <w:pPr>
        <w:pStyle w:val="null3"/>
        <w:ind w:firstLine="420"/>
        <w:jc w:val="both"/>
      </w:pPr>
      <w:r>
        <w:rPr>
          <w:sz w:val="21"/>
        </w:rPr>
        <w:t>C</w:t>
      </w:r>
      <w:r>
        <w:rPr>
          <w:sz w:val="21"/>
        </w:rPr>
        <w:t>．项目通过初步验收合格后，采购人凭中标人提供的相应金额的增值税专用发票，在10个工作日内支付不超过合同总价的30%。</w:t>
      </w:r>
    </w:p>
    <w:p>
      <w:pPr>
        <w:pStyle w:val="null3"/>
        <w:ind w:firstLine="420"/>
        <w:jc w:val="both"/>
      </w:pPr>
      <w:r>
        <w:rPr>
          <w:sz w:val="21"/>
        </w:rPr>
        <w:t>D.</w:t>
      </w:r>
      <w:r>
        <w:rPr>
          <w:sz w:val="21"/>
        </w:rPr>
        <w:t>项目通过最终验收合格后，采购人凭中标人提供的相应金额的增值税专用发票，在10个工作日内支付合同剩余尾款。</w:t>
      </w:r>
    </w:p>
    <w:p>
      <w:pPr>
        <w:pStyle w:val="null3"/>
        <w:ind w:firstLine="420"/>
        <w:jc w:val="both"/>
      </w:pPr>
      <w:r>
        <w:rPr>
          <w:sz w:val="21"/>
        </w:rPr>
        <w:t>E</w:t>
      </w:r>
      <w:r>
        <w:rPr>
          <w:sz w:val="21"/>
        </w:rPr>
        <w:t>．履约保证金在质保期（质保期3年）满后，如无质量问题，采购人凭中标人提供的收据，15个工作日内采购人无息退还；在合同履行过程中如中标人出现违约行为采购人有权没收履约保证金。</w:t>
      </w:r>
    </w:p>
    <w:p>
      <w:pPr>
        <w:pStyle w:val="null3"/>
        <w:ind w:firstLine="420"/>
        <w:jc w:val="both"/>
      </w:pPr>
      <w:r>
        <w:rPr>
          <w:sz w:val="21"/>
        </w:rPr>
        <w:t>9</w:t>
      </w:r>
      <w:r>
        <w:rPr>
          <w:sz w:val="21"/>
        </w:rPr>
        <w:t>）违约处罚</w:t>
      </w:r>
    </w:p>
    <w:p>
      <w:pPr>
        <w:pStyle w:val="null3"/>
        <w:ind w:firstLine="420"/>
        <w:jc w:val="both"/>
      </w:pPr>
      <w:r>
        <w:rPr>
          <w:sz w:val="21"/>
        </w:rPr>
        <w:t>A</w:t>
      </w:r>
      <w:r>
        <w:rPr>
          <w:sz w:val="21"/>
        </w:rPr>
        <w:t>．中标人交付的货物、提供的服务不符合招标文件、投标文件或合同规定的，采购人将予以拒收并要求中标人整改，中标人在收到整改通知书后15天内须提供符合招标文件、投标文件或合同规定的货物或服务。整改期满后仍无法提供符合招标文件、投标文件或合同规定的货物或服务的，采购人有权解除合同，中标人须向采购人支付本合同总价10%的违约金,并退回采购人已付所有款项。</w:t>
      </w:r>
    </w:p>
    <w:p>
      <w:pPr>
        <w:pStyle w:val="null3"/>
        <w:ind w:firstLine="420"/>
        <w:jc w:val="both"/>
      </w:pPr>
      <w:r>
        <w:rPr>
          <w:sz w:val="21"/>
        </w:rPr>
        <w:t>B</w:t>
      </w:r>
      <w:r>
        <w:rPr>
          <w:sz w:val="21"/>
        </w:rPr>
        <w:t>．中标人未能按本合同规定的时间履行义务的，从逾期之日起每日按合同总价3‰的数额向采购人支付违约金；逾期半个月以上的，采购人有权终止合同，中标人须向采购人支付合同总价10%的违约金，采购人因此而造成的经济损失由中标人承担，并退回采购人已付所有款项。</w:t>
      </w:r>
    </w:p>
    <w:p>
      <w:pPr>
        <w:pStyle w:val="null3"/>
        <w:ind w:firstLine="420"/>
        <w:jc w:val="both"/>
      </w:pPr>
      <w:r>
        <w:rPr>
          <w:sz w:val="21"/>
        </w:rPr>
        <w:t>C</w:t>
      </w:r>
      <w:r>
        <w:rPr>
          <w:sz w:val="21"/>
        </w:rPr>
        <w:t>．采购人无正当理由拒收货物，到期拒付货物款项的，采购人向中标人偿付合同总价10%的违约金。采购人如果逾期付款，则每日按本合同总价的3‰向中标人偿付违约金。</w:t>
      </w:r>
    </w:p>
    <w:p>
      <w:pPr>
        <w:pStyle w:val="null3"/>
        <w:ind w:firstLine="420"/>
        <w:jc w:val="both"/>
      </w:pPr>
      <w:r>
        <w:rPr>
          <w:sz w:val="21"/>
        </w:rPr>
        <w:t>D.</w:t>
      </w:r>
      <w:r>
        <w:rPr>
          <w:sz w:val="21"/>
        </w:rPr>
        <w:t>因中标人原因导致合同被解除的，采购人有权没收履约保证金，且中标人须向采购人支付本合同总价10%的违约金，并退回采购人已付所有款项</w:t>
      </w:r>
    </w:p>
    <w:p>
      <w:pPr>
        <w:pStyle w:val="null3"/>
        <w:ind w:firstLine="420"/>
        <w:jc w:val="both"/>
      </w:pPr>
      <w:r>
        <w:rPr>
          <w:sz w:val="21"/>
        </w:rPr>
        <w:t>E.</w:t>
      </w:r>
      <w:r>
        <w:rPr>
          <w:sz w:val="21"/>
        </w:rPr>
        <w:t>其它违约责任按《中华人民共和国民法典》处理。</w:t>
      </w:r>
    </w:p>
    <w:p>
      <w:pPr>
        <w:pStyle w:val="null3"/>
        <w:ind w:firstLine="420"/>
        <w:jc w:val="left"/>
      </w:pPr>
      <w:r>
        <w:rPr>
          <w:sz w:val="21"/>
        </w:rPr>
        <w:t>中标人须文明施工、爱护现场其它设施。交付使用前要清理现场，废料垃圾由中标人负责清运出校园区域，不得留下任何垃圾，做到现场整洁、货物干净。</w:t>
      </w:r>
    </w:p>
    <w:p>
      <w:pPr>
        <w:pStyle w:val="null3"/>
        <w:ind w:firstLine="420"/>
        <w:jc w:val="both"/>
      </w:pPr>
      <w:r>
        <w:rPr>
          <w:sz w:val="21"/>
        </w:rPr>
        <w:t>4.适用于视频演示（提供视频光盘（或U盘），无须派人在现场演示）</w:t>
      </w:r>
    </w:p>
    <w:p>
      <w:pPr>
        <w:pStyle w:val="null3"/>
        <w:ind w:firstLine="420"/>
        <w:jc w:val="both"/>
      </w:pPr>
      <w:r>
        <w:rPr>
          <w:sz w:val="21"/>
        </w:rPr>
        <w:t>（1）视频演示的方式：录屏演示或原型演示</w:t>
      </w:r>
    </w:p>
    <w:p>
      <w:pPr>
        <w:pStyle w:val="null3"/>
        <w:ind w:firstLine="420"/>
        <w:jc w:val="both"/>
      </w:pPr>
      <w:r>
        <w:rPr>
          <w:sz w:val="21"/>
        </w:rPr>
        <w:t>（2）视频演示的内容：</w:t>
      </w:r>
    </w:p>
    <w:p>
      <w:pPr>
        <w:pStyle w:val="null3"/>
        <w:ind w:firstLine="420"/>
        <w:jc w:val="both"/>
      </w:pPr>
      <w:r>
        <w:rPr>
          <w:sz w:val="21"/>
        </w:rPr>
        <w:t>1)</w:t>
      </w:r>
      <w:r>
        <w:rPr>
          <w:sz w:val="21"/>
        </w:rPr>
        <w:t>、GPU监控：支持GPU的监控，可实时查看GPU的温度、使用率、处理器频率和读写带宽等性能指标;</w:t>
      </w:r>
    </w:p>
    <w:p>
      <w:pPr>
        <w:pStyle w:val="null3"/>
        <w:ind w:firstLine="420"/>
        <w:jc w:val="both"/>
      </w:pPr>
      <w:r>
        <w:rPr>
          <w:sz w:val="21"/>
        </w:rPr>
        <w:t>2)</w:t>
      </w:r>
      <w:r>
        <w:rPr>
          <w:sz w:val="21"/>
        </w:rPr>
        <w:t>、安全保障与审计：提供三员管理模块（系统管理员、安全保密管理员、安全审计管理员）实现三种管理员权限分离，三种管理权限设置相互独立，相互制约；</w:t>
      </w:r>
    </w:p>
    <w:p>
      <w:pPr>
        <w:pStyle w:val="null3"/>
        <w:ind w:firstLine="420"/>
        <w:jc w:val="both"/>
      </w:pPr>
      <w:r>
        <w:rPr>
          <w:sz w:val="21"/>
        </w:rPr>
        <w:t>3)</w:t>
      </w:r>
      <w:r>
        <w:rPr>
          <w:sz w:val="21"/>
        </w:rPr>
        <w:t>、提供分布式算力资源调度能力，支持单机多卡、多机多卡训练；支持可视化算力资源配置，可对CPU、GPU等算力资源进行配置，支持混合精度训练；支持对CPU、GPU资源的灵活分配和混合调度，支持训练资源与推理资源的独立配置与管理;</w:t>
      </w:r>
    </w:p>
    <w:p>
      <w:pPr>
        <w:pStyle w:val="null3"/>
        <w:ind w:firstLine="567"/>
        <w:jc w:val="both"/>
      </w:pPr>
      <w:r>
        <w:rPr>
          <w:sz w:val="21"/>
        </w:rPr>
        <w:t>4</w:t>
      </w:r>
      <w:r>
        <w:rPr>
          <w:sz w:val="21"/>
        </w:rPr>
        <w:t>）支持批量修改虚拟机的配置参数，包括：I/O优先级、启动优先级、是否自动迁移、CPU调度优先级、自动启动、CPU个数、内存大小、启用VNC代理等；</w:t>
      </w:r>
    </w:p>
    <w:p>
      <w:pPr>
        <w:pStyle w:val="null3"/>
        <w:ind w:firstLine="567"/>
        <w:jc w:val="both"/>
      </w:pPr>
      <w:r>
        <w:rPr>
          <w:sz w:val="21"/>
        </w:rPr>
        <w:t>5</w:t>
      </w:r>
      <w:r>
        <w:rPr>
          <w:sz w:val="21"/>
        </w:rPr>
        <w:t>）支持虚拟机桌面预览功能，无需登录虚拟机即可在虚拟化管理平台上看到虚拟机当前桌面的状态；</w:t>
      </w:r>
    </w:p>
    <w:p>
      <w:pPr>
        <w:pStyle w:val="null3"/>
        <w:ind w:firstLine="420"/>
        <w:jc w:val="both"/>
      </w:pPr>
      <w:r>
        <w:rPr>
          <w:sz w:val="21"/>
        </w:rPr>
        <w:t>（3）视频演示的时间：最长不超过15分钟。</w:t>
      </w:r>
    </w:p>
    <w:p>
      <w:pPr>
        <w:pStyle w:val="null3"/>
        <w:ind w:firstLine="420"/>
        <w:jc w:val="both"/>
      </w:pPr>
      <w:r>
        <w:rPr>
          <w:sz w:val="21"/>
        </w:rPr>
        <w:t>（4）视频格式要求：视频分辨率应不低于720p，演示视频应为mp4、mov、avi等Windows10政府版操作系统播放器默认兼容格式，因非上述通用格式造成视频无法播放或因分辨率过低导致演示效果不清晰的，后果由供应商自行承担。</w:t>
      </w:r>
    </w:p>
    <w:p>
      <w:pPr>
        <w:pStyle w:val="null3"/>
        <w:ind w:firstLine="420"/>
        <w:jc w:val="both"/>
      </w:pPr>
      <w:r>
        <w:rPr>
          <w:sz w:val="21"/>
        </w:rPr>
        <w:t>（5）视频光盘（或U盘）包装要求：视频光盘（或U盘）密封封装，表面标注：项目名称、采购编号、供应商名称。</w:t>
      </w:r>
    </w:p>
    <w:p>
      <w:pPr>
        <w:pStyle w:val="null3"/>
        <w:ind w:firstLine="420"/>
        <w:jc w:val="both"/>
      </w:pPr>
      <w:r>
        <w:rPr>
          <w:sz w:val="21"/>
        </w:rPr>
        <w:t>（6）视频光盘（或U盘）提交的时间、地点：与投标文件（首次响应文件）递交时间与投标截止时间一致、地点（</w:t>
      </w:r>
      <w:r>
        <w:rPr>
          <w:sz w:val="21"/>
        </w:rPr>
        <w:t>广州市越秀区越华路112号珠江国际大厦3楼</w:t>
      </w:r>
      <w:r>
        <w:rPr>
          <w:sz w:val="21"/>
        </w:rPr>
        <w:t>）。为避免邮寄产生的风险，本项目(本包组)不接受视频光盘（或U盘）邮寄。</w:t>
      </w:r>
    </w:p>
    <w:p>
      <w:pPr>
        <w:pStyle w:val="null3"/>
        <w:ind w:firstLine="420"/>
        <w:jc w:val="both"/>
      </w:pPr>
      <w:r>
        <w:rPr>
          <w:sz w:val="21"/>
        </w:rPr>
        <w:t>（7）视频播放顺序：供应商在提交视频的同时现场参加抽签，如未参加抽签的，光盘或U盘介质的播放顺序将由评标委员会安排。</w:t>
      </w:r>
    </w:p>
    <w:p>
      <w:pPr>
        <w:pStyle w:val="null3"/>
        <w:jc w:val="both"/>
      </w:pPr>
      <w:r>
        <w:rPr>
          <w:sz w:val="21"/>
          <w:b/>
        </w:rPr>
        <w:t>附件1：</w:t>
      </w:r>
      <w:r>
        <w:rPr>
          <w:sz w:val="21"/>
        </w:rPr>
        <w:t>因投标（响应）格式中《政策适用性说明》无法满足项目（包组）填写需要，如涉及符合政策要求的节能产品、环境标志产品，请供应商按需求附件《节能环保政策适用性说明》的格式进行填写。</w:t>
      </w:r>
    </w:p>
    <w:p>
      <w:pPr>
        <w:pStyle w:val="null3"/>
        <w:ind w:firstLine="420"/>
        <w:jc w:val="left"/>
      </w:pPr>
      <w:r>
        <w:rPr>
          <w:sz w:val="21"/>
        </w:rPr>
        <w:t>附件：</w:t>
      </w:r>
    </w:p>
    <w:p>
      <w:pPr>
        <w:pStyle w:val="null3"/>
        <w:ind w:firstLine="420"/>
        <w:jc w:val="center"/>
      </w:pPr>
      <w:r>
        <w:rPr>
          <w:sz w:val="21"/>
        </w:rPr>
        <w:t>《节能环保政策适用性说明》</w:t>
      </w:r>
    </w:p>
    <w:p>
      <w:pPr>
        <w:pStyle w:val="null3"/>
        <w:ind w:firstLine="420"/>
        <w:jc w:val="left"/>
      </w:pPr>
      <w:r>
        <w:rPr>
          <w:sz w:val="21"/>
        </w:rPr>
        <w:t>填写注意事项：</w:t>
      </w:r>
    </w:p>
    <w:p>
      <w:pPr>
        <w:pStyle w:val="null3"/>
        <w:ind w:firstLine="420"/>
        <w:jc w:val="left"/>
      </w:pPr>
      <w:r>
        <w:rPr>
          <w:sz w:val="21"/>
        </w:rPr>
        <w:t>1</w:t>
      </w:r>
      <w:r>
        <w:rPr>
          <w:sz w:val="21"/>
        </w:rPr>
        <w:t>、供应商所投的产品，符合节能产品、环境标志产品政策要求的，按以下格式填写。</w:t>
      </w:r>
    </w:p>
    <w:p>
      <w:pPr>
        <w:pStyle w:val="null3"/>
        <w:ind w:firstLine="420"/>
        <w:jc w:val="left"/>
      </w:pPr>
      <w:r>
        <w:rPr>
          <w:sz w:val="21"/>
        </w:rPr>
        <w:t>2</w:t>
      </w:r>
      <w:r>
        <w:rPr>
          <w:sz w:val="21"/>
        </w:rPr>
        <w:t>、供应商所响应的产品须是《节能产品政府采购品目清单》、《环境标志产品政府采购品目清单》内的产品，该产品由国家确定的认证机构颁发处于有效期内的认证证书（认证标准须符合《清单》中对应产品所依据的标准，认证型号须与所投产品型号一致），才视为符合节能产品、环境标志产品政策要求。</w:t>
      </w:r>
    </w:p>
    <w:p>
      <w:pPr>
        <w:pStyle w:val="null3"/>
        <w:ind w:firstLine="420"/>
        <w:jc w:val="left"/>
      </w:pPr>
      <w:r>
        <w:rPr>
          <w:sz w:val="21"/>
        </w:rPr>
        <w:t>3</w:t>
      </w:r>
      <w:r>
        <w:rPr>
          <w:sz w:val="21"/>
        </w:rPr>
        <w:t>、节能产品包括节水产品。</w:t>
      </w:r>
    </w:p>
    <w:p>
      <w:pPr>
        <w:pStyle w:val="null3"/>
        <w:ind w:firstLine="420"/>
        <w:jc w:val="left"/>
      </w:pPr>
      <w:r>
        <w:rPr>
          <w:sz w:val="21"/>
        </w:rPr>
        <w:t>4</w:t>
      </w:r>
      <w:r>
        <w:rPr>
          <w:sz w:val="21"/>
        </w:rPr>
        <w:t>、在《财政部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号）中可查询节能产品、环境标志产品政府采购政策。</w:t>
      </w:r>
    </w:p>
    <w:p>
      <w:pPr>
        <w:pStyle w:val="null3"/>
        <w:ind w:firstLine="420"/>
        <w:jc w:val="left"/>
      </w:pPr>
      <w:r>
        <w:rPr>
          <w:sz w:val="21"/>
        </w:rPr>
        <w:t>查询网址：</w:t>
      </w:r>
      <w:r>
        <w:rPr>
          <w:sz w:val="21"/>
        </w:rPr>
        <w:t>http://www.ccgp.gov.cn/zcfg/mof/201902/t20190213_11628855.htm</w:t>
      </w:r>
      <w:r>
        <w:rPr>
          <w:sz w:val="21"/>
        </w:rPr>
        <w:t>。</w:t>
      </w:r>
    </w:p>
    <w:p>
      <w:pPr>
        <w:pStyle w:val="null3"/>
        <w:ind w:firstLine="420"/>
        <w:jc w:val="left"/>
      </w:pPr>
      <w:r>
        <w:rPr>
          <w:sz w:val="21"/>
        </w:rPr>
        <w:t>5</w:t>
      </w:r>
      <w:r>
        <w:rPr>
          <w:sz w:val="21"/>
        </w:rPr>
        <w:t>、</w:t>
      </w:r>
      <w:r>
        <w:rPr>
          <w:sz w:val="21"/>
        </w:rPr>
        <w:t>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w:t>
      </w:r>
    </w:p>
    <w:p>
      <w:pPr>
        <w:pStyle w:val="null3"/>
        <w:ind w:firstLine="479"/>
        <w:jc w:val="left"/>
      </w:pPr>
      <w:r>
        <w:rPr>
          <w:sz w:val="21"/>
          <w:shd w:fill="FFFFFF" w:val="clear"/>
        </w:rPr>
        <w:t>查询网址：</w:t>
      </w:r>
      <w:r>
        <w:rPr>
          <w:sz w:val="21"/>
          <w:shd w:fill="FFFFFF" w:val="clear"/>
        </w:rPr>
        <w:t>http://www.ccgp.gov.cn/zcfg/mof/201903/t20190330_11833800.htm</w:t>
      </w:r>
    </w:p>
    <w:p>
      <w:pPr>
        <w:pStyle w:val="null3"/>
        <w:ind w:firstLine="479"/>
        <w:jc w:val="left"/>
      </w:pPr>
      <w:r>
        <w:rPr>
          <w:sz w:val="21"/>
          <w:shd w:fill="FFFFFF" w:val="clear"/>
        </w:rPr>
        <w:t>http://www.ccgp.gov.cn/zcfg/mof/201904/t20190403_11849836.htm</w:t>
      </w:r>
    </w:p>
    <w:p>
      <w:pPr>
        <w:pStyle w:val="null3"/>
        <w:ind w:firstLine="479"/>
        <w:jc w:val="left"/>
      </w:pPr>
      <w:r>
        <w:rPr>
          <w:sz w:val="21"/>
          <w:shd w:fill="FFFFFF" w:val="clear"/>
        </w:rPr>
        <w:t>http://www.ccgp.gov.cn/zcfg/bwfile/201904/t20190403_11853998.htm</w:t>
      </w:r>
    </w:p>
    <w:p>
      <w:pPr>
        <w:pStyle w:val="null3"/>
        <w:ind w:firstLine="479"/>
        <w:jc w:val="left"/>
      </w:pPr>
      <w:r>
        <w:rPr>
          <w:sz w:val="21"/>
          <w:shd w:fill="FFFFFF" w:val="clear"/>
        </w:rPr>
        <w:t>6</w:t>
      </w:r>
      <w:r>
        <w:rPr>
          <w:sz w:val="21"/>
          <w:shd w:fill="FFFFFF" w:val="clear"/>
        </w:rPr>
        <w:t>、因投标（响应）格式中《政策适用性说明》无法满足项目（包组）填写需要，如涉及符合政策要求的节能产品、环境标志产品，请供应商按需求附件《节能环保政策适用性说明》的格式进行填写。</w:t>
      </w:r>
    </w:p>
    <w:p>
      <w:pPr>
        <w:pStyle w:val="null3"/>
        <w:ind w:firstLine="420"/>
        <w:jc w:val="left"/>
      </w:pPr>
      <w:r>
        <w:rPr>
          <w:sz w:val="21"/>
          <w:shd w:fill="FFFFFF" w:val="clear"/>
        </w:rPr>
        <w:t>7</w:t>
      </w:r>
      <w:r>
        <w:rPr>
          <w:sz w:val="21"/>
          <w:shd w:fill="FFFFFF" w:val="clear"/>
        </w:rPr>
        <w:t>、《政策适用性说明》的货物名称、型号与《分项报价表》（如工程项目，则为《工程量清单》）的货物名称、型号不一致的，以《分项报价表》或《工程量清单》的货物名称、型号为准。</w:t>
      </w:r>
    </w:p>
    <w:p>
      <w:pPr>
        <w:pStyle w:val="null3"/>
        <w:ind w:firstLine="420"/>
        <w:jc w:val="left"/>
      </w:pPr>
      <w:r>
        <w:rPr>
          <w:sz w:val="21"/>
          <w:shd w:fill="FFFFFF" w:val="clear"/>
        </w:rPr>
        <w:t xml:space="preserve">8. </w:t>
      </w:r>
      <w:r>
        <w:rPr>
          <w:sz w:val="21"/>
          <w:shd w:fill="FFFFFF" w:val="clear"/>
        </w:rPr>
        <w:t>请供应商提供所投产品的节能（水）产品认证证书或环境标志产品认证证书。</w:t>
      </w:r>
    </w:p>
    <w:p>
      <w:pPr>
        <w:pStyle w:val="null3"/>
        <w:ind w:left="360"/>
        <w:jc w:val="left"/>
      </w:pPr>
      <w:r>
        <w:rPr>
          <w:sz w:val="21"/>
          <w:shd w:fill="FFFFFF" w:val="clear"/>
        </w:rPr>
        <w:t xml:space="preserve"> </w:t>
      </w:r>
    </w:p>
    <w:p>
      <w:pPr>
        <w:pStyle w:val="null3"/>
        <w:ind w:left="360"/>
        <w:jc w:val="left"/>
      </w:pPr>
      <w:r>
        <w:rPr>
          <w:sz w:val="21"/>
          <w:shd w:fill="FFFFFF" w:val="clear"/>
        </w:rPr>
        <w:t>节能产品说明：</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37"/>
        <w:gridCol w:w="594"/>
        <w:gridCol w:w="585"/>
        <w:gridCol w:w="1110"/>
        <w:gridCol w:w="682"/>
        <w:gridCol w:w="603"/>
        <w:gridCol w:w="734"/>
        <w:gridCol w:w="542"/>
        <w:gridCol w:w="804"/>
        <w:gridCol w:w="970"/>
        <w:gridCol w:w="1162"/>
      </w:tblGrid>
      <w:tr>
        <w:tc>
          <w:tcPr>
            <w:tcW w:type="dxa" w:w="43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序号</w:t>
            </w:r>
          </w:p>
        </w:tc>
        <w:tc>
          <w:tcPr>
            <w:tcW w:type="dxa" w:w="59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产品名称</w:t>
            </w:r>
          </w:p>
          <w:p>
            <w:pPr>
              <w:pStyle w:val="null3"/>
              <w:spacing w:after="165"/>
              <w:jc w:val="center"/>
            </w:pPr>
          </w:p>
        </w:tc>
        <w:tc>
          <w:tcPr>
            <w:tcW w:type="dxa" w:w="585"/>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11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对应《分项报价表》序号</w:t>
            </w:r>
          </w:p>
          <w:p>
            <w:pPr>
              <w:pStyle w:val="null3"/>
              <w:spacing w:after="165"/>
              <w:jc w:val="center"/>
            </w:pPr>
            <w:r>
              <w:rPr>
                <w:sz w:val="21"/>
              </w:rPr>
              <w:t>（如为工程项目，则填写工程量清单表格名称及对应的序号）</w:t>
            </w:r>
          </w:p>
        </w:tc>
        <w:tc>
          <w:tcPr>
            <w:tcW w:type="dxa" w:w="68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产品品牌</w:t>
            </w:r>
          </w:p>
          <w:p>
            <w:pPr>
              <w:pStyle w:val="null3"/>
              <w:spacing w:after="165"/>
              <w:jc w:val="center"/>
            </w:pPr>
            <w:r>
              <w:rPr>
                <w:sz w:val="21"/>
              </w:rPr>
              <w:t>（如有）</w:t>
            </w:r>
          </w:p>
        </w:tc>
        <w:tc>
          <w:tcPr>
            <w:tcW w:type="dxa" w:w="603"/>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所投产品型号</w:t>
            </w:r>
          </w:p>
        </w:tc>
        <w:tc>
          <w:tcPr>
            <w:tcW w:type="dxa" w:w="7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认证证书上的认证型号</w:t>
            </w:r>
          </w:p>
          <w:p>
            <w:pPr>
              <w:pStyle w:val="null3"/>
              <w:spacing w:after="165"/>
              <w:jc w:val="center"/>
            </w:pPr>
          </w:p>
        </w:tc>
        <w:tc>
          <w:tcPr>
            <w:tcW w:type="dxa" w:w="54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认证证书所在页码</w:t>
            </w:r>
          </w:p>
        </w:tc>
        <w:tc>
          <w:tcPr>
            <w:tcW w:type="dxa" w:w="80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both"/>
            </w:pPr>
            <w:r>
              <w:rPr>
                <w:sz w:val="21"/>
              </w:rPr>
              <w:t>《节能产品政府采购品目清单》所依据的标准</w:t>
            </w:r>
          </w:p>
        </w:tc>
        <w:tc>
          <w:tcPr>
            <w:tcW w:type="dxa" w:w="97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both"/>
            </w:pPr>
            <w:r>
              <w:rPr>
                <w:sz w:val="21"/>
              </w:rPr>
              <w:t>认证证书上的认证标准</w:t>
            </w:r>
          </w:p>
        </w:tc>
        <w:tc>
          <w:tcPr>
            <w:tcW w:type="dxa" w:w="116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产品报价（元）</w:t>
            </w:r>
          </w:p>
          <w:p>
            <w:pPr>
              <w:pStyle w:val="null3"/>
              <w:spacing w:after="165"/>
              <w:jc w:val="center"/>
            </w:pPr>
          </w:p>
        </w:tc>
      </w:tr>
      <w:tr>
        <w:tc>
          <w:tcPr>
            <w:tcW w:type="dxa" w:w="8223"/>
            <w:gridSpan w:val="11"/>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（一）强制节能产品（即</w:t>
            </w:r>
            <w:r>
              <w:rPr>
                <w:sz w:val="21"/>
              </w:rPr>
              <w:t>《节能产品政府采购品目清单》中标注“★”的产品</w:t>
            </w:r>
            <w:r>
              <w:rPr>
                <w:sz w:val="21"/>
              </w:rPr>
              <w:t>）</w:t>
            </w:r>
          </w:p>
        </w:tc>
      </w:tr>
      <w:tr>
        <w:tc>
          <w:tcPr>
            <w:tcW w:type="dxa" w:w="43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1</w:t>
            </w:r>
          </w:p>
        </w:tc>
        <w:tc>
          <w:tcPr>
            <w:tcW w:type="dxa" w:w="59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5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8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03"/>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7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54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8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97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62"/>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强制节能产品，不享受价格扣除或技术加分，故此处无须填报价格</w:t>
            </w:r>
          </w:p>
        </w:tc>
      </w:tr>
      <w:tr>
        <w:tc>
          <w:tcPr>
            <w:tcW w:type="dxa" w:w="43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2</w:t>
            </w:r>
          </w:p>
        </w:tc>
        <w:tc>
          <w:tcPr>
            <w:tcW w:type="dxa" w:w="59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5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8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03"/>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7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54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8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97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62"/>
            <w:vMerge/>
            <w:tcBorders>
              <w:top w:val="none" w:color="000000" w:sz="4"/>
              <w:left w:val="none" w:color="000000" w:sz="4"/>
              <w:bottom w:val="single" w:color="000000" w:sz="4"/>
              <w:right w:val="single" w:color="000000" w:sz="4"/>
            </w:tcBorders>
          </w:tcPr>
          <w:p/>
        </w:tc>
      </w:tr>
      <w:tr>
        <w:tc>
          <w:tcPr>
            <w:tcW w:type="dxa" w:w="43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59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5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8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03"/>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7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54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8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97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62"/>
            <w:vMerge/>
            <w:tcBorders>
              <w:top w:val="none" w:color="000000" w:sz="4"/>
              <w:left w:val="none" w:color="000000" w:sz="4"/>
              <w:bottom w:val="single" w:color="000000" w:sz="4"/>
              <w:right w:val="single" w:color="000000" w:sz="4"/>
            </w:tcBorders>
          </w:tcPr>
          <w:p/>
        </w:tc>
      </w:tr>
      <w:tr>
        <w:tc>
          <w:tcPr>
            <w:tcW w:type="dxa" w:w="8223"/>
            <w:gridSpan w:val="11"/>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（二）优先采购节能产品（即</w:t>
            </w:r>
            <w:r>
              <w:rPr>
                <w:sz w:val="21"/>
              </w:rPr>
              <w:t>《节能产品政府采购品目清单》中未标注“★”的产品</w:t>
            </w:r>
            <w:r>
              <w:rPr>
                <w:sz w:val="21"/>
              </w:rPr>
              <w:t>）</w:t>
            </w:r>
          </w:p>
        </w:tc>
      </w:tr>
      <w:tr>
        <w:tc>
          <w:tcPr>
            <w:tcW w:type="dxa" w:w="43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r>
              <w:rPr>
                <w:sz w:val="21"/>
              </w:rPr>
              <w:t>1</w:t>
            </w:r>
          </w:p>
        </w:tc>
        <w:tc>
          <w:tcPr>
            <w:tcW w:type="dxa" w:w="59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5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8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03"/>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7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54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8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97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6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43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59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5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8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03"/>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7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54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8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97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6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43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59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c>
          <w:tcPr>
            <w:tcW w:type="dxa" w:w="5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8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603"/>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7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54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8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97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16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4745"/>
            <w:gridSpan w:val="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优先节能产品价格合计</w:t>
            </w:r>
          </w:p>
        </w:tc>
        <w:tc>
          <w:tcPr>
            <w:tcW w:type="dxa" w:w="3478"/>
            <w:gridSpan w:val="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spacing w:after="165"/>
              <w:jc w:val="center"/>
            </w:pPr>
          </w:p>
        </w:tc>
      </w:tr>
    </w:tbl>
    <w:p>
      <w:pPr>
        <w:pStyle w:val="null3"/>
        <w:jc w:val="right"/>
      </w:pPr>
      <w:r>
        <w:rPr>
          <w:sz w:val="21"/>
          <w:shd w:fill="FFFFFF" w:val="clear"/>
        </w:rPr>
        <w:t xml:space="preserve"> </w:t>
      </w:r>
    </w:p>
    <w:p>
      <w:pPr>
        <w:pStyle w:val="null3"/>
        <w:spacing w:after="165"/>
        <w:ind w:firstLine="480"/>
        <w:jc w:val="right"/>
      </w:pPr>
      <w:r>
        <w:rPr>
          <w:sz w:val="21"/>
          <w:shd w:fill="FFFFFF" w:val="clear"/>
        </w:rPr>
        <w:t xml:space="preserve"> </w:t>
      </w:r>
    </w:p>
    <w:p>
      <w:pPr>
        <w:pStyle w:val="null3"/>
        <w:spacing w:after="165"/>
        <w:ind w:firstLine="480"/>
        <w:jc w:val="right"/>
      </w:pPr>
      <w:r>
        <w:rPr>
          <w:sz w:val="21"/>
          <w:shd w:fill="FFFFFF" w:val="clear"/>
        </w:rPr>
        <w:t>供应商名称（盖章）：__________________</w:t>
      </w:r>
    </w:p>
    <w:p>
      <w:pPr>
        <w:pStyle w:val="null3"/>
        <w:spacing w:after="165"/>
        <w:ind w:firstLine="480"/>
        <w:jc w:val="right"/>
      </w:pPr>
      <w:r>
        <w:rPr>
          <w:sz w:val="21"/>
          <w:shd w:fill="FFFFFF" w:val="clear"/>
        </w:rPr>
        <w:t>日期：年月日</w:t>
      </w:r>
    </w:p>
    <w:p>
      <w:pPr>
        <w:pStyle w:val="null3"/>
      </w:pPr>
      <w:r>
        <w:rPr/>
        <w:t>采购包1（广东财经大学教学科研重大设备更新项目）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施工及设备安装调试工作需在签订合同后3个月内完成</w:t>
            </w:r>
          </w:p>
        </w:tc>
      </w:tr>
      <w:tr>
        <w:tc>
          <w:tcPr>
            <w:tcW w:type="dxa" w:w="4153"/>
          </w:tcPr>
          <w:p>
            <w:pPr>
              <w:pStyle w:val="null3"/>
            </w:pPr>
            <w:r>
              <w:rPr/>
              <w:t>标的提供的地点</w:t>
            </w:r>
          </w:p>
        </w:tc>
        <w:tc>
          <w:tcPr>
            <w:tcW w:type="dxa" w:w="4153"/>
          </w:tcPr>
          <w:p>
            <w:pPr>
              <w:pStyle w:val="null3"/>
            </w:pPr>
            <w:r>
              <w:rPr/>
              <w:t>广东财经大学用户指定地点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、其他</w:t>
            </w:r>
          </w:p>
          <w:p>
            <w:pPr>
              <w:pStyle w:val="null3"/>
            </w:pPr>
            <w:r>
              <w:rPr/>
              <w:t>账号：44050143190100000072</w:t>
            </w:r>
          </w:p>
          <w:p>
            <w:pPr>
              <w:pStyle w:val="null3"/>
            </w:pPr>
            <w:r>
              <w:rPr/>
              <w:t>户名：广东财经大学</w:t>
            </w:r>
          </w:p>
          <w:p>
            <w:pPr>
              <w:pStyle w:val="null3"/>
            </w:pPr>
            <w:r>
              <w:rPr/>
              <w:t>开户行：中国建设银行广州赤岗支行</w:t>
            </w:r>
          </w:p>
          <w:p>
            <w:pPr>
              <w:pStyle w:val="null3"/>
            </w:pPr>
            <w:r>
              <w:rPr/>
              <w:t>说明：</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服务器</w:t>
            </w:r>
          </w:p>
        </w:tc>
        <w:tc>
          <w:tcPr>
            <w:tcW w:type="dxa" w:w="831"/>
          </w:tcPr>
          <w:p>
            <w:pPr>
              <w:pStyle w:val="null3"/>
              <w:jc w:val="left"/>
            </w:pPr>
            <w:r>
              <w:rPr/>
              <w:t>GPU服务器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网络存储设备</w:t>
            </w:r>
          </w:p>
        </w:tc>
        <w:tc>
          <w:tcPr>
            <w:tcW w:type="dxa" w:w="831"/>
          </w:tcPr>
          <w:p>
            <w:pPr>
              <w:pStyle w:val="null3"/>
              <w:jc w:val="left"/>
            </w:pPr>
            <w:r>
              <w:rPr/>
              <w:t>存储系统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服务器</w:t>
            </w:r>
          </w:p>
        </w:tc>
        <w:tc>
          <w:tcPr>
            <w:tcW w:type="dxa" w:w="831"/>
          </w:tcPr>
          <w:p>
            <w:pPr>
              <w:pStyle w:val="null3"/>
              <w:jc w:val="left"/>
            </w:pPr>
            <w:r>
              <w:rPr/>
              <w:t>调度软件管理机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支撑软件</w:t>
            </w:r>
          </w:p>
        </w:tc>
        <w:tc>
          <w:tcPr>
            <w:tcW w:type="dxa" w:w="831"/>
          </w:tcPr>
          <w:p>
            <w:pPr>
              <w:pStyle w:val="null3"/>
              <w:jc w:val="left"/>
            </w:pPr>
            <w:r>
              <w:rPr/>
              <w:t>AI调度平台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服务器</w:t>
            </w:r>
          </w:p>
        </w:tc>
        <w:tc>
          <w:tcPr>
            <w:tcW w:type="dxa" w:w="831"/>
          </w:tcPr>
          <w:p>
            <w:pPr>
              <w:pStyle w:val="null3"/>
              <w:jc w:val="left"/>
            </w:pPr>
            <w:r>
              <w:rPr/>
              <w:t>调度软件登录机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交换设备</w:t>
            </w:r>
          </w:p>
        </w:tc>
        <w:tc>
          <w:tcPr>
            <w:tcW w:type="dxa" w:w="831"/>
          </w:tcPr>
          <w:p>
            <w:pPr>
              <w:pStyle w:val="null3"/>
              <w:jc w:val="left"/>
            </w:pPr>
            <w:r>
              <w:rPr/>
              <w:t>200G ROCE高速网络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交换设备</w:t>
            </w:r>
          </w:p>
        </w:tc>
        <w:tc>
          <w:tcPr>
            <w:tcW w:type="dxa" w:w="831"/>
          </w:tcPr>
          <w:p>
            <w:pPr>
              <w:pStyle w:val="null3"/>
              <w:jc w:val="left"/>
            </w:pPr>
            <w:r>
              <w:rPr/>
              <w:t>25G交换机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服务器</w:t>
            </w:r>
          </w:p>
        </w:tc>
        <w:tc>
          <w:tcPr>
            <w:tcW w:type="dxa" w:w="831"/>
          </w:tcPr>
          <w:p>
            <w:pPr>
              <w:pStyle w:val="null3"/>
              <w:jc w:val="left"/>
            </w:pPr>
            <w:r>
              <w:rPr/>
              <w:t>登录管理服务器</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服务器</w:t>
            </w:r>
          </w:p>
        </w:tc>
        <w:tc>
          <w:tcPr>
            <w:tcW w:type="dxa" w:w="831"/>
          </w:tcPr>
          <w:p>
            <w:pPr>
              <w:pStyle w:val="null3"/>
              <w:jc w:val="left"/>
            </w:pPr>
            <w:r>
              <w:rPr/>
              <w:t>机箱</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服务器</w:t>
            </w:r>
          </w:p>
        </w:tc>
        <w:tc>
          <w:tcPr>
            <w:tcW w:type="dxa" w:w="831"/>
          </w:tcPr>
          <w:p>
            <w:pPr>
              <w:pStyle w:val="null3"/>
              <w:jc w:val="left"/>
            </w:pPr>
            <w:r>
              <w:rPr/>
              <w:t>高密度服务器</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支撑软件</w:t>
            </w:r>
          </w:p>
        </w:tc>
        <w:tc>
          <w:tcPr>
            <w:tcW w:type="dxa" w:w="831"/>
          </w:tcPr>
          <w:p>
            <w:pPr>
              <w:pStyle w:val="null3"/>
              <w:jc w:val="left"/>
            </w:pPr>
            <w:r>
              <w:rPr/>
              <w:t>超融合平台授权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服务器</w:t>
            </w:r>
          </w:p>
        </w:tc>
        <w:tc>
          <w:tcPr>
            <w:tcW w:type="dxa" w:w="831"/>
          </w:tcPr>
          <w:p>
            <w:pPr>
              <w:pStyle w:val="null3"/>
              <w:jc w:val="left"/>
            </w:pPr>
            <w:r>
              <w:rPr/>
              <w:t>图形处理服务器1</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服务器</w:t>
            </w:r>
          </w:p>
        </w:tc>
        <w:tc>
          <w:tcPr>
            <w:tcW w:type="dxa" w:w="831"/>
          </w:tcPr>
          <w:p>
            <w:pPr>
              <w:pStyle w:val="null3"/>
              <w:jc w:val="left"/>
            </w:pPr>
            <w:r>
              <w:rPr/>
              <w:t>图形处理服务器2</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服务器</w:t>
            </w:r>
          </w:p>
        </w:tc>
        <w:tc>
          <w:tcPr>
            <w:tcW w:type="dxa" w:w="831"/>
          </w:tcPr>
          <w:p>
            <w:pPr>
              <w:pStyle w:val="null3"/>
              <w:jc w:val="left"/>
            </w:pPr>
            <w:r>
              <w:rPr/>
              <w:t>四路服务器</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网络存储设备</w:t>
            </w:r>
          </w:p>
        </w:tc>
        <w:tc>
          <w:tcPr>
            <w:tcW w:type="dxa" w:w="831"/>
          </w:tcPr>
          <w:p>
            <w:pPr>
              <w:pStyle w:val="null3"/>
              <w:jc w:val="left"/>
            </w:pPr>
            <w:r>
              <w:rPr/>
              <w:t>备份一体机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支撑软件</w:t>
            </w:r>
          </w:p>
        </w:tc>
        <w:tc>
          <w:tcPr>
            <w:tcW w:type="dxa" w:w="831"/>
          </w:tcPr>
          <w:p>
            <w:pPr>
              <w:pStyle w:val="null3"/>
              <w:jc w:val="left"/>
            </w:pPr>
            <w:r>
              <w:rPr/>
              <w:t>存储监控软件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交换设备</w:t>
            </w:r>
          </w:p>
        </w:tc>
        <w:tc>
          <w:tcPr>
            <w:tcW w:type="dxa" w:w="831"/>
          </w:tcPr>
          <w:p>
            <w:pPr>
              <w:pStyle w:val="null3"/>
              <w:jc w:val="left"/>
            </w:pPr>
            <w:r>
              <w:rPr/>
              <w:t>IB交换机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信息化设备零部件</w:t>
            </w:r>
          </w:p>
        </w:tc>
        <w:tc>
          <w:tcPr>
            <w:tcW w:type="dxa" w:w="831"/>
          </w:tcPr>
          <w:p>
            <w:pPr>
              <w:pStyle w:val="null3"/>
              <w:jc w:val="left"/>
            </w:pPr>
            <w:r>
              <w:rPr/>
              <w:t>IB线缆</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交换设备</w:t>
            </w:r>
          </w:p>
        </w:tc>
        <w:tc>
          <w:tcPr>
            <w:tcW w:type="dxa" w:w="831"/>
          </w:tcPr>
          <w:p>
            <w:pPr>
              <w:pStyle w:val="null3"/>
              <w:jc w:val="left"/>
            </w:pPr>
            <w:r>
              <w:rPr/>
              <w:t>万兆交换机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信息化设备零部件</w:t>
            </w:r>
          </w:p>
        </w:tc>
        <w:tc>
          <w:tcPr>
            <w:tcW w:type="dxa" w:w="831"/>
          </w:tcPr>
          <w:p>
            <w:pPr>
              <w:pStyle w:val="null3"/>
              <w:jc w:val="left"/>
            </w:pPr>
            <w:r>
              <w:rPr/>
              <w:t>万兆光模块</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交换设备</w:t>
            </w:r>
          </w:p>
        </w:tc>
        <w:tc>
          <w:tcPr>
            <w:tcW w:type="dxa" w:w="831"/>
          </w:tcPr>
          <w:p>
            <w:pPr>
              <w:pStyle w:val="null3"/>
              <w:jc w:val="left"/>
            </w:pPr>
            <w:r>
              <w:rPr/>
              <w:t>千兆交换机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支撑软件</w:t>
            </w:r>
          </w:p>
        </w:tc>
        <w:tc>
          <w:tcPr>
            <w:tcW w:type="dxa" w:w="831"/>
          </w:tcPr>
          <w:p>
            <w:pPr>
              <w:pStyle w:val="null3"/>
              <w:jc w:val="left"/>
            </w:pPr>
            <w:r>
              <w:rPr/>
              <w:t>高性能集群管理软件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专用制冷空调设备</w:t>
            </w:r>
          </w:p>
        </w:tc>
        <w:tc>
          <w:tcPr>
            <w:tcW w:type="dxa" w:w="831"/>
          </w:tcPr>
          <w:p>
            <w:pPr>
              <w:pStyle w:val="null3"/>
              <w:jc w:val="left"/>
            </w:pPr>
            <w:r>
              <w:rPr/>
              <w:t>精密空调</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bl>
    <w:p>
      <w:pPr>
        <w:pStyle w:val="null3"/>
      </w:pPr>
      <w:r>
        <w:rPr>
          <w:b/>
        </w:rPr>
        <w:t>附表</w:t>
      </w:r>
      <w:r>
        <w:rPr>
          <w:b/>
        </w:rPr>
        <w:t>一</w:t>
      </w:r>
      <w:r>
        <w:rPr>
          <w:b/>
        </w:rPr>
        <w:t>：</w:t>
      </w:r>
      <w:r>
        <w:rPr>
          <w:b/>
        </w:rPr>
        <w:t>GPU服务器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存储系统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调度软件管理机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AI调度平台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调度软件登录机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200G ROCE高速网络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25G交换机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登录管理服务器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机箱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高密度服务器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超融合平台授权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图形处理服务器1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图形处理服务器2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四路服务器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备份一体机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存储监控软件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IB交换机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IB线缆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万兆交换机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万兆光模块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千兆交换机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二十二</w:t>
      </w:r>
      <w:r>
        <w:rPr>
          <w:b/>
        </w:rPr>
        <w:t>：</w:t>
      </w:r>
      <w:r>
        <w:rPr>
          <w:b/>
        </w:rPr>
        <w:t>高性能集群管理软件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二十三</w:t>
      </w:r>
      <w:r>
        <w:rPr>
          <w:b/>
        </w:rPr>
        <w:t>：</w:t>
      </w:r>
      <w:r>
        <w:rPr>
          <w:b/>
        </w:rPr>
        <w:t>精密空调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广东财经大学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采购机构代理服务收费标准：按照中标总金额以差额定率累进法（如下表）计算后再乘以78.2%折扣率收取： 中标金额 （百万元） 1以下 1-5 5-10 10-50 50-100 100-1000 1000以上 费率 1.5% 1.1% 0.8% 0.5% 0.25% 0.05% 0.01%</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评审中出现下列情形之一的，评标委员会（评审小组）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评审委员会基于专业判断，认为供应商报价过低，有可能影响产品质量或者不能诚信履约的其他情形。 评标委员会（评审小组）启动异常低价投标（响应）审查后，应当要求相关供应商在评审现场合理的时间内提供书面说明及必要的证明材料，对投标（响应）价格作出解释。如供应商为厂家，则对主要材料选材方式及价格分析、生产人工费用、损耗、厂房费用、设备折旧、包装、运输、售后服务、税金、利润、代理服务费等各项费用组成进行分析说明；如供应商非生产厂家的，则按上述各项费用组成提供厂家及供应商的成本分析说明。分析说明应逐一提供佐证材料，包括但不限于：①主要材料的采购合同或报价清单；②人员工资明细表及银行工资转帐凭证；③自有厂房的提供房产证明，租赁厂房的提供租赁合同及发票，委托生产的提供委托生产合同。④生产设备购置合同或租赁合同，如委托生产的，提供委托生产合同。⑤以往同类产品的合同及中标（成交）通知书（或交易发票）。 注：上述罗列的费用，如实际并未发生，则无须提供对应的成本分析及证明材料，但供应商应提供说明。 被启动异常低价审查的供应商，如果不提供书面说明、证明材料，或者提供的书面说明、证明材料不能证明其报价合理性的，应当将其作为无效投标（响应）处理。通过异常低价审查的不足3家，不得进入详细评审。</w:t>
            </w:r>
          </w:p>
          <w:p>
            <w:pPr>
              <w:pStyle w:val="null3"/>
              <w:jc w:val="left"/>
            </w:pPr>
            <w:r>
              <w:rPr/>
              <w:t>本国产品价格扣除相关要求，政府采购活动中既有本国产品又有非本国产品参与竞争的，依法给予价格评审优惠。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财经大学教学科研重大设备更新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采购包1（广东财经大学教学科研重大设备更新项目）：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3</w:t>
            </w:r>
          </w:p>
        </w:tc>
        <w:tc>
          <w:tcPr>
            <w:tcW w:type="dxa" w:w="2160"/>
          </w:tcPr>
          <w:p>
            <w:pPr>
              <w:pStyle w:val="null3"/>
              <w:jc w:val="left"/>
            </w:pPr>
            <w:r>
              <w:rPr/>
              <w:t>实施本国产品标准</w:t>
            </w:r>
          </w:p>
        </w:tc>
        <w:tc>
          <w:tcPr>
            <w:tcW w:type="dxa" w:w="2160"/>
          </w:tcPr>
          <w:p>
            <w:pPr>
              <w:pStyle w:val="null3"/>
              <w:jc w:val="left"/>
            </w:pP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tc>
        <w:tc>
          <w:tcPr>
            <w:tcW w:type="dxa" w:w="1246"/>
          </w:tcPr>
          <w:p>
            <w:pPr>
              <w:pStyle w:val="null3"/>
            </w:pPr>
            <w:r>
              <w:rPr/>
              <w:t>20%</w:t>
            </w:r>
          </w:p>
        </w:tc>
        <w:tc>
          <w:tcPr>
            <w:tcW w:type="dxa" w:w="2160"/>
          </w:tcPr>
          <w:p>
            <w:pPr>
              <w:pStyle w:val="null3"/>
              <w:jc w:val="left"/>
            </w:pPr>
            <w:r>
              <w:rPr/>
              <w:t>政府采购活动中既有本国产品又有非本国产品参与竞争的，依法对本国产品给予价格评审优惠，对本国产品的报价给予20%的价格扣除，用扣除后的价格参与评审。 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异常低价审查。政府采购评审中出现采购文件明确的异常低价情形，评审委员会应当启动异常低价投标（响应）审查程序。</w:t>
      </w:r>
    </w:p>
    <w:p>
      <w:pPr>
        <w:pStyle w:val="null3"/>
        <w:ind w:firstLine="480"/>
      </w:pPr>
      <w:r>
        <w:rPr/>
        <w:t>评审委员会启动异常低价投标（响应）审查后，应当要求相关供应商在评审现场合理的时间内对投标（响应）价格作出解释，提供项目具体成本测算等与报价合理性相关的书面说明及必要的证明材料，包括但不限于原材料成本、人工成本、制造费用等。</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对各投标人进行资格审查、符合性审查、异常低价审查过程中，对初步被认定为无效投标者，由评标委员会组长或采购人代表将集体意见及时告知投标当事人。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采购包1（广东财经大学教学科研重大设备更新项目）：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2024年度或2025年度经会计师事务所审计的财务状况报告；2.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采购包1（广东财经大学教学科研重大设备更新项目）：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1.投标（报价）总金额是固定价且是唯一的，未超过本项目（包组）采购预算。</w:t>
            </w:r>
          </w:p>
        </w:tc>
        <w:tc>
          <w:tcPr>
            <w:tcW w:type="dxa" w:w="4238"/>
          </w:tcPr>
          <w:p>
            <w:pPr>
              <w:pStyle w:val="null3"/>
            </w:pPr>
            <w:r>
              <w:rPr/>
              <w:t>1.投标（报价）总金额是固定价且是唯一的，未超过本项目（包组）采购预算。</w:t>
            </w:r>
          </w:p>
        </w:tc>
      </w:tr>
      <w:tr>
        <w:tc>
          <w:tcPr>
            <w:tcW w:type="dxa" w:w="890"/>
          </w:tcPr>
          <w:p>
            <w:pPr>
              <w:pStyle w:val="null3"/>
            </w:pPr>
            <w:r>
              <w:rPr/>
              <w:t>2</w:t>
            </w:r>
          </w:p>
        </w:tc>
        <w:tc>
          <w:tcPr>
            <w:tcW w:type="dxa" w:w="3178"/>
          </w:tcPr>
          <w:p>
            <w:pPr>
              <w:pStyle w:val="null3"/>
            </w:pPr>
            <w:r>
              <w:rPr/>
              <w:t>2.对标的没有报价漏项。</w:t>
            </w:r>
          </w:p>
        </w:tc>
        <w:tc>
          <w:tcPr>
            <w:tcW w:type="dxa" w:w="4238"/>
          </w:tcPr>
          <w:p>
            <w:pPr>
              <w:pStyle w:val="null3"/>
            </w:pPr>
            <w:r>
              <w:rPr/>
              <w:t>2.对标的没有报价漏项。</w:t>
            </w:r>
          </w:p>
        </w:tc>
      </w:tr>
      <w:tr>
        <w:tc>
          <w:tcPr>
            <w:tcW w:type="dxa" w:w="890"/>
          </w:tcPr>
          <w:p>
            <w:pPr>
              <w:pStyle w:val="null3"/>
            </w:pPr>
            <w:r>
              <w:rPr/>
              <w:t>3</w:t>
            </w:r>
          </w:p>
        </w:tc>
        <w:tc>
          <w:tcPr>
            <w:tcW w:type="dxa" w:w="3178"/>
          </w:tcPr>
          <w:p>
            <w:pPr>
              <w:pStyle w:val="null3"/>
            </w:pPr>
            <w:r>
              <w:rPr/>
              <w:t>3.未以进口产品投标。</w:t>
            </w:r>
          </w:p>
        </w:tc>
        <w:tc>
          <w:tcPr>
            <w:tcW w:type="dxa" w:w="4238"/>
          </w:tcPr>
          <w:p>
            <w:pPr>
              <w:pStyle w:val="null3"/>
            </w:pPr>
            <w:r>
              <w:rPr/>
              <w:t>3.未以进口产品投标。</w:t>
            </w:r>
          </w:p>
        </w:tc>
      </w:tr>
      <w:tr>
        <w:tc>
          <w:tcPr>
            <w:tcW w:type="dxa" w:w="890"/>
          </w:tcPr>
          <w:p>
            <w:pPr>
              <w:pStyle w:val="null3"/>
            </w:pPr>
            <w:r>
              <w:rPr/>
              <w:t>4</w:t>
            </w:r>
          </w:p>
        </w:tc>
        <w:tc>
          <w:tcPr>
            <w:tcW w:type="dxa" w:w="3178"/>
          </w:tcPr>
          <w:p>
            <w:pPr>
              <w:pStyle w:val="null3"/>
            </w:pPr>
            <w:r>
              <w:rPr/>
              <w:t>4.提交投标函。投标函按规定格式填写，内容完整。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4.提交投标函。投标函按规定格式填写，内容完整。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5.“★”号条款满足招标文件要求。</w:t>
            </w:r>
          </w:p>
        </w:tc>
        <w:tc>
          <w:tcPr>
            <w:tcW w:type="dxa" w:w="4238"/>
          </w:tcPr>
          <w:p>
            <w:pPr>
              <w:pStyle w:val="null3"/>
            </w:pPr>
            <w:r>
              <w:rPr/>
              <w:t>5.“★”号条款满足招标文件要求。</w:t>
            </w:r>
          </w:p>
        </w:tc>
      </w:tr>
      <w:tr>
        <w:tc>
          <w:tcPr>
            <w:tcW w:type="dxa" w:w="890"/>
          </w:tcPr>
          <w:p>
            <w:pPr>
              <w:pStyle w:val="null3"/>
            </w:pPr>
            <w:r>
              <w:rPr/>
              <w:t>6</w:t>
            </w:r>
          </w:p>
        </w:tc>
        <w:tc>
          <w:tcPr>
            <w:tcW w:type="dxa" w:w="3178"/>
          </w:tcPr>
          <w:p>
            <w:pPr>
              <w:pStyle w:val="null3"/>
            </w:pPr>
            <w:r>
              <w:rPr/>
              <w:t>6.投标文件未含有采购人不可接受的附加条件。</w:t>
            </w:r>
          </w:p>
        </w:tc>
        <w:tc>
          <w:tcPr>
            <w:tcW w:type="dxa" w:w="4238"/>
          </w:tcPr>
          <w:p>
            <w:pPr>
              <w:pStyle w:val="null3"/>
            </w:pPr>
            <w:r>
              <w:rPr/>
              <w:t>6.投标文件未含有采购人不可接受的附加条件。</w:t>
            </w:r>
          </w:p>
        </w:tc>
      </w:tr>
      <w:tr>
        <w:tc>
          <w:tcPr>
            <w:tcW w:type="dxa" w:w="890"/>
          </w:tcPr>
          <w:p>
            <w:pPr>
              <w:pStyle w:val="null3"/>
            </w:pPr>
            <w:r>
              <w:rPr/>
              <w:t>7</w:t>
            </w:r>
          </w:p>
        </w:tc>
        <w:tc>
          <w:tcPr>
            <w:tcW w:type="dxa" w:w="3178"/>
          </w:tcPr>
          <w:p>
            <w:pPr>
              <w:pStyle w:val="null3"/>
            </w:pPr>
            <w:r>
              <w:rPr/>
              <w:t>7.如有报价修正的，投标人按规定要求书面确认。</w:t>
            </w:r>
          </w:p>
        </w:tc>
        <w:tc>
          <w:tcPr>
            <w:tcW w:type="dxa" w:w="4238"/>
          </w:tcPr>
          <w:p>
            <w:pPr>
              <w:pStyle w:val="null3"/>
            </w:pPr>
            <w:r>
              <w:rPr/>
              <w:t>7.如有报价修正的，投标人按规定要求书面确认。</w:t>
            </w:r>
          </w:p>
        </w:tc>
      </w:tr>
      <w:tr>
        <w:tc>
          <w:tcPr>
            <w:tcW w:type="dxa" w:w="890"/>
          </w:tcPr>
          <w:p>
            <w:pPr>
              <w:pStyle w:val="null3"/>
            </w:pPr>
            <w:r>
              <w:rPr/>
              <w:t>8</w:t>
            </w:r>
          </w:p>
        </w:tc>
        <w:tc>
          <w:tcPr>
            <w:tcW w:type="dxa" w:w="3178"/>
          </w:tcPr>
          <w:p>
            <w:pPr>
              <w:pStyle w:val="null3"/>
            </w:pPr>
            <w:r>
              <w:rPr/>
              <w:t>8.未出现视为投标人串标投标所列的情形。</w:t>
            </w:r>
          </w:p>
        </w:tc>
        <w:tc>
          <w:tcPr>
            <w:tcW w:type="dxa" w:w="4238"/>
          </w:tcPr>
          <w:p>
            <w:pPr>
              <w:pStyle w:val="null3"/>
            </w:pPr>
            <w:r>
              <w:rPr/>
              <w:t>8.未出现视为投标人串标投标所列的情形。</w:t>
            </w:r>
          </w:p>
        </w:tc>
      </w:tr>
      <w:tr>
        <w:tc>
          <w:tcPr>
            <w:tcW w:type="dxa" w:w="890"/>
          </w:tcPr>
          <w:p>
            <w:pPr>
              <w:pStyle w:val="null3"/>
            </w:pPr>
            <w:r>
              <w:rPr/>
              <w:t>9</w:t>
            </w:r>
          </w:p>
        </w:tc>
        <w:tc>
          <w:tcPr>
            <w:tcW w:type="dxa" w:w="3178"/>
          </w:tcPr>
          <w:p>
            <w:pPr>
              <w:pStyle w:val="null3"/>
            </w:pPr>
            <w:r>
              <w:rPr/>
              <w:t>9.投标有效期为投标截止日起不少于90天。</w:t>
            </w:r>
          </w:p>
        </w:tc>
        <w:tc>
          <w:tcPr>
            <w:tcW w:type="dxa" w:w="4238"/>
          </w:tcPr>
          <w:p>
            <w:pPr>
              <w:pStyle w:val="null3"/>
            </w:pPr>
            <w:r>
              <w:rPr/>
              <w:t>9.投标有效期为投标截止日起不少于90天。</w:t>
            </w:r>
          </w:p>
        </w:tc>
      </w:tr>
      <w:tr>
        <w:tc>
          <w:tcPr>
            <w:tcW w:type="dxa" w:w="890"/>
          </w:tcPr>
          <w:p>
            <w:pPr>
              <w:pStyle w:val="null3"/>
            </w:pPr>
            <w:r>
              <w:rPr/>
              <w:t>10</w:t>
            </w:r>
          </w:p>
        </w:tc>
        <w:tc>
          <w:tcPr>
            <w:tcW w:type="dxa" w:w="3178"/>
          </w:tcPr>
          <w:p>
            <w:pPr>
              <w:pStyle w:val="null3"/>
            </w:pPr>
            <w:r>
              <w:rPr/>
              <w:t>10. 未以联合体形式投标。</w:t>
            </w:r>
          </w:p>
        </w:tc>
        <w:tc>
          <w:tcPr>
            <w:tcW w:type="dxa" w:w="4238"/>
          </w:tcPr>
          <w:p>
            <w:pPr>
              <w:pStyle w:val="null3"/>
            </w:pPr>
            <w:r>
              <w:rPr/>
              <w:t>10. 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pPr>
      <w:r>
        <w:rPr/>
        <w:t>采购包1(广东财经大学教学科研重大设备更新项目):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带“▲”项技术参数的响应情况 (24.0分)</w:t>
            </w:r>
          </w:p>
        </w:tc>
        <w:tc>
          <w:tcPr>
            <w:tcW w:type="dxa" w:w="5076"/>
          </w:tcPr>
          <w:p>
            <w:pPr>
              <w:pStyle w:val="null3"/>
              <w:jc w:val="left"/>
            </w:pPr>
            <w:r>
              <w:rPr/>
              <w:t>▲项为重要条款，共16项，每有一项满足或优于要求得1.5分，共24分。 注： 1.技术参数按《技术和服务要求响应表》进行填写。 2.采购需求书对于技术参数有要求提供证明材料的，还须按要求提供证明材料，否则对应项不得分。为方便评审，建议在证明材料能体现技术参数处进行标识（如增加红色方框并写明对应参数名称或参数的序号）。</w:t>
            </w:r>
          </w:p>
        </w:tc>
      </w:tr>
      <w:tr>
        <w:tc>
          <w:tcPr>
            <w:tcW w:type="dxa" w:w="922"/>
            <w:gridSpan w:val="2"/>
            <w:vMerge/>
          </w:tcPr>
          <w:p/>
        </w:tc>
        <w:tc>
          <w:tcPr>
            <w:tcW w:type="dxa" w:w="2307"/>
          </w:tcPr>
          <w:p>
            <w:pPr>
              <w:pStyle w:val="null3"/>
              <w:jc w:val="left"/>
            </w:pPr>
            <w:r>
              <w:rPr/>
              <w:t>普通技术参数（非“▲”“★”项、非演示项）的响应情况 (11.5分)</w:t>
            </w:r>
          </w:p>
        </w:tc>
        <w:tc>
          <w:tcPr>
            <w:tcW w:type="dxa" w:w="5076"/>
          </w:tcPr>
          <w:p>
            <w:pPr>
              <w:pStyle w:val="null3"/>
              <w:jc w:val="left"/>
            </w:pPr>
            <w:r>
              <w:rPr/>
              <w:t>考查投标人投标产品对普通技术参数的响应程度（本项目共有23个产品，采购标的汇总表序号1-23）。每全部满足一个产品的所有普通技术参数，该产品得0.5分（如有一项（或以上）参数负偏离，则对应产品不得分），最高得 11.5分。 注： 1.技术参数按《技术和服务要求响应表》进行填写。 2.采购需求书对于技术参数有要求提供证明材料的，还须按要求提供证明材料，否则对应项不得分。为方便评审，建议在证明材料能体现技术参数处进行标识（如增加红色方框并写明对应参数名称或参数的序号）。</w:t>
            </w:r>
          </w:p>
        </w:tc>
      </w:tr>
      <w:tr>
        <w:tc>
          <w:tcPr>
            <w:tcW w:type="dxa" w:w="922"/>
            <w:gridSpan w:val="2"/>
            <w:vMerge/>
          </w:tcPr>
          <w:p/>
        </w:tc>
        <w:tc>
          <w:tcPr>
            <w:tcW w:type="dxa" w:w="2307"/>
          </w:tcPr>
          <w:p>
            <w:pPr>
              <w:pStyle w:val="null3"/>
              <w:jc w:val="left"/>
            </w:pPr>
            <w:r>
              <w:rPr/>
              <w:t>总体方案设计 (8.0分)</w:t>
            </w:r>
            <w:r>
              <w:rPr/>
              <w:t>）</w:t>
            </w:r>
          </w:p>
        </w:tc>
        <w:tc>
          <w:tcPr>
            <w:tcW w:type="dxa" w:w="5076"/>
          </w:tcPr>
          <w:p>
            <w:pPr>
              <w:pStyle w:val="null3"/>
              <w:jc w:val="left"/>
            </w:pPr>
            <w:r>
              <w:rPr/>
              <w:t>根据用户需求书“采购项目需实现的功能和目标”（ ★除外）的总体要求，投标人提供响应方案，从方案整体的技术前瞻性、安全性、系统性方面进行综合评审： 方案满足且优于项目需求的得8分; 方案完全满足项目需求的得5分； 方案不能完全适用项目需求的得2分； 其他情况不得分。</w:t>
            </w:r>
          </w:p>
        </w:tc>
      </w:tr>
      <w:tr>
        <w:tc>
          <w:tcPr>
            <w:tcW w:type="dxa" w:w="922"/>
            <w:gridSpan w:val="2"/>
            <w:vMerge/>
          </w:tcPr>
          <w:p/>
        </w:tc>
        <w:tc>
          <w:tcPr>
            <w:tcW w:type="dxa" w:w="2307"/>
          </w:tcPr>
          <w:p>
            <w:pPr>
              <w:pStyle w:val="null3"/>
              <w:jc w:val="left"/>
            </w:pPr>
            <w:r>
              <w:rPr/>
              <w:t>演示 (7.5分)</w:t>
            </w:r>
          </w:p>
        </w:tc>
        <w:tc>
          <w:tcPr>
            <w:tcW w:type="dxa" w:w="5076"/>
          </w:tcPr>
          <w:p>
            <w:pPr>
              <w:pStyle w:val="null3"/>
              <w:jc w:val="left"/>
            </w:pPr>
            <w:r>
              <w:rPr/>
              <w:t>1)、GPU监控：支持GPU的监控，可实时查看GPU的温度、使用率、处理器频率和读写带宽等性能指标; 2)、安全保障与审计：提供三员管理模块（系统管理员、安全保密管理员、安全审计管理员）实现三种管理员权限分离，三种管理权限设置相互独立，相互制约； 3)、提供分布式算力资源调度能力，支持单机多卡、多机多卡训练；支持可视化算力资源配置，可对CPU、GPU等算力资源进行配置，支持混合精度训练；支持对CPU、GPU资源的灵活分配和混合调度，支持训练资源与推理资源的独立配置与管理; 4）支持批量修改虚拟机的配置参数，包括：I/O优先级、启动优先级、是否自动迁移、CPU调度优先级、自动启动、CPU个数、内存大小、启用VNC代理等； 5）支持虚拟机桌面预览功能，无需登录虚拟机即可在虚拟化管理平台上看到虚拟机当前桌面的状态； 评审依据：投标人针对以上1至5项功能进行视频演示（提交U盘或光盘进行视频演示，不接受其他类型演示，演示时间不得超过15分钟），每满足一项得1.5分，最高得7.5分。</w:t>
            </w:r>
          </w:p>
        </w:tc>
      </w:tr>
      <w:tr>
        <w:tc>
          <w:tcPr>
            <w:tcW w:type="dxa" w:w="922"/>
            <w:gridSpan w:val="2"/>
            <w:vMerge/>
          </w:tcPr>
          <w:p/>
        </w:tc>
        <w:tc>
          <w:tcPr>
            <w:tcW w:type="dxa" w:w="2307"/>
          </w:tcPr>
          <w:p>
            <w:pPr>
              <w:pStyle w:val="null3"/>
              <w:jc w:val="left"/>
            </w:pPr>
            <w:r>
              <w:rPr/>
              <w:t>安装、调试方案 (3.0分)</w:t>
            </w:r>
            <w:r>
              <w:rPr/>
              <w:t>）</w:t>
            </w:r>
          </w:p>
        </w:tc>
        <w:tc>
          <w:tcPr>
            <w:tcW w:type="dxa" w:w="5076"/>
          </w:tcPr>
          <w:p>
            <w:pPr>
              <w:pStyle w:val="null3"/>
              <w:jc w:val="left"/>
            </w:pPr>
            <w:r>
              <w:rPr/>
              <w:t>根据用户需求书“安装、调试与培训要求”里的安装、调试要求，投标人提供响应方案（包括但不限于①项目组织管理、②人员管理、③技术管理等方面），从方案是否全面、可靠、切实可行方面进行综合评审： 方案满足且优于项目需求的得3分； 方案完全满足项目需求的得2分； 方案不能完全适用项目需求的得1分； 其他情况不得分。</w:t>
            </w:r>
          </w:p>
        </w:tc>
      </w:tr>
      <w:tr>
        <w:tc>
          <w:tcPr>
            <w:tcW w:type="dxa" w:w="922"/>
            <w:gridSpan w:val="2"/>
            <w:vMerge/>
          </w:tcPr>
          <w:p/>
        </w:tc>
        <w:tc>
          <w:tcPr>
            <w:tcW w:type="dxa" w:w="2307"/>
          </w:tcPr>
          <w:p>
            <w:pPr>
              <w:pStyle w:val="null3"/>
              <w:jc w:val="left"/>
            </w:pPr>
            <w:r>
              <w:rPr/>
              <w:t>售后服务方案 (3.0分)</w:t>
            </w:r>
            <w:r>
              <w:rPr/>
              <w:t>）</w:t>
            </w:r>
          </w:p>
        </w:tc>
        <w:tc>
          <w:tcPr>
            <w:tcW w:type="dxa" w:w="5076"/>
          </w:tcPr>
          <w:p>
            <w:pPr>
              <w:pStyle w:val="null3"/>
              <w:jc w:val="left"/>
            </w:pPr>
            <w:r>
              <w:rPr/>
              <w:t>根据用户需求书“售后服务要求”， 投标人提供响应方案（包括但不限于①产品出现问题的响应速度、解决时间、人员安排、配件更换措施、②保修服务范围、服务能力及服务标准、③售后服务承诺），从方案是否全面、可靠、切实可行方面综合评审： 方案满足且优于项目需求的得3分； 方案完全满足项目需求的得2分； 方案不能完全适用项目需求的得1分； 其他情况不得分。</w:t>
            </w:r>
          </w:p>
        </w:tc>
      </w:tr>
      <w:tr>
        <w:tc>
          <w:tcPr>
            <w:tcW w:type="dxa" w:w="922"/>
            <w:gridSpan w:val="2"/>
            <w:vMerge/>
          </w:tcPr>
          <w:p/>
        </w:tc>
        <w:tc>
          <w:tcPr>
            <w:tcW w:type="dxa" w:w="2307"/>
          </w:tcPr>
          <w:p>
            <w:pPr>
              <w:pStyle w:val="null3"/>
              <w:jc w:val="left"/>
            </w:pPr>
            <w:r>
              <w:rPr/>
              <w:t>培训方案 (3.0分)</w:t>
            </w:r>
            <w:r>
              <w:rPr/>
              <w:t>）</w:t>
            </w:r>
          </w:p>
        </w:tc>
        <w:tc>
          <w:tcPr>
            <w:tcW w:type="dxa" w:w="5076"/>
          </w:tcPr>
          <w:p>
            <w:pPr>
              <w:pStyle w:val="null3"/>
              <w:jc w:val="left"/>
            </w:pPr>
            <w:r>
              <w:rPr/>
              <w:t>根据用户需求书“安装、调试与培训要求”里的培训要求，投标人提供响应方案，（包括但不限于设备操作培训计划、设备维护及简单的设备维修培训计划），从方案是否全面、可靠、切实可行方面进行综合评审： 方案满足且优于项目需求的得3分； 方案完全满足项目需求的得2分； 方案不能完全适用项目需求的得1分； 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投标人提供2023 年以来(以合同签订时间为准)的GPU或算力服务器 业绩，每一个合同得1分，最高5分。 注：同时提供以下证明材料： （1）提供业绩清单（合同名称、业主单位名称、合同签订时间、项目简要说明、合同金额、业主联系人与联系电话） （2）提供合同关键页（合同首页、主要内容页、金额页、签字盖章页）复印件。 （3）提供乙方就该合同出具的任一期发票及该发票在税局官网查询页截图。</w:t>
            </w:r>
          </w:p>
        </w:tc>
      </w:tr>
      <w:tr>
        <w:tc>
          <w:tcPr>
            <w:tcW w:type="dxa" w:w="922"/>
            <w:gridSpan w:val="2"/>
            <w:vMerge/>
          </w:tcPr>
          <w:p/>
        </w:tc>
        <w:tc>
          <w:tcPr>
            <w:tcW w:type="dxa" w:w="2307"/>
          </w:tcPr>
          <w:p>
            <w:pPr>
              <w:pStyle w:val="null3"/>
              <w:jc w:val="left"/>
            </w:pPr>
            <w:r>
              <w:rPr/>
              <w:t>管理体系认证 (2.0分)</w:t>
            </w:r>
          </w:p>
        </w:tc>
        <w:tc>
          <w:tcPr>
            <w:tcW w:type="dxa" w:w="5076"/>
          </w:tcPr>
          <w:p>
            <w:pPr>
              <w:pStyle w:val="null3"/>
              <w:jc w:val="left"/>
            </w:pPr>
            <w:r>
              <w:rPr/>
              <w:t>1.投标人具有IS09001质量管理体系认证证书（认证范围与信息系统购置及安装相关），得1分。 2.投标人通过GB/T27922-2011商品售后服务评价体系的认证得1分。 注： 1、2项提供证书复印件，同时提供在“全国认证认可信息公共服务平台”（http://cx.cnca.cn）对体系证书的信息查询截图作为评审依据，已失效、撤销、暂停或不提供的不得分。因企业成立时间不足三个月，导致未能取得相关认证，对应评分项可得分。</w:t>
            </w:r>
          </w:p>
        </w:tc>
      </w:tr>
      <w:tr>
        <w:tc>
          <w:tcPr>
            <w:tcW w:type="dxa" w:w="922"/>
            <w:gridSpan w:val="2"/>
            <w:vMerge/>
          </w:tcPr>
          <w:p/>
        </w:tc>
        <w:tc>
          <w:tcPr>
            <w:tcW w:type="dxa" w:w="2307"/>
          </w:tcPr>
          <w:p>
            <w:pPr>
              <w:pStyle w:val="null3"/>
              <w:jc w:val="left"/>
            </w:pPr>
            <w:r>
              <w:rPr/>
              <w:t>项目负责人（1人） (1.5分)</w:t>
            </w:r>
          </w:p>
        </w:tc>
        <w:tc>
          <w:tcPr>
            <w:tcW w:type="dxa" w:w="5076"/>
          </w:tcPr>
          <w:p>
            <w:pPr>
              <w:pStyle w:val="null3"/>
              <w:jc w:val="left"/>
            </w:pPr>
            <w:r>
              <w:rPr/>
              <w:t>1.具有信息系统项目管理师（计算机技术与软件专业技术资格），得0.5分。提供证书复印件。 2.具有信息系统购置及安装工作经验，得1分。 提供工作经验证明文件（项目成果报告或合同复印件，如成果报告或合同不能体现人员姓名，须同时提供合同甲方证明文件复印件，否则不得分）。同时提供自2025年以来任意1个月投标人（含分支机构）为其缴纳的社保证明复印件（须至少体现养老保险）和投标人出具的在职工作证明（加盖公章），否则对应项不得分。 注： 1-2项除提供以下证明材料外，还须时提供自2025年以来任意1个月投标人（含分支机构）为其缴纳的社保证明复印件（须至少体现养老保险）和投标人出具的在职工作证明（加盖公章），否则对应项不得分。</w:t>
            </w:r>
          </w:p>
        </w:tc>
      </w:tr>
      <w:tr>
        <w:tc>
          <w:tcPr>
            <w:tcW w:type="dxa" w:w="922"/>
            <w:gridSpan w:val="2"/>
            <w:vMerge/>
          </w:tcPr>
          <w:p/>
        </w:tc>
        <w:tc>
          <w:tcPr>
            <w:tcW w:type="dxa" w:w="2307"/>
          </w:tcPr>
          <w:p>
            <w:pPr>
              <w:pStyle w:val="null3"/>
              <w:jc w:val="left"/>
            </w:pPr>
            <w:r>
              <w:rPr/>
              <w:t>投标人针对本项目报备团队（项目负责人除外） (1.5分)</w:t>
            </w:r>
          </w:p>
        </w:tc>
        <w:tc>
          <w:tcPr>
            <w:tcW w:type="dxa" w:w="5076"/>
          </w:tcPr>
          <w:p>
            <w:pPr>
              <w:pStyle w:val="null3"/>
              <w:jc w:val="left"/>
            </w:pPr>
            <w:r>
              <w:rPr/>
              <w:t>1.具有信息系统购置及安装工作经验，每人得0.5分，共1分。提供工作经验证明文件（项目成果报告或合同复印件，如成果报告或合同不能体现人员姓名，须同时提供合同甲方证明文件复印件，否则不得分）。 2.具有系统集成项目管理工程师（计算机技术与软件专业技术资格），每人得0.5分，共0.5分。提供证书复印件。 注：1-2项除提供以上证明材料外，还须同时提供自2025年以来任意1个月投标人（含分支机构）为其缴纳的社保证明复印件（须至少体现养老保险）和投标人出具的在职工作证明（加盖公章），否则对应项不得分。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合同编号：</w:t>
      </w:r>
    </w:p>
    <w:p>
      <w:pPr>
        <w:pStyle w:val="null3"/>
        <w:jc w:val="both"/>
      </w:pPr>
      <w:r>
        <w:rPr>
          <w:sz w:val="44"/>
          <w:b/>
        </w:rPr>
        <w:t>广东财经大学教学科研重大设备更新</w:t>
      </w:r>
    </w:p>
    <w:p>
      <w:pPr>
        <w:pStyle w:val="null3"/>
        <w:jc w:val="center"/>
      </w:pPr>
      <w:r>
        <w:rPr>
          <w:sz w:val="44"/>
          <w:b/>
        </w:rPr>
        <w:t>项目合同</w:t>
      </w:r>
    </w:p>
    <w:p>
      <w:pPr>
        <w:pStyle w:val="null3"/>
        <w:jc w:val="center"/>
      </w:pPr>
      <w:r>
        <w:rPr>
          <w:sz w:val="32"/>
          <w:b/>
        </w:rPr>
        <w:t xml:space="preserve">项目编号： </w:t>
      </w:r>
    </w:p>
    <w:p>
      <w:pPr>
        <w:pStyle w:val="null3"/>
        <w:ind w:firstLine="1327"/>
        <w:jc w:val="both"/>
      </w:pPr>
      <w:r>
        <w:rPr>
          <w:sz w:val="21"/>
          <w:b/>
        </w:rPr>
        <w:t xml:space="preserve"> </w:t>
      </w:r>
    </w:p>
    <w:p>
      <w:pPr>
        <w:pStyle w:val="null3"/>
        <w:ind w:firstLine="1327"/>
        <w:jc w:val="both"/>
      </w:pPr>
      <w:r>
        <w:rPr>
          <w:sz w:val="32"/>
          <w:b/>
        </w:rPr>
        <w:t>项目名称：</w:t>
      </w:r>
      <w:r>
        <w:rPr>
          <w:sz w:val="32"/>
          <w:u w:val="single"/>
        </w:rPr>
        <w:t>广东财经大学教学科研重大设备更新项目</w:t>
      </w:r>
    </w:p>
    <w:p>
      <w:pPr>
        <w:pStyle w:val="null3"/>
        <w:jc w:val="both"/>
      </w:pPr>
      <w:r>
        <w:rPr>
          <w:sz w:val="22"/>
        </w:rPr>
        <w:t>甲方：</w:t>
      </w:r>
      <w:r>
        <w:rPr>
          <w:sz w:val="22"/>
          <w:u w:val="single"/>
        </w:rPr>
        <w:t xml:space="preserve"> 广东财经大学  </w:t>
      </w:r>
    </w:p>
    <w:p>
      <w:pPr>
        <w:pStyle w:val="null3"/>
        <w:jc w:val="both"/>
      </w:pPr>
      <w:r>
        <w:rPr>
          <w:sz w:val="22"/>
        </w:rPr>
        <w:t>住所（地址）：</w:t>
      </w:r>
      <w:r>
        <w:rPr>
          <w:sz w:val="22"/>
          <w:u w:val="single"/>
        </w:rPr>
        <w:t xml:space="preserve"> 广东省广州市海珠区仑头路21号   </w:t>
      </w:r>
      <w:r>
        <w:rPr>
          <w:sz w:val="22"/>
        </w:rPr>
        <w:t xml:space="preserve"> </w:t>
      </w:r>
    </w:p>
    <w:p>
      <w:pPr>
        <w:pStyle w:val="null3"/>
        <w:jc w:val="both"/>
      </w:pPr>
      <w:r>
        <w:rPr>
          <w:sz w:val="22"/>
        </w:rPr>
        <w:t>法定代表人（负责人）：</w:t>
      </w:r>
      <w:r>
        <w:rPr>
          <w:sz w:val="22"/>
          <w:u w:val="single"/>
        </w:rPr>
        <w:t xml:space="preserve">             </w:t>
      </w:r>
    </w:p>
    <w:p>
      <w:pPr>
        <w:pStyle w:val="null3"/>
        <w:jc w:val="both"/>
      </w:pPr>
      <w:r>
        <w:rPr>
          <w:sz w:val="22"/>
        </w:rPr>
        <w:t>联系人及联系方式：</w:t>
      </w:r>
      <w:r>
        <w:rPr>
          <w:sz w:val="22"/>
          <w:u w:val="single"/>
        </w:rPr>
        <w:t xml:space="preserve">                  </w:t>
      </w:r>
    </w:p>
    <w:p>
      <w:pPr>
        <w:pStyle w:val="null3"/>
        <w:jc w:val="both"/>
      </w:pPr>
      <w:r>
        <w:rPr>
          <w:sz w:val="21"/>
        </w:rPr>
        <w:t xml:space="preserve">   </w:t>
      </w:r>
    </w:p>
    <w:p>
      <w:pPr>
        <w:pStyle w:val="null3"/>
        <w:jc w:val="both"/>
      </w:pPr>
      <w:r>
        <w:rPr>
          <w:sz w:val="22"/>
        </w:rPr>
        <w:t>乙方：</w:t>
      </w:r>
      <w:r>
        <w:rPr>
          <w:sz w:val="22"/>
          <w:u w:val="single"/>
        </w:rPr>
        <w:t xml:space="preserve">                     </w:t>
      </w:r>
    </w:p>
    <w:p>
      <w:pPr>
        <w:pStyle w:val="null3"/>
        <w:jc w:val="both"/>
      </w:pPr>
      <w:r>
        <w:rPr>
          <w:sz w:val="22"/>
        </w:rPr>
        <w:t>住所（地址）：</w:t>
      </w:r>
      <w:r>
        <w:rPr>
          <w:sz w:val="22"/>
          <w:u w:val="single"/>
        </w:rPr>
        <w:t xml:space="preserve">                            </w:t>
      </w:r>
    </w:p>
    <w:p>
      <w:pPr>
        <w:pStyle w:val="null3"/>
        <w:jc w:val="both"/>
      </w:pPr>
      <w:r>
        <w:rPr>
          <w:sz w:val="22"/>
        </w:rPr>
        <w:t>法定代表人（负责人） ：</w:t>
      </w:r>
      <w:r>
        <w:rPr>
          <w:sz w:val="22"/>
          <w:u w:val="single"/>
        </w:rPr>
        <w:t xml:space="preserve">             </w:t>
      </w:r>
    </w:p>
    <w:p>
      <w:pPr>
        <w:pStyle w:val="null3"/>
        <w:jc w:val="both"/>
      </w:pPr>
      <w:r>
        <w:rPr>
          <w:sz w:val="22"/>
        </w:rPr>
        <w:t>联系人及联系方式：</w:t>
      </w:r>
      <w:r>
        <w:rPr>
          <w:sz w:val="22"/>
          <w:u w:val="single"/>
        </w:rPr>
        <w:t xml:space="preserve">                  </w:t>
      </w:r>
      <w:r>
        <w:rPr>
          <w:sz w:val="22"/>
        </w:rPr>
        <w:t xml:space="preserve">                                   </w:t>
      </w:r>
    </w:p>
    <w:p>
      <w:pPr>
        <w:pStyle w:val="null3"/>
        <w:ind w:firstLine="480"/>
        <w:jc w:val="both"/>
      </w:pPr>
      <w:r>
        <w:rPr>
          <w:sz w:val="22"/>
        </w:rPr>
        <w:t>根据</w:t>
      </w:r>
      <w:r>
        <w:rPr>
          <w:sz w:val="22"/>
          <w:u w:val="single"/>
        </w:rPr>
        <w:t xml:space="preserve">  广东财经大学教学科研重大设备更新项目（项目编号：         ）</w:t>
      </w:r>
      <w:r>
        <w:rPr>
          <w:sz w:val="22"/>
        </w:rPr>
        <w:t>项目的采购结果，按照《中华人民共和国政府采购法》《中华人民共和国民法典》的规定，经双方协商，本着平等互利和诚实信用的原则，一致同意签订本合同如下。</w:t>
      </w:r>
    </w:p>
    <w:p>
      <w:pPr>
        <w:pStyle w:val="null3"/>
        <w:ind w:firstLine="480"/>
        <w:jc w:val="both"/>
      </w:pPr>
      <w:r>
        <w:rPr>
          <w:sz w:val="22"/>
        </w:rPr>
        <w:t>本项目为交钥匙工程，乙方须向甲方提供项目完整建设方案，并承诺对本项目的货物、运输、安装、服务、配套工程实行一体化交付，补齐其他必要设备、配件、线材等。</w:t>
      </w:r>
    </w:p>
    <w:p>
      <w:pPr>
        <w:pStyle w:val="null3"/>
        <w:spacing w:before="150" w:after="150"/>
        <w:jc w:val="both"/>
        <w:outlineLvl w:val="0"/>
      </w:pPr>
      <w:r>
        <w:rPr>
          <w:sz w:val="22"/>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497"/>
        <w:gridCol w:w="1007"/>
        <w:gridCol w:w="1739"/>
        <w:gridCol w:w="1608"/>
        <w:gridCol w:w="640"/>
        <w:gridCol w:w="1111"/>
        <w:gridCol w:w="1098"/>
        <w:gridCol w:w="614"/>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序号</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分项名称</w:t>
            </w:r>
          </w:p>
        </w:tc>
        <w:tc>
          <w:tcPr>
            <w:tcW w:type="dxa" w:w="17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品牌、规格型号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制造商/产地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数量/单位</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单价（元）</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合计（元）</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备注</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GPU</w:t>
            </w:r>
            <w:r>
              <w:rPr>
                <w:sz w:val="22"/>
              </w:rPr>
              <w:t>服务器</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存储系统</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调度软件管理机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3</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AI</w:t>
            </w:r>
            <w:r>
              <w:rPr>
                <w:sz w:val="22"/>
              </w:rPr>
              <w:t>调度平台</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调度软件登录机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200G ROCE</w:t>
            </w:r>
            <w:r>
              <w:rPr>
                <w:sz w:val="22"/>
              </w:rPr>
              <w:t>高速网络</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25G</w:t>
            </w:r>
            <w:r>
              <w:rPr>
                <w:sz w:val="22"/>
              </w:rPr>
              <w:t>交换机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登录管理服务器</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10</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机箱</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10</w:t>
            </w:r>
            <w:r>
              <w:rPr>
                <w:sz w:val="22"/>
              </w:rPr>
              <w:t>个</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高密度服务器</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10</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超融合平台授权</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图形处理服务器1</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图形处理服务器2</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8</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四路服务器</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10</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备份一体机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存储监控软件</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IB</w:t>
            </w:r>
            <w:r>
              <w:rPr>
                <w:sz w:val="22"/>
              </w:rPr>
              <w:t>交换机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IB</w:t>
            </w:r>
            <w:r>
              <w:rPr>
                <w:sz w:val="22"/>
              </w:rPr>
              <w:t>线缆</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万兆交换机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万兆光模块</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千兆交换机</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高性能集群管理软件</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r>
              <w:rPr>
                <w:sz w:val="22"/>
              </w:rPr>
              <w:t>套</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精密空调</w:t>
            </w: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r>
              <w:rPr>
                <w:sz w:val="22"/>
              </w:rPr>
              <w:t>台</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49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合计：人民币大写：   元整</w:t>
            </w:r>
          </w:p>
        </w:tc>
        <w:tc>
          <w:tcPr>
            <w:tcW w:type="dxa" w:w="28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outlineLvl w:val="0"/>
      </w:pPr>
      <w:r>
        <w:rPr>
          <w:sz w:val="22"/>
          <w:b/>
        </w:rPr>
        <w:t>二、合同金额</w:t>
      </w:r>
    </w:p>
    <w:p>
      <w:pPr>
        <w:pStyle w:val="null3"/>
        <w:ind w:firstLine="440"/>
        <w:jc w:val="both"/>
      </w:pPr>
      <w:r>
        <w:rPr>
          <w:sz w:val="22"/>
        </w:rPr>
        <w:t>合同金额为人民币（大写）</w:t>
      </w:r>
      <w:r>
        <w:rPr>
          <w:sz w:val="22"/>
          <w:u w:val="single"/>
        </w:rPr>
        <w:t>：          元整</w:t>
      </w:r>
      <w:r>
        <w:rPr>
          <w:sz w:val="22"/>
        </w:rPr>
        <w:t>（</w:t>
      </w:r>
      <w:r>
        <w:rPr>
          <w:sz w:val="22"/>
          <w:u w:val="single"/>
        </w:rPr>
        <w:t>¥       ）       。</w:t>
      </w:r>
      <w:r>
        <w:rPr>
          <w:sz w:val="22"/>
        </w:rPr>
        <w:t>合同总额包括但不限于货物、服务、系统、设计、安装、配套工程、随机零配件、标配工具、运输保险、调试、培训、质保期服务、各项税费及合同实施过程中不可预见费用等。</w:t>
      </w:r>
    </w:p>
    <w:p>
      <w:pPr>
        <w:pStyle w:val="null3"/>
        <w:spacing w:before="150" w:after="150"/>
        <w:jc w:val="both"/>
        <w:outlineLvl w:val="0"/>
      </w:pPr>
      <w:r>
        <w:rPr>
          <w:sz w:val="22"/>
          <w:b/>
        </w:rPr>
        <w:t>三、付款方式及条件</w:t>
      </w:r>
    </w:p>
    <w:p>
      <w:pPr>
        <w:pStyle w:val="null3"/>
        <w:ind w:firstLine="440"/>
        <w:jc w:val="both"/>
      </w:pPr>
      <w:r>
        <w:rPr>
          <w:sz w:val="22"/>
        </w:rPr>
        <w:t>（一）合同总价：人民币含税：</w:t>
      </w:r>
      <w:r>
        <w:rPr>
          <w:sz w:val="22"/>
          <w:u w:val="single"/>
        </w:rPr>
        <w:t>￥   ，</w:t>
      </w:r>
      <w:r>
        <w:rPr>
          <w:sz w:val="22"/>
        </w:rPr>
        <w:t>大写：</w:t>
      </w:r>
      <w:r>
        <w:rPr>
          <w:sz w:val="22"/>
          <w:u w:val="single"/>
        </w:rPr>
        <w:t>人民币        元整</w:t>
      </w:r>
    </w:p>
    <w:p>
      <w:pPr>
        <w:pStyle w:val="null3"/>
        <w:ind w:firstLine="440"/>
        <w:jc w:val="both"/>
      </w:pPr>
      <w:r>
        <w:rPr>
          <w:sz w:val="22"/>
        </w:rPr>
        <w:t>（二）支付方式：</w:t>
      </w:r>
    </w:p>
    <w:p>
      <w:pPr>
        <w:pStyle w:val="null3"/>
        <w:ind w:firstLine="440"/>
        <w:jc w:val="both"/>
      </w:pPr>
      <w:r>
        <w:rPr>
          <w:sz w:val="22"/>
        </w:rPr>
        <w:t>1</w:t>
      </w:r>
      <w:r>
        <w:rPr>
          <w:sz w:val="22"/>
        </w:rPr>
        <w:t>、合同签订后5个工作日内，乙方交纳合同总价金额5%到甲方单位账户作为履约保证金（采用银行转账、支票、汇票、本票、银行保函非现金形式提交）。</w:t>
      </w:r>
    </w:p>
    <w:p>
      <w:pPr>
        <w:pStyle w:val="null3"/>
        <w:ind w:firstLine="440"/>
        <w:jc w:val="both"/>
      </w:pPr>
      <w:r>
        <w:rPr>
          <w:sz w:val="22"/>
        </w:rPr>
        <w:t>2</w:t>
      </w:r>
      <w:r>
        <w:rPr>
          <w:sz w:val="22"/>
        </w:rPr>
        <w:t>、合同签订后，甲方凭乙方提供的相应金额的增值税专用发票，在10个工作日内支付合同总价的30%。</w:t>
      </w:r>
    </w:p>
    <w:p>
      <w:pPr>
        <w:pStyle w:val="null3"/>
        <w:ind w:firstLine="440"/>
        <w:jc w:val="both"/>
      </w:pPr>
      <w:r>
        <w:rPr>
          <w:sz w:val="22"/>
        </w:rPr>
        <w:t>3</w:t>
      </w:r>
      <w:r>
        <w:rPr>
          <w:sz w:val="22"/>
        </w:rPr>
        <w:t>、项目通过初步验收合格后，甲方凭乙方提供的相应金额的增值税专用发票，在10个工作日内支付不超过合同总价的30%。</w:t>
      </w:r>
    </w:p>
    <w:p>
      <w:pPr>
        <w:pStyle w:val="null3"/>
        <w:ind w:firstLine="440"/>
        <w:jc w:val="both"/>
      </w:pPr>
      <w:r>
        <w:rPr>
          <w:sz w:val="22"/>
        </w:rPr>
        <w:t>4</w:t>
      </w:r>
      <w:r>
        <w:rPr>
          <w:sz w:val="22"/>
        </w:rPr>
        <w:t>、项目通过最终验收合格后，甲方凭乙方提供的相应金额的增值税专用发票，在10个工作日内支付合同剩余尾款。</w:t>
      </w:r>
    </w:p>
    <w:p>
      <w:pPr>
        <w:pStyle w:val="null3"/>
        <w:ind w:firstLine="440"/>
        <w:jc w:val="both"/>
      </w:pPr>
      <w:r>
        <w:rPr>
          <w:sz w:val="22"/>
        </w:rPr>
        <w:t>5</w:t>
      </w:r>
      <w:r>
        <w:rPr>
          <w:sz w:val="22"/>
        </w:rPr>
        <w:t>、履约保证金在验收合格后，甲方凭乙方提供的收据，15个工作日内甲方无息退还；在合同履行过程中如乙方出现违约行为甲方有权没收履约保证金。</w:t>
      </w:r>
    </w:p>
    <w:p>
      <w:pPr>
        <w:pStyle w:val="null3"/>
        <w:spacing w:before="150" w:after="150"/>
        <w:jc w:val="both"/>
        <w:outlineLvl w:val="0"/>
      </w:pPr>
      <w:r>
        <w:rPr>
          <w:sz w:val="22"/>
          <w:b/>
        </w:rPr>
        <w:t>四、货物要求</w:t>
      </w:r>
    </w:p>
    <w:p>
      <w:pPr>
        <w:pStyle w:val="null3"/>
        <w:ind w:firstLine="440"/>
        <w:jc w:val="both"/>
      </w:pPr>
      <w:r>
        <w:rPr>
          <w:sz w:val="22"/>
        </w:rPr>
        <w:t>1</w:t>
      </w:r>
      <w:r>
        <w:rPr>
          <w:sz w:val="22"/>
        </w:rPr>
        <w:t>、乙方应保证提供的货物质量必须符合国家强制性产品认证标准及行业通用技术规范，并满足招标文件中规定的技术参数与性能要求。产品供货时需随设备装箱提供制造厂的设备检验、测试报告、设备检验合格证书、质量保证书和保修书等证明文件。</w:t>
      </w:r>
    </w:p>
    <w:p>
      <w:pPr>
        <w:pStyle w:val="null3"/>
        <w:ind w:firstLine="440"/>
        <w:jc w:val="both"/>
      </w:pPr>
      <w:r>
        <w:rPr>
          <w:sz w:val="22"/>
        </w:rPr>
        <w:t>2</w:t>
      </w:r>
      <w:r>
        <w:rPr>
          <w:sz w:val="22"/>
        </w:rPr>
        <w:t>、乙方应保证所供货物须是全新的、未使用过的货物。乙方须确保设备及所有配套件的完整性和可靠性。对设备正常运行必需的未列明配件，乙方应主动补充提供，相关费用视为已包含在合同总价中。</w:t>
      </w:r>
    </w:p>
    <w:p>
      <w:pPr>
        <w:pStyle w:val="null3"/>
        <w:ind w:firstLine="440"/>
        <w:jc w:val="both"/>
      </w:pPr>
      <w:r>
        <w:rPr>
          <w:sz w:val="22"/>
        </w:rPr>
        <w:t>3</w:t>
      </w:r>
      <w:r>
        <w:rPr>
          <w:sz w:val="22"/>
        </w:rPr>
        <w:t>、若乙方所提供货物性能未达投标承诺或技术参数与招标要求出现偏离时，甲方有权：①拒收并要求乙方进行赔偿。②要求乙方7个工作日内进行更换。③按合同总额每日0.5%向乙方收取违约金。④整改产生的运输、检测、误工等费用由乙方全额承担。.⑤乙方为保障项目整体性额外提供的配套设备、设施、材料及相关施工，须符合行业现行最新标准和合同要求。如因该部分内容质量不达标、安装不当引发事故、质量问题及损失的，由乙方承担全部责任，甲方有权向其索赔。</w:t>
      </w:r>
    </w:p>
    <w:p>
      <w:pPr>
        <w:pStyle w:val="null3"/>
        <w:ind w:firstLine="440"/>
        <w:jc w:val="left"/>
      </w:pPr>
      <w:r>
        <w:rPr>
          <w:sz w:val="22"/>
        </w:rPr>
        <w:t>4</w:t>
      </w:r>
      <w:r>
        <w:rPr>
          <w:sz w:val="22"/>
        </w:rPr>
        <w:t>、项目整体交付后须经使用部门试用至少1个月以上，如试用中有问题须限时整改，试用期相应顺延。货物试用无问题后，经过甲方组织的验收通过，共同签署验收报告。</w:t>
      </w:r>
    </w:p>
    <w:p>
      <w:pPr>
        <w:pStyle w:val="null3"/>
        <w:ind w:firstLine="440"/>
        <w:jc w:val="left"/>
      </w:pPr>
      <w:r>
        <w:rPr>
          <w:sz w:val="22"/>
        </w:rPr>
        <w:t>5</w:t>
      </w:r>
      <w:r>
        <w:rPr>
          <w:sz w:val="22"/>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40"/>
        <w:jc w:val="left"/>
      </w:pPr>
      <w:r>
        <w:rPr>
          <w:sz w:val="22"/>
        </w:rPr>
        <w:t>6</w:t>
      </w:r>
      <w:r>
        <w:rPr>
          <w:sz w:val="22"/>
        </w:rPr>
        <w:t>、乙方须将货物的整套技术资料包括设备说明书、使用手册及其它相关技术资料（应有中文解释）等交给甲方。</w:t>
      </w:r>
    </w:p>
    <w:p>
      <w:pPr>
        <w:pStyle w:val="null3"/>
        <w:spacing w:before="150" w:after="150"/>
        <w:jc w:val="both"/>
        <w:outlineLvl w:val="0"/>
      </w:pPr>
      <w:r>
        <w:rPr>
          <w:sz w:val="22"/>
          <w:b/>
        </w:rPr>
        <w:t>五、交货期、交货方式及交货地点</w:t>
      </w:r>
    </w:p>
    <w:p>
      <w:pPr>
        <w:pStyle w:val="null3"/>
        <w:ind w:firstLine="440"/>
        <w:jc w:val="both"/>
      </w:pPr>
      <w:r>
        <w:rPr>
          <w:sz w:val="22"/>
        </w:rPr>
        <w:t>1</w:t>
      </w:r>
      <w:r>
        <w:rPr>
          <w:sz w:val="22"/>
        </w:rPr>
        <w:t>、施工地点：广东财经大学甲方指定地点；</w:t>
      </w:r>
    </w:p>
    <w:p>
      <w:pPr>
        <w:pStyle w:val="null3"/>
        <w:ind w:firstLine="440"/>
        <w:jc w:val="both"/>
      </w:pPr>
      <w:r>
        <w:rPr>
          <w:sz w:val="22"/>
        </w:rPr>
        <w:t>2</w:t>
      </w:r>
      <w:r>
        <w:rPr>
          <w:sz w:val="22"/>
        </w:rPr>
        <w:t>、施工期：施工及设备安装调试工作必须在签订合同后3个月内完成。</w:t>
      </w:r>
    </w:p>
    <w:p>
      <w:pPr>
        <w:pStyle w:val="null3"/>
        <w:spacing w:before="150" w:after="150"/>
        <w:jc w:val="both"/>
        <w:outlineLvl w:val="0"/>
      </w:pPr>
      <w:r>
        <w:rPr>
          <w:sz w:val="22"/>
          <w:b/>
        </w:rPr>
        <w:t>六、安全生产要求</w:t>
      </w:r>
    </w:p>
    <w:p>
      <w:pPr>
        <w:pStyle w:val="null3"/>
        <w:ind w:firstLine="440"/>
        <w:jc w:val="both"/>
      </w:pPr>
      <w:r>
        <w:rPr>
          <w:sz w:val="22"/>
        </w:rPr>
        <w:t>1</w:t>
      </w:r>
      <w:r>
        <w:rPr>
          <w:sz w:val="22"/>
        </w:rPr>
        <w:t>、安装施工期间，项目安全生产责任由乙方负责，并接受甲方监督。乙方须严格遵守甲方所在单位的有关制度，做好相关的安全防护、安全警示工作，乙方必须将安全生产责任落实到人，采取有效措施，防止意外伤亡和其他安全事故发生，并承担相关安全生产直接责任。如因乙方原因造成甲方或第三方人身伤害或财产损失的，乙方应依法承担全部赔偿责任。</w:t>
      </w:r>
    </w:p>
    <w:p>
      <w:pPr>
        <w:pStyle w:val="null3"/>
        <w:ind w:firstLine="440"/>
        <w:jc w:val="both"/>
      </w:pPr>
      <w:r>
        <w:rPr>
          <w:sz w:val="22"/>
        </w:rPr>
        <w:t>2</w:t>
      </w:r>
      <w:r>
        <w:rPr>
          <w:sz w:val="22"/>
        </w:rPr>
        <w:t>、乙方在安排相关人员进行施工活动时，应确保相关人员取得相应资质条件，并依法取得相应资质证书，禁止无资质或资质过期的人员从事施工安装活动。</w:t>
      </w:r>
    </w:p>
    <w:p>
      <w:pPr>
        <w:pStyle w:val="null3"/>
        <w:ind w:firstLine="440"/>
        <w:jc w:val="both"/>
      </w:pPr>
      <w:r>
        <w:rPr>
          <w:sz w:val="22"/>
        </w:rPr>
        <w:t>3</w:t>
      </w:r>
      <w:r>
        <w:rPr>
          <w:sz w:val="22"/>
        </w:rPr>
        <w:t>、本项目质量应当符合国家、行业最新标准和设计要求，因项目质量问题所造成意外事故和损失，乙方依法承担相关赔偿责任和法律责任。</w:t>
      </w:r>
    </w:p>
    <w:p>
      <w:pPr>
        <w:pStyle w:val="null3"/>
        <w:ind w:firstLine="440"/>
        <w:jc w:val="both"/>
      </w:pPr>
      <w:r>
        <w:rPr>
          <w:sz w:val="22"/>
        </w:rPr>
        <w:t>4</w:t>
      </w:r>
      <w:r>
        <w:rPr>
          <w:sz w:val="22"/>
        </w:rPr>
        <w:t>、 其他重要事项说明或要求</w:t>
      </w:r>
    </w:p>
    <w:p>
      <w:pPr>
        <w:pStyle w:val="null3"/>
        <w:ind w:firstLine="440"/>
        <w:jc w:val="both"/>
      </w:pPr>
      <w:r>
        <w:rPr>
          <w:sz w:val="22"/>
        </w:rPr>
        <w:t>乙方须文明施工、爱护现场其它设施。交付使用前要清理现场，废料垃圾由乙方负责清运出校园区域，不得留下任何垃圾，做到现场整洁、货物干净。</w:t>
      </w:r>
    </w:p>
    <w:p>
      <w:pPr>
        <w:pStyle w:val="null3"/>
        <w:spacing w:before="150" w:after="150"/>
        <w:jc w:val="both"/>
        <w:outlineLvl w:val="0"/>
      </w:pPr>
      <w:r>
        <w:rPr>
          <w:sz w:val="22"/>
          <w:b/>
        </w:rPr>
        <w:t>七、安装、调试与培训要求</w:t>
      </w:r>
    </w:p>
    <w:p>
      <w:pPr>
        <w:pStyle w:val="null3"/>
        <w:ind w:firstLine="442"/>
        <w:jc w:val="both"/>
      </w:pPr>
      <w:r>
        <w:rPr>
          <w:sz w:val="22"/>
          <w:b/>
        </w:rPr>
        <w:t>（一）投入安装、调试人员要求</w:t>
      </w:r>
    </w:p>
    <w:p>
      <w:pPr>
        <w:pStyle w:val="null3"/>
        <w:ind w:firstLine="440"/>
        <w:jc w:val="both"/>
      </w:pPr>
      <w:r>
        <w:rPr>
          <w:sz w:val="22"/>
        </w:rPr>
        <w:t>1</w:t>
      </w:r>
      <w:r>
        <w:rPr>
          <w:sz w:val="22"/>
        </w:rPr>
        <w:t>、项目负责人（1人）：具有信息系统项目管理师（计算机技术与软件专业技术资格）；具有信息系统购置及安装工作经验。</w:t>
      </w:r>
    </w:p>
    <w:p>
      <w:pPr>
        <w:pStyle w:val="null3"/>
        <w:ind w:firstLine="440"/>
        <w:jc w:val="both"/>
      </w:pPr>
      <w:r>
        <w:rPr>
          <w:sz w:val="22"/>
        </w:rPr>
        <w:t>2</w:t>
      </w:r>
      <w:r>
        <w:rPr>
          <w:sz w:val="22"/>
        </w:rPr>
        <w:t>、乙方针对本项目报备团队（项目负责人除外）：具有信息系统购置及安装工作经验；具有系统集成项目管理工程师（计算机技术与软件专业技术资格）。</w:t>
      </w:r>
    </w:p>
    <w:p>
      <w:pPr>
        <w:pStyle w:val="null3"/>
        <w:ind w:firstLine="442"/>
        <w:jc w:val="both"/>
      </w:pPr>
      <w:r>
        <w:rPr>
          <w:sz w:val="22"/>
          <w:b/>
        </w:rPr>
        <w:t>（二）安装、调试与培训要求</w:t>
      </w:r>
    </w:p>
    <w:p>
      <w:pPr>
        <w:pStyle w:val="null3"/>
        <w:ind w:firstLine="440"/>
        <w:jc w:val="both"/>
      </w:pPr>
      <w:r>
        <w:rPr>
          <w:sz w:val="22"/>
        </w:rPr>
        <w:t>1</w:t>
      </w:r>
      <w:r>
        <w:rPr>
          <w:sz w:val="22"/>
        </w:rPr>
        <w:t>、送货、安装施工期间，货物的保管由乙方负责。</w:t>
      </w:r>
    </w:p>
    <w:p>
      <w:pPr>
        <w:pStyle w:val="null3"/>
        <w:ind w:firstLine="440"/>
        <w:jc w:val="both"/>
      </w:pPr>
      <w:r>
        <w:rPr>
          <w:sz w:val="22"/>
        </w:rPr>
        <w:t>2</w:t>
      </w:r>
      <w:r>
        <w:rPr>
          <w:sz w:val="22"/>
        </w:rPr>
        <w:t>、所有货物交货后的拆箱、安装、调试等各项工作由乙方负责，但必须在甲方指定人员的参与下按甲方要求进行。</w:t>
      </w:r>
    </w:p>
    <w:p>
      <w:pPr>
        <w:pStyle w:val="null3"/>
        <w:ind w:firstLine="440"/>
        <w:jc w:val="both"/>
      </w:pPr>
      <w:r>
        <w:rPr>
          <w:sz w:val="22"/>
        </w:rPr>
        <w:t>3</w:t>
      </w:r>
      <w:r>
        <w:rPr>
          <w:sz w:val="22"/>
        </w:rPr>
        <w:t>、本项目施工全过程，乙方须严格遵循国家、行业及地方现行施工安全相关标准、规范、规程及招标人安全管理规定，落实安全施工责任制，确保施工安全。施工期间乙方不得损坏甲方的设备设施，否则原价赔偿。</w:t>
      </w:r>
    </w:p>
    <w:p>
      <w:pPr>
        <w:pStyle w:val="null3"/>
        <w:ind w:firstLine="440"/>
        <w:jc w:val="both"/>
      </w:pPr>
      <w:r>
        <w:rPr>
          <w:sz w:val="22"/>
        </w:rPr>
        <w:t>4</w:t>
      </w:r>
      <w:r>
        <w:rPr>
          <w:sz w:val="22"/>
        </w:rPr>
        <w:t>、乙方负责上门对甲方管理技术人员进行免费的系统项目培训和应用技术培训，提供相应的培训资料（包括纸质资料、电子文档和视频等），培训人数、时间、地点由甲方确定。</w:t>
      </w:r>
    </w:p>
    <w:p>
      <w:pPr>
        <w:pStyle w:val="null3"/>
        <w:spacing w:before="150" w:after="150"/>
        <w:jc w:val="both"/>
        <w:outlineLvl w:val="0"/>
      </w:pPr>
      <w:r>
        <w:rPr>
          <w:sz w:val="22"/>
          <w:b/>
        </w:rPr>
        <w:t>八、质保期及售后服务要求</w:t>
      </w:r>
    </w:p>
    <w:p>
      <w:pPr>
        <w:pStyle w:val="null3"/>
        <w:jc w:val="both"/>
      </w:pPr>
      <w:r>
        <w:rPr>
          <w:sz w:val="22"/>
          <w:b/>
        </w:rPr>
        <w:t>（一）质保期</w:t>
      </w:r>
    </w:p>
    <w:p>
      <w:pPr>
        <w:pStyle w:val="null3"/>
        <w:ind w:firstLine="440"/>
        <w:jc w:val="both"/>
      </w:pPr>
      <w:r>
        <w:rPr>
          <w:sz w:val="22"/>
        </w:rPr>
        <w:t>1</w:t>
      </w:r>
      <w:r>
        <w:rPr>
          <w:sz w:val="22"/>
        </w:rPr>
        <w:t>、本项目中的所有货物提供至少</w:t>
      </w:r>
      <w:r>
        <w:rPr>
          <w:sz w:val="22"/>
          <w:u w:val="single"/>
        </w:rPr>
        <w:t>3</w:t>
      </w:r>
      <w:r>
        <w:rPr>
          <w:sz w:val="22"/>
        </w:rPr>
        <w:t>年质保（若国家或生产厂家对本项目所涉及货物的质保期的规定高于本项目的要求，应按国家或生产厂家的规定执行）。投标时提供乙方承诺函并加盖公章。</w:t>
      </w:r>
    </w:p>
    <w:p>
      <w:pPr>
        <w:pStyle w:val="null3"/>
        <w:ind w:firstLine="440"/>
        <w:jc w:val="both"/>
      </w:pPr>
      <w:r>
        <w:rPr>
          <w:sz w:val="22"/>
        </w:rPr>
        <w:t>2</w:t>
      </w:r>
      <w:r>
        <w:rPr>
          <w:sz w:val="22"/>
        </w:rPr>
        <w:t>、质保期内提供免费上门服务（含部件、人力、上门等），质保期自项目验收合格之日起计算。</w:t>
      </w:r>
    </w:p>
    <w:p>
      <w:pPr>
        <w:pStyle w:val="null3"/>
        <w:ind w:firstLine="440"/>
        <w:jc w:val="both"/>
      </w:pPr>
      <w:r>
        <w:rPr>
          <w:sz w:val="22"/>
        </w:rPr>
        <w:t>3</w:t>
      </w:r>
      <w:r>
        <w:rPr>
          <w:sz w:val="22"/>
        </w:rPr>
        <w:t>、质保期内，甲方所购设备发生非人为故障，乙方应上门维修。如不能完全修复，则应更换不低于原规格型号的新部件或设备,设备在验收合格后头三个月内发生故障,乙方须无条件更换同一档次的设备。</w:t>
      </w:r>
    </w:p>
    <w:p>
      <w:pPr>
        <w:pStyle w:val="null3"/>
        <w:ind w:firstLine="440"/>
        <w:jc w:val="both"/>
      </w:pPr>
      <w:r>
        <w:rPr>
          <w:sz w:val="22"/>
        </w:rPr>
        <w:t>4</w:t>
      </w:r>
      <w:r>
        <w:rPr>
          <w:sz w:val="22"/>
        </w:rPr>
        <w:t>、质保期内，同一硬件一个月内连续2次出现同一故障，乙方须更换不低于原规格型号的设备或部件。</w:t>
      </w:r>
    </w:p>
    <w:p>
      <w:pPr>
        <w:pStyle w:val="null3"/>
        <w:jc w:val="both"/>
      </w:pPr>
      <w:r>
        <w:rPr>
          <w:sz w:val="22"/>
          <w:b/>
        </w:rPr>
        <w:t>（二）售后服务要求</w:t>
      </w:r>
    </w:p>
    <w:p>
      <w:pPr>
        <w:pStyle w:val="null3"/>
        <w:ind w:firstLine="440"/>
        <w:jc w:val="both"/>
      </w:pPr>
      <w:r>
        <w:rPr>
          <w:sz w:val="22"/>
        </w:rPr>
        <w:t>1</w:t>
      </w:r>
      <w:r>
        <w:rPr>
          <w:sz w:val="22"/>
        </w:rPr>
        <w:t>、项目验收通过之日起，乙方提供1人每周5天*8小时GPU算力驻场服务，服务期限3年，服务人员须具有计算机类本科或以上学历，二年或以上相关工作经验。(经过甲方考核后方可入场)</w:t>
      </w:r>
    </w:p>
    <w:p>
      <w:pPr>
        <w:pStyle w:val="null3"/>
        <w:ind w:firstLine="440"/>
        <w:jc w:val="both"/>
      </w:pPr>
      <w:r>
        <w:rPr>
          <w:sz w:val="22"/>
        </w:rPr>
        <w:t>2</w:t>
      </w:r>
      <w:r>
        <w:rPr>
          <w:sz w:val="22"/>
        </w:rPr>
        <w:t>、提供常设7天×24小时热线服务和长期的免费技术支持。对甲方的服务通知，4小时内到达现场，24小时内处理完毕。若主要设备的故障在24小时内仍未处理完毕，乙方须免费提供相同等档次的设备临时使用或采取应急措施解决，不得影响甲方的正常工作业务。</w:t>
      </w:r>
    </w:p>
    <w:p>
      <w:pPr>
        <w:pStyle w:val="null3"/>
        <w:ind w:firstLine="440"/>
        <w:jc w:val="both"/>
      </w:pPr>
      <w:r>
        <w:rPr>
          <w:sz w:val="22"/>
        </w:rPr>
        <w:t>3</w:t>
      </w:r>
      <w:r>
        <w:rPr>
          <w:sz w:val="22"/>
        </w:rPr>
        <w:t>、质保期满后，乙方应负责设备的维修，并保证以最优惠的价格提供零备件和保养服务，当发生故障时，乙方应按质保期内同样的要求进行维修处理。</w:t>
      </w:r>
    </w:p>
    <w:p>
      <w:pPr>
        <w:pStyle w:val="null3"/>
        <w:spacing w:before="150" w:after="150"/>
        <w:jc w:val="both"/>
        <w:outlineLvl w:val="0"/>
      </w:pPr>
      <w:r>
        <w:rPr>
          <w:sz w:val="22"/>
          <w:b/>
        </w:rPr>
        <w:t>九</w:t>
      </w:r>
      <w:r>
        <w:rPr>
          <w:sz w:val="22"/>
          <w:b/>
        </w:rPr>
        <w:t>、验收</w:t>
      </w:r>
    </w:p>
    <w:p>
      <w:pPr>
        <w:pStyle w:val="null3"/>
        <w:ind w:firstLine="440"/>
        <w:jc w:val="both"/>
      </w:pPr>
      <w:r>
        <w:rPr>
          <w:sz w:val="22"/>
        </w:rPr>
        <w:t>1</w:t>
      </w:r>
      <w:r>
        <w:rPr>
          <w:sz w:val="22"/>
        </w:rPr>
        <w:t>、项目验收前，乙方将随产品配送而来并且尚未使用的配件以及各类文档资料用箱子归类整理好移交给甲方管理部门（以设备产品的装箱单为准）。</w:t>
      </w:r>
    </w:p>
    <w:p>
      <w:pPr>
        <w:pStyle w:val="null3"/>
        <w:ind w:firstLine="440"/>
        <w:jc w:val="both"/>
      </w:pPr>
      <w:r>
        <w:rPr>
          <w:sz w:val="22"/>
        </w:rPr>
        <w:t>2</w:t>
      </w:r>
      <w:r>
        <w:rPr>
          <w:sz w:val="22"/>
        </w:rPr>
        <w:t>、项目整体交付后须经使用部门试用至少1个月以上，如试用中有问题须限时整改，试用期相应顺延。货物试用无问题后，经过甲方组织的验收通过，共同签署验收报告，产品质保期自双方共同签署验收报告之日起算。由乙方提供产品保修文件。若设备验收时有关技术参数因乙方原因不能满足招标文件技术要求,甲方有权要求更换，同时有权要求赔偿，所产生的一切费用由乙方全部承担。</w:t>
      </w:r>
    </w:p>
    <w:p>
      <w:pPr>
        <w:pStyle w:val="null3"/>
        <w:ind w:firstLine="440"/>
        <w:jc w:val="both"/>
      </w:pPr>
      <w:r>
        <w:rPr>
          <w:sz w:val="22"/>
        </w:rPr>
        <w:t>3</w:t>
      </w:r>
      <w:r>
        <w:rPr>
          <w:sz w:val="22"/>
        </w:rPr>
        <w:t>、乙方的检验部门在项目实施过程中和完工后，应按项目招标文件所要求的标准和规范，进行各项具体的检验和试验，提出检验报告，并对检验报告的准确性负责，以便甲方进行监理，交货时提供质量合格证书。</w:t>
      </w:r>
    </w:p>
    <w:p>
      <w:pPr>
        <w:pStyle w:val="null3"/>
        <w:ind w:firstLine="440"/>
        <w:jc w:val="both"/>
      </w:pPr>
      <w:r>
        <w:rPr>
          <w:sz w:val="22"/>
        </w:rPr>
        <w:t>4</w:t>
      </w:r>
      <w:r>
        <w:rPr>
          <w:sz w:val="22"/>
        </w:rPr>
        <w:t>、甲方组成验收小组按国家有关规定、规范进行验收，必要时邀请相关专业人员或机构参与验收。因货物质量问题发生争议时，由本地质量技术监督部门鉴定。若鉴定结果显示货物符合质量技术标准的，鉴定费由甲方承担；若不符合，则鉴定费由乙方承担。</w:t>
      </w:r>
    </w:p>
    <w:p>
      <w:pPr>
        <w:pStyle w:val="null3"/>
        <w:ind w:firstLine="440"/>
        <w:jc w:val="both"/>
      </w:pPr>
      <w:r>
        <w:rPr>
          <w:sz w:val="22"/>
        </w:rPr>
        <w:t>5</w:t>
      </w:r>
      <w:r>
        <w:rPr>
          <w:sz w:val="22"/>
        </w:rPr>
        <w:t>、乙方须将货物的整套技术资料包括设备说明书、使用手册及其它相关技术资料（应有中文解释）等交给甲方。</w:t>
      </w:r>
    </w:p>
    <w:p>
      <w:pPr>
        <w:pStyle w:val="null3"/>
        <w:spacing w:before="150" w:after="150"/>
        <w:jc w:val="both"/>
        <w:outlineLvl w:val="0"/>
      </w:pPr>
      <w:r>
        <w:rPr>
          <w:sz w:val="22"/>
          <w:b/>
        </w:rPr>
        <w:t>十</w:t>
      </w:r>
      <w:r>
        <w:rPr>
          <w:sz w:val="22"/>
          <w:b/>
        </w:rPr>
        <w:t>、违约责任与赔偿损失</w:t>
      </w:r>
    </w:p>
    <w:p>
      <w:pPr>
        <w:pStyle w:val="null3"/>
        <w:spacing w:before="150" w:after="150"/>
        <w:jc w:val="both"/>
        <w:outlineLvl w:val="0"/>
      </w:pPr>
      <w:r>
        <w:rPr>
          <w:sz w:val="22"/>
          <w:b/>
        </w:rPr>
        <w:t>1、乙方交付的货物、提供的服务不符合招标文件、投标文件或合同规定的，甲方将予以拒收并要求乙方整改，乙方在收到整改通知书后15天内须提供符合招标文件、投标文件或合同规定的货物或服务。整改期满后仍无法提供符合招标文件、投标文件或合同规定的货物或服务的，甲方有权解除合同，乙方须向甲方支付本合同总价10%的违约金,并退回甲方已付所有款项。</w:t>
      </w:r>
    </w:p>
    <w:p>
      <w:pPr>
        <w:pStyle w:val="null3"/>
        <w:spacing w:before="150" w:after="150"/>
        <w:jc w:val="both"/>
        <w:outlineLvl w:val="0"/>
      </w:pPr>
      <w:r>
        <w:rPr>
          <w:sz w:val="22"/>
          <w:b/>
        </w:rPr>
        <w:t>2、乙方未能按本合同规定的时间履行义务的，从逾期之日起每日按本合同总价3‰向甲方支付违约金；逾期半个月以上的，甲方有权终止合同，乙方须向甲方支付本合同总价10%的违约金，甲方因此而造成的经济损失由乙方承担，并退回甲方已付所有款项。</w:t>
      </w:r>
    </w:p>
    <w:p>
      <w:pPr>
        <w:pStyle w:val="null3"/>
        <w:spacing w:before="150" w:after="150"/>
        <w:jc w:val="both"/>
        <w:outlineLvl w:val="0"/>
      </w:pPr>
      <w:r>
        <w:rPr>
          <w:sz w:val="22"/>
          <w:b/>
        </w:rPr>
        <w:t>3、甲方无正当理由拒收货物，到期拒付货物款项的，甲方向乙方支付本合同总价10%的违约金。甲方逾期付款的，则每日按未付合同总价的3‰向乙方偿付违约金。</w:t>
      </w:r>
    </w:p>
    <w:p>
      <w:pPr>
        <w:pStyle w:val="null3"/>
        <w:spacing w:before="150" w:after="150"/>
        <w:jc w:val="both"/>
        <w:outlineLvl w:val="0"/>
      </w:pPr>
      <w:r>
        <w:rPr>
          <w:sz w:val="22"/>
          <w:b/>
        </w:rPr>
        <w:t>4、因乙方原因导致合同被解除的，甲方有权没收履约保证金，且乙方须向甲方支付本合同总价10%的违约金，并退回甲方已付所有款项。</w:t>
      </w:r>
    </w:p>
    <w:p>
      <w:pPr>
        <w:pStyle w:val="null3"/>
        <w:spacing w:before="150" w:after="150"/>
        <w:jc w:val="both"/>
        <w:outlineLvl w:val="0"/>
      </w:pPr>
      <w:r>
        <w:rPr>
          <w:sz w:val="22"/>
          <w:b/>
        </w:rPr>
        <w:t>5、其它违约责任按《中华人民共和国民法典》处理。</w:t>
      </w:r>
    </w:p>
    <w:p>
      <w:pPr>
        <w:pStyle w:val="null3"/>
        <w:spacing w:before="150" w:after="150"/>
        <w:jc w:val="both"/>
        <w:outlineLvl w:val="0"/>
      </w:pPr>
      <w:r>
        <w:rPr>
          <w:sz w:val="22"/>
          <w:b/>
        </w:rPr>
        <w:t>十</w:t>
      </w:r>
      <w:r>
        <w:rPr>
          <w:sz w:val="22"/>
          <w:b/>
        </w:rPr>
        <w:t>一</w:t>
      </w:r>
      <w:r>
        <w:rPr>
          <w:sz w:val="22"/>
          <w:b/>
        </w:rPr>
        <w:t xml:space="preserve">、争议的解决 </w:t>
      </w:r>
    </w:p>
    <w:p>
      <w:pPr>
        <w:pStyle w:val="null3"/>
        <w:ind w:firstLine="440"/>
        <w:jc w:val="both"/>
      </w:pPr>
      <w:r>
        <w:rPr>
          <w:sz w:val="22"/>
        </w:rPr>
        <w:t>合同执行过程中发生的任何争议，双方友好协商解决，协商不成，则向甲方所在地法院提起诉讼。</w:t>
      </w:r>
    </w:p>
    <w:p>
      <w:pPr>
        <w:pStyle w:val="null3"/>
        <w:spacing w:before="150" w:after="150"/>
        <w:jc w:val="both"/>
        <w:outlineLvl w:val="0"/>
      </w:pPr>
      <w:r>
        <w:rPr>
          <w:sz w:val="22"/>
          <w:b/>
        </w:rPr>
        <w:t>十</w:t>
      </w:r>
      <w:r>
        <w:rPr>
          <w:sz w:val="22"/>
          <w:b/>
        </w:rPr>
        <w:t>二</w:t>
      </w:r>
      <w:r>
        <w:rPr>
          <w:sz w:val="22"/>
          <w:b/>
        </w:rPr>
        <w:t>、不可抗力</w:t>
      </w:r>
    </w:p>
    <w:p>
      <w:pPr>
        <w:pStyle w:val="null3"/>
        <w:ind w:firstLine="440"/>
        <w:jc w:val="both"/>
      </w:pPr>
      <w:r>
        <w:rPr>
          <w:sz w:val="22"/>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150" w:after="150"/>
        <w:jc w:val="both"/>
        <w:outlineLvl w:val="0"/>
      </w:pPr>
      <w:r>
        <w:rPr>
          <w:sz w:val="22"/>
          <w:b/>
        </w:rPr>
        <w:t>十</w:t>
      </w:r>
      <w:r>
        <w:rPr>
          <w:sz w:val="22"/>
          <w:b/>
        </w:rPr>
        <w:t>三</w:t>
      </w:r>
      <w:r>
        <w:rPr>
          <w:sz w:val="22"/>
          <w:b/>
        </w:rPr>
        <w:t>、税费</w:t>
      </w:r>
    </w:p>
    <w:p>
      <w:pPr>
        <w:pStyle w:val="null3"/>
        <w:ind w:firstLine="440"/>
        <w:jc w:val="both"/>
      </w:pPr>
      <w:r>
        <w:rPr>
          <w:sz w:val="22"/>
        </w:rPr>
        <w:t>在中国境内、外发生的与本合同执行有关的一切税费均由乙方负担。</w:t>
      </w:r>
    </w:p>
    <w:p>
      <w:pPr>
        <w:pStyle w:val="null3"/>
        <w:spacing w:before="150" w:after="150"/>
        <w:jc w:val="both"/>
        <w:outlineLvl w:val="0"/>
      </w:pPr>
      <w:r>
        <w:rPr>
          <w:sz w:val="22"/>
          <w:b/>
        </w:rPr>
        <w:t>十</w:t>
      </w:r>
      <w:r>
        <w:rPr>
          <w:sz w:val="22"/>
          <w:b/>
        </w:rPr>
        <w:t>四</w:t>
      </w:r>
      <w:r>
        <w:rPr>
          <w:sz w:val="22"/>
          <w:b/>
        </w:rPr>
        <w:t>、其它</w:t>
      </w:r>
    </w:p>
    <w:p>
      <w:pPr>
        <w:pStyle w:val="null3"/>
        <w:ind w:firstLine="440"/>
        <w:jc w:val="both"/>
      </w:pPr>
      <w:r>
        <w:rPr>
          <w:sz w:val="22"/>
        </w:rPr>
        <w:t>1</w:t>
      </w:r>
      <w:r>
        <w:rPr>
          <w:sz w:val="22"/>
        </w:rPr>
        <w:t>、本合同所有附件、招标文件、投标文件、中标通知书均为合同的有效组成部分，与本合同具有同等法律效力，若上述文件之间有冲突的，优先解释顺序按补充协议、本合同、招标文件、投标文件等予以解释。</w:t>
      </w:r>
    </w:p>
    <w:p>
      <w:pPr>
        <w:pStyle w:val="null3"/>
        <w:ind w:firstLine="440"/>
        <w:jc w:val="both"/>
      </w:pPr>
      <w:r>
        <w:rPr>
          <w:sz w:val="22"/>
        </w:rPr>
        <w:t>2</w:t>
      </w:r>
      <w:r>
        <w:rPr>
          <w:sz w:val="22"/>
        </w:rPr>
        <w:t>、在执行本合同的过程中，所有经双方签署确认的文件（包括会议纪要、补充协议、往来信函）即成为本合同的有效组成部分。</w:t>
      </w:r>
    </w:p>
    <w:p>
      <w:pPr>
        <w:pStyle w:val="null3"/>
        <w:ind w:firstLine="440"/>
        <w:jc w:val="both"/>
      </w:pPr>
      <w:r>
        <w:rPr>
          <w:sz w:val="22"/>
        </w:rPr>
        <w:t>3</w:t>
      </w:r>
      <w:r>
        <w:rPr>
          <w:sz w:val="22"/>
        </w:rPr>
        <w:t>、乙方在项目施工前须与甲方落实方案的细节，合同签订后7个工作日内将方案提供给甲方 （打印版与电子版各一份），经甲方书面确认最终的项目实施方案，方案作为本合同附件，乙方按最终的项目实施方案进行施工。如遇特殊情况需要变更实施方案的，须提前与需求方沟通，以确保项目按期保质保量完工。</w:t>
      </w:r>
    </w:p>
    <w:p>
      <w:pPr>
        <w:pStyle w:val="null3"/>
        <w:ind w:firstLine="440"/>
        <w:jc w:val="both"/>
      </w:pPr>
      <w:r>
        <w:rPr>
          <w:sz w:val="22"/>
        </w:rPr>
        <w:t>4</w:t>
      </w:r>
      <w:r>
        <w:rPr>
          <w:sz w:val="22"/>
        </w:rPr>
        <w:t>、如甲方需要深化设计，乙方需在进场施工前7个工作日提交深化设计方案给甲方，深化设计方案经甲方书面确认后乙方方可实施。在满足各系统正常使用的情况下，如需求清单中有数量偏差的（包括和项目相关的一切必要主材、辅材、线材），乙方需根据实际需要做增补，相关费用由乙方承担，甲方不再支付任何费用。</w:t>
      </w:r>
    </w:p>
    <w:p>
      <w:pPr>
        <w:pStyle w:val="null3"/>
        <w:ind w:firstLine="440"/>
        <w:jc w:val="both"/>
      </w:pPr>
      <w:r>
        <w:rPr>
          <w:sz w:val="22"/>
        </w:rPr>
        <w:t>5</w:t>
      </w:r>
      <w:r>
        <w:rPr>
          <w:sz w:val="22"/>
        </w:rPr>
        <w:t>、如一方地址、电话、传真号码有变更，应在变更当日内书面通知对方，否则，应承担相应责任。</w:t>
      </w:r>
    </w:p>
    <w:p>
      <w:pPr>
        <w:pStyle w:val="null3"/>
        <w:ind w:firstLine="440"/>
        <w:jc w:val="both"/>
      </w:pPr>
      <w:r>
        <w:rPr>
          <w:sz w:val="22"/>
        </w:rPr>
        <w:t>6</w:t>
      </w:r>
      <w:r>
        <w:rPr>
          <w:sz w:val="22"/>
        </w:rPr>
        <w:t>、除甲方事先书面同意外，乙方不得部分或全部转让其应履行的合同项下的义务。</w:t>
      </w:r>
    </w:p>
    <w:p>
      <w:pPr>
        <w:pStyle w:val="null3"/>
        <w:spacing w:before="150" w:after="150"/>
        <w:jc w:val="both"/>
        <w:outlineLvl w:val="0"/>
      </w:pPr>
      <w:r>
        <w:rPr>
          <w:sz w:val="22"/>
          <w:b/>
        </w:rPr>
        <w:t>十</w:t>
      </w:r>
      <w:r>
        <w:rPr>
          <w:sz w:val="22"/>
          <w:b/>
        </w:rPr>
        <w:t>五</w:t>
      </w:r>
      <w:r>
        <w:rPr>
          <w:sz w:val="22"/>
          <w:b/>
        </w:rPr>
        <w:t>、合同生效</w:t>
      </w:r>
    </w:p>
    <w:p>
      <w:pPr>
        <w:pStyle w:val="null3"/>
        <w:ind w:firstLine="440"/>
        <w:jc w:val="both"/>
      </w:pPr>
      <w:r>
        <w:rPr>
          <w:sz w:val="22"/>
        </w:rPr>
        <w:t>1</w:t>
      </w:r>
      <w:r>
        <w:rPr>
          <w:sz w:val="22"/>
        </w:rPr>
        <w:t>、本合同在甲乙双方代表签字、盖章后生效。</w:t>
      </w:r>
    </w:p>
    <w:p>
      <w:pPr>
        <w:pStyle w:val="null3"/>
        <w:ind w:firstLine="440"/>
        <w:jc w:val="both"/>
      </w:pPr>
      <w:r>
        <w:rPr>
          <w:sz w:val="22"/>
        </w:rPr>
        <w:t>2</w:t>
      </w:r>
      <w:r>
        <w:rPr>
          <w:sz w:val="22"/>
        </w:rPr>
        <w:t>、合同一式肆份，甲方执叁份、乙方执一份。</w:t>
      </w:r>
    </w:p>
    <w:tbl>
      <w:tblPr>
        <w:tblW w:w="0" w:type="auto"/>
        <w:tblBorders>
          <w:top w:val="single"/>
          <w:left w:val="single"/>
          <w:bottom w:val="single"/>
          <w:right w:val="single"/>
          <w:insideH w:val="single"/>
          <w:insideV w:val="single"/>
        </w:tblBorders>
      </w:tblPr>
      <w:tblGrid>
        <w:gridCol w:w="3871"/>
        <w:gridCol w:w="204"/>
        <w:gridCol w:w="4229"/>
      </w:tblGrid>
      <w:tr>
        <w:tc>
          <w:tcPr>
            <w:tcW w:type="dxa" w:w="3871"/>
            <w:tcMar>
              <w:top w:type="dxa" w:w="0"/>
              <w:left w:type="dxa" w:w="105"/>
              <w:bottom w:type="dxa" w:w="0"/>
              <w:right w:type="dxa" w:w="105"/>
            </w:tcMar>
            <w:vAlign w:val="top"/>
          </w:tcPr>
          <w:p>
            <w:pPr>
              <w:pStyle w:val="null3"/>
              <w:jc w:val="both"/>
            </w:pPr>
            <w:r>
              <w:rPr>
                <w:sz w:val="21"/>
              </w:rPr>
              <w:t>甲方（盖章）：</w:t>
            </w:r>
          </w:p>
        </w:tc>
        <w:tc>
          <w:tcPr>
            <w:tcW w:type="dxa" w:w="204"/>
            <w:tcMar>
              <w:top w:type="dxa" w:w="0"/>
              <w:left w:type="dxa" w:w="105"/>
              <w:bottom w:type="dxa" w:w="0"/>
              <w:right w:type="dxa" w:w="105"/>
            </w:tcMar>
            <w:vAlign w:val="top"/>
          </w:tcPr>
          <w:p>
            <w:pPr>
              <w:pStyle w:val="null3"/>
              <w:jc w:val="both"/>
            </w:pPr>
          </w:p>
        </w:tc>
        <w:tc>
          <w:tcPr>
            <w:tcW w:type="dxa" w:w="4229"/>
            <w:tcMar>
              <w:top w:type="dxa" w:w="0"/>
              <w:left w:type="dxa" w:w="105"/>
              <w:bottom w:type="dxa" w:w="0"/>
              <w:right w:type="dxa" w:w="105"/>
            </w:tcMar>
            <w:vAlign w:val="top"/>
          </w:tcPr>
          <w:p>
            <w:pPr>
              <w:pStyle w:val="null3"/>
              <w:jc w:val="both"/>
            </w:pPr>
            <w:r>
              <w:rPr>
                <w:sz w:val="21"/>
              </w:rPr>
              <w:t>乙方（盖章）：</w:t>
            </w:r>
          </w:p>
        </w:tc>
      </w:tr>
      <w:tr>
        <w:tc>
          <w:tcPr>
            <w:tcW w:type="dxa" w:w="3871"/>
            <w:tcMar>
              <w:top w:type="dxa" w:w="0"/>
              <w:left w:type="dxa" w:w="105"/>
              <w:bottom w:type="dxa" w:w="0"/>
              <w:right w:type="dxa" w:w="105"/>
            </w:tcMar>
            <w:vAlign w:val="top"/>
          </w:tcPr>
          <w:p>
            <w:pPr>
              <w:pStyle w:val="null3"/>
              <w:jc w:val="both"/>
            </w:pPr>
            <w:r>
              <w:rPr>
                <w:sz w:val="21"/>
              </w:rPr>
              <w:t>法定代表人或授权代表：</w:t>
            </w:r>
          </w:p>
        </w:tc>
        <w:tc>
          <w:tcPr>
            <w:tcW w:type="dxa" w:w="204"/>
            <w:tcMar>
              <w:top w:type="dxa" w:w="0"/>
              <w:left w:type="dxa" w:w="105"/>
              <w:bottom w:type="dxa" w:w="0"/>
              <w:right w:type="dxa" w:w="105"/>
            </w:tcMar>
            <w:vAlign w:val="top"/>
          </w:tcPr>
          <w:p>
            <w:pPr>
              <w:pStyle w:val="null3"/>
              <w:jc w:val="both"/>
            </w:pPr>
          </w:p>
        </w:tc>
        <w:tc>
          <w:tcPr>
            <w:tcW w:type="dxa" w:w="4229"/>
            <w:tcMar>
              <w:top w:type="dxa" w:w="0"/>
              <w:left w:type="dxa" w:w="105"/>
              <w:bottom w:type="dxa" w:w="0"/>
              <w:right w:type="dxa" w:w="105"/>
            </w:tcMar>
            <w:vAlign w:val="top"/>
          </w:tcPr>
          <w:p>
            <w:pPr>
              <w:pStyle w:val="null3"/>
              <w:jc w:val="both"/>
            </w:pPr>
            <w:r>
              <w:rPr>
                <w:sz w:val="21"/>
              </w:rPr>
              <w:t>法定代表人或授权代表：</w:t>
            </w:r>
          </w:p>
        </w:tc>
      </w:tr>
      <w:tr>
        <w:tc>
          <w:tcPr>
            <w:tcW w:type="dxa" w:w="3871"/>
            <w:tcMar>
              <w:top w:type="dxa" w:w="0"/>
              <w:left w:type="dxa" w:w="105"/>
              <w:bottom w:type="dxa" w:w="0"/>
              <w:right w:type="dxa" w:w="105"/>
            </w:tcMar>
            <w:vAlign w:val="top"/>
          </w:tcPr>
          <w:p>
            <w:pPr>
              <w:pStyle w:val="null3"/>
              <w:jc w:val="both"/>
            </w:pPr>
            <w:r>
              <w:rPr>
                <w:sz w:val="21"/>
              </w:rPr>
              <w:t>开户名称：</w:t>
            </w:r>
            <w:r>
              <w:rPr>
                <w:sz w:val="21"/>
              </w:rPr>
              <w:t>广东财经大学</w:t>
            </w:r>
          </w:p>
        </w:tc>
        <w:tc>
          <w:tcPr>
            <w:tcW w:type="dxa" w:w="204"/>
            <w:tcMar>
              <w:top w:type="dxa" w:w="0"/>
              <w:left w:type="dxa" w:w="105"/>
              <w:bottom w:type="dxa" w:w="0"/>
              <w:right w:type="dxa" w:w="105"/>
            </w:tcMar>
            <w:vAlign w:val="top"/>
          </w:tcPr>
          <w:p>
            <w:pPr>
              <w:pStyle w:val="null3"/>
              <w:jc w:val="both"/>
            </w:pPr>
          </w:p>
        </w:tc>
        <w:tc>
          <w:tcPr>
            <w:tcW w:type="dxa" w:w="4229"/>
            <w:tcMar>
              <w:top w:type="dxa" w:w="0"/>
              <w:left w:type="dxa" w:w="105"/>
              <w:bottom w:type="dxa" w:w="0"/>
              <w:right w:type="dxa" w:w="105"/>
            </w:tcMar>
            <w:vAlign w:val="top"/>
          </w:tcPr>
          <w:p>
            <w:pPr>
              <w:pStyle w:val="null3"/>
              <w:jc w:val="both"/>
            </w:pPr>
            <w:r>
              <w:rPr>
                <w:sz w:val="21"/>
              </w:rPr>
              <w:t>开户名称：</w:t>
            </w:r>
            <w:r>
              <w:rPr>
                <w:sz w:val="21"/>
              </w:rPr>
              <w:t xml:space="preserve"> </w:t>
            </w:r>
          </w:p>
        </w:tc>
      </w:tr>
      <w:tr>
        <w:tc>
          <w:tcPr>
            <w:tcW w:type="dxa" w:w="3871"/>
            <w:tcMar>
              <w:top w:type="dxa" w:w="0"/>
              <w:left w:type="dxa" w:w="105"/>
              <w:bottom w:type="dxa" w:w="0"/>
              <w:right w:type="dxa" w:w="105"/>
            </w:tcMar>
            <w:vAlign w:val="top"/>
          </w:tcPr>
          <w:p>
            <w:pPr>
              <w:pStyle w:val="null3"/>
              <w:jc w:val="both"/>
            </w:pPr>
            <w:r>
              <w:rPr>
                <w:sz w:val="21"/>
              </w:rPr>
              <w:t>开户银行：</w:t>
            </w:r>
            <w:r>
              <w:rPr>
                <w:sz w:val="21"/>
              </w:rPr>
              <w:t>中国建设银行广州赤岗支行</w:t>
            </w:r>
          </w:p>
        </w:tc>
        <w:tc>
          <w:tcPr>
            <w:tcW w:type="dxa" w:w="204"/>
            <w:tcMar>
              <w:top w:type="dxa" w:w="0"/>
              <w:left w:type="dxa" w:w="105"/>
              <w:bottom w:type="dxa" w:w="0"/>
              <w:right w:type="dxa" w:w="105"/>
            </w:tcMar>
            <w:vAlign w:val="top"/>
          </w:tcPr>
          <w:p>
            <w:pPr>
              <w:pStyle w:val="null3"/>
              <w:jc w:val="both"/>
            </w:pPr>
          </w:p>
        </w:tc>
        <w:tc>
          <w:tcPr>
            <w:tcW w:type="dxa" w:w="4229"/>
            <w:tcMar>
              <w:top w:type="dxa" w:w="0"/>
              <w:left w:type="dxa" w:w="105"/>
              <w:bottom w:type="dxa" w:w="0"/>
              <w:right w:type="dxa" w:w="105"/>
            </w:tcMar>
            <w:vAlign w:val="top"/>
          </w:tcPr>
          <w:p>
            <w:pPr>
              <w:pStyle w:val="null3"/>
              <w:jc w:val="both"/>
            </w:pPr>
            <w:r>
              <w:rPr>
                <w:sz w:val="21"/>
              </w:rPr>
              <w:t>开户银行：</w:t>
            </w:r>
          </w:p>
          <w:p>
            <w:pPr>
              <w:pStyle w:val="null3"/>
              <w:jc w:val="both"/>
            </w:pPr>
          </w:p>
        </w:tc>
      </w:tr>
      <w:tr>
        <w:tc>
          <w:tcPr>
            <w:tcW w:type="dxa" w:w="3871"/>
            <w:tcMar>
              <w:top w:type="dxa" w:w="0"/>
              <w:left w:type="dxa" w:w="105"/>
              <w:bottom w:type="dxa" w:w="0"/>
              <w:right w:type="dxa" w:w="105"/>
            </w:tcMar>
            <w:vAlign w:val="top"/>
          </w:tcPr>
          <w:p>
            <w:pPr>
              <w:pStyle w:val="null3"/>
              <w:jc w:val="both"/>
            </w:pPr>
            <w:r>
              <w:rPr>
                <w:sz w:val="21"/>
              </w:rPr>
              <w:t>开户账号：</w:t>
            </w:r>
            <w:r>
              <w:rPr>
                <w:sz w:val="21"/>
              </w:rPr>
              <w:t xml:space="preserve"> 44050143190100000072</w:t>
            </w:r>
          </w:p>
        </w:tc>
        <w:tc>
          <w:tcPr>
            <w:tcW w:type="dxa" w:w="204"/>
            <w:tcMar>
              <w:top w:type="dxa" w:w="0"/>
              <w:left w:type="dxa" w:w="105"/>
              <w:bottom w:type="dxa" w:w="0"/>
              <w:right w:type="dxa" w:w="105"/>
            </w:tcMar>
            <w:vAlign w:val="top"/>
          </w:tcPr>
          <w:p>
            <w:pPr>
              <w:pStyle w:val="null3"/>
              <w:jc w:val="both"/>
            </w:pPr>
          </w:p>
        </w:tc>
        <w:tc>
          <w:tcPr>
            <w:tcW w:type="dxa" w:w="4229"/>
            <w:tcMar>
              <w:top w:type="dxa" w:w="0"/>
              <w:left w:type="dxa" w:w="105"/>
              <w:bottom w:type="dxa" w:w="0"/>
              <w:right w:type="dxa" w:w="105"/>
            </w:tcMar>
            <w:vAlign w:val="top"/>
          </w:tcPr>
          <w:p>
            <w:pPr>
              <w:pStyle w:val="null3"/>
              <w:jc w:val="both"/>
            </w:pPr>
            <w:r>
              <w:rPr>
                <w:sz w:val="21"/>
              </w:rPr>
              <w:t>开户账号：</w:t>
            </w:r>
          </w:p>
        </w:tc>
      </w:tr>
      <w:tr>
        <w:tc>
          <w:tcPr>
            <w:tcW w:type="dxa" w:w="3871"/>
            <w:tcMar>
              <w:top w:type="dxa" w:w="0"/>
              <w:left w:type="dxa" w:w="105"/>
              <w:bottom w:type="dxa" w:w="0"/>
              <w:right w:type="dxa" w:w="105"/>
            </w:tcMar>
            <w:vAlign w:val="top"/>
          </w:tcPr>
          <w:p>
            <w:pPr>
              <w:pStyle w:val="null3"/>
              <w:jc w:val="both"/>
            </w:pPr>
            <w:r>
              <w:rPr>
                <w:sz w:val="21"/>
              </w:rPr>
              <w:t>签订日期：</w:t>
            </w:r>
            <w:r>
              <w:rPr>
                <w:sz w:val="21"/>
              </w:rPr>
              <w:t>2026</w:t>
            </w:r>
            <w:r>
              <w:rPr>
                <w:sz w:val="21"/>
              </w:rPr>
              <w:t>年　　月　　日</w:t>
            </w:r>
          </w:p>
        </w:tc>
        <w:tc>
          <w:tcPr>
            <w:tcW w:type="dxa" w:w="204"/>
            <w:tcMar>
              <w:top w:type="dxa" w:w="0"/>
              <w:left w:type="dxa" w:w="105"/>
              <w:bottom w:type="dxa" w:w="0"/>
              <w:right w:type="dxa" w:w="105"/>
            </w:tcMar>
            <w:vAlign w:val="top"/>
          </w:tcPr>
          <w:p>
            <w:pPr>
              <w:pStyle w:val="null3"/>
              <w:jc w:val="both"/>
            </w:pPr>
          </w:p>
        </w:tc>
        <w:tc>
          <w:tcPr>
            <w:tcW w:type="dxa" w:w="4229"/>
            <w:tcMar>
              <w:top w:type="dxa" w:w="0"/>
              <w:left w:type="dxa" w:w="105"/>
              <w:bottom w:type="dxa" w:w="0"/>
              <w:right w:type="dxa" w:w="105"/>
            </w:tcMar>
            <w:vAlign w:val="top"/>
          </w:tcPr>
          <w:p>
            <w:pPr>
              <w:pStyle w:val="null3"/>
              <w:jc w:val="both"/>
            </w:pPr>
            <w:r>
              <w:rPr>
                <w:sz w:val="21"/>
              </w:rPr>
              <w:t>签订日期：</w:t>
            </w:r>
            <w:r>
              <w:rPr>
                <w:sz w:val="21"/>
              </w:rPr>
              <w:t>2026</w:t>
            </w:r>
            <w:r>
              <w:rPr>
                <w:sz w:val="21"/>
              </w:rPr>
              <w:t>年</w:t>
            </w:r>
            <w:r>
              <w:rPr>
                <w:sz w:val="21"/>
              </w:rPr>
              <w:t xml:space="preserve">    </w:t>
            </w:r>
            <w:r>
              <w:rPr>
                <w:sz w:val="21"/>
              </w:rPr>
              <w:t>月</w:t>
            </w:r>
            <w:r>
              <w:rPr>
                <w:sz w:val="21"/>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440001-2026-03440</w:t>
      </w:r>
    </w:p>
    <w:p>
      <w:pPr>
        <w:pStyle w:val="null3"/>
        <w:jc w:val="center"/>
        <w:outlineLvl w:val="3"/>
      </w:pPr>
      <w:r>
        <w:rPr>
          <w:sz w:val="24"/>
          <w:b/>
        </w:rPr>
        <w:t>采购项目编号：</w:t>
      </w:r>
      <w:r>
        <w:rPr>
          <w:sz w:val="24"/>
          <w:b/>
        </w:rPr>
        <w:t>GPCGD251156HG438F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六、法定代表人证明书</w:t>
      </w:r>
    </w:p>
    <w:p>
      <w:pPr>
        <w:pStyle w:val="null3"/>
        <w:ind w:firstLine="480"/>
      </w:pPr>
      <w:r>
        <w:rPr/>
        <w:t>七、法定代表人授权书</w:t>
      </w:r>
    </w:p>
    <w:p>
      <w:pPr>
        <w:pStyle w:val="null3"/>
        <w:ind w:firstLine="480"/>
      </w:pPr>
      <w:r>
        <w:rPr/>
        <w:t>八、投标保证金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十五、联合体共同投标协议书</w:t>
      </w:r>
    </w:p>
    <w:p>
      <w:pPr>
        <w:pStyle w:val="null3"/>
        <w:ind w:firstLine="480"/>
      </w:pPr>
      <w:r>
        <w:rPr/>
        <w:t>十六、投标人业绩情况表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二十五、政府采购投标（响应）担保函</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广东财经大学教学科研重大设备更新项目</w:t>
      </w:r>
      <w:r>
        <w:rPr>
          <w:u w:val="single"/>
        </w:rPr>
        <w:t>”</w:t>
      </w:r>
      <w:r>
        <w:rPr/>
        <w:t>项目的招标[采购项目编号为：</w:t>
      </w:r>
      <w:r>
        <w:rPr>
          <w:u w:val="single"/>
        </w:rPr>
        <w:t>GPCGD251156HG438F</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广东财经大学教学科研重大设备更新项目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广东财经大学教学科研重大设备更新项目</w:t>
      </w:r>
      <w:r>
        <w:rPr/>
        <w:t>”项目采购[采购项目编号为</w:t>
      </w:r>
      <w:r>
        <w:rPr/>
        <w:t>GPCGD251156HG438F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广东财经大学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广东财经大学教学科研重大设备更新项目</w:t>
      </w:r>
      <w:r>
        <w:rPr/>
        <w:t>招标中获中标（采购项目编号：</w:t>
      </w:r>
      <w:r>
        <w:rPr/>
        <w:t>GPCGD251156HG438F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广东财经大学教学科研重大设备更新项目</w:t>
      </w:r>
      <w:r>
        <w:rPr/>
        <w:t>”项目（采购项目编号：</w:t>
      </w:r>
      <w:r>
        <w:rPr/>
        <w:t>GPCGD251156HG438F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